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E36218E">
      <w:pPr>
        <w:pStyle w:val="2"/>
      </w:pPr>
      <w:r>
        <w:t>《HealthMind——基于多模型融合的个人健康风险预测与智能干预系统》项目计划书</w:t>
      </w:r>
    </w:p>
    <w:p w14:paraId="1D3EB368">
      <w:r>
        <w:t>目录</w:t>
      </w:r>
    </w:p>
    <w:p w14:paraId="48173A11">
      <w:r>
        <w:fldChar w:fldCharType="begin"/>
      </w:r>
      <w:r>
        <w:instrText xml:space="preserve"> HYPERLINK "#%E4%B8%80-%E9%A1%B9%E7%9B%AE%E8%83%8C%E6%99%AF" </w:instrText>
      </w:r>
      <w:r>
        <w:fldChar w:fldCharType="separate"/>
      </w:r>
      <w:r>
        <w:rPr>
          <w:rStyle w:val="10"/>
        </w:rPr>
        <w:t>一、项目背景</w:t>
      </w:r>
      <w:r>
        <w:fldChar w:fldCharType="end"/>
      </w:r>
    </w:p>
    <w:p w14:paraId="5653A0C9">
      <w:r>
        <w:fldChar w:fldCharType="begin"/>
      </w:r>
      <w:r>
        <w:instrText xml:space="preserve"> HYPERLINK "#11-%E5%81%A5%E5%BA%B7%E4%B8%AD%E5%9B%BD%E6%88%98%E7%95%A5%E5%90%91%E7%94%9F%E6%B4%BB%E7%AB%AF%E7%9A%84%E5%BB%B6%E4%BC%B8" </w:instrText>
      </w:r>
      <w:r>
        <w:fldChar w:fldCharType="separate"/>
      </w:r>
      <w:r>
        <w:rPr>
          <w:rStyle w:val="10"/>
        </w:rPr>
        <w:t>1.1 "健康中国"战略向生活端的延伸</w:t>
      </w:r>
      <w:r>
        <w:fldChar w:fldCharType="end"/>
      </w:r>
    </w:p>
    <w:p w14:paraId="4A76B536">
      <w:r>
        <w:fldChar w:fldCharType="begin"/>
      </w:r>
      <w:r>
        <w:instrText xml:space="preserve"> HYPERLINK "#12-%E4%B8%AA%E4%BA%BA%E5%81%A5%E5%BA%B7%E8%B4%A6%E6%88%B7%E4%BB%8E%E8%A2%AB%E5%8A%A8%E5%8C%BB%E7%96%97%E5%88%B0%E4%B8%BB%E5%8A%A8%E5%81%A5%E5%BA%B7%E7%AE%A1%E7%90%86" </w:instrText>
      </w:r>
      <w:r>
        <w:fldChar w:fldCharType="separate"/>
      </w:r>
      <w:r>
        <w:rPr>
          <w:rStyle w:val="10"/>
        </w:rPr>
        <w:t>1.2 个人健康账户：从被动医疗到主动健康管理</w:t>
      </w:r>
      <w:r>
        <w:fldChar w:fldCharType="end"/>
      </w:r>
    </w:p>
    <w:p w14:paraId="6886DADC">
      <w:r>
        <w:fldChar w:fldCharType="begin"/>
      </w:r>
      <w:r>
        <w:instrText xml:space="preserve"> HYPERLINK "#13-%E4%BB%8E%E7%BE%A4%E4%BD%93%E7%BB%9F%E8%AE%A1%E5%88%B0%E4%B8%AA%E4%BA%BA%E5%BE%AE%E8%A7%82%E5%81%A5%E5%BA%B7%E5%AE%A1%E8%AE%A1%E7%9A%84%E8%8C%83%E5%BC%8F%E8%BD%AC%E5%8F%98" </w:instrText>
      </w:r>
      <w:r>
        <w:fldChar w:fldCharType="separate"/>
      </w:r>
      <w:r>
        <w:rPr>
          <w:rStyle w:val="10"/>
        </w:rPr>
        <w:t>1.3 从"群体统计"到"个人微观健康审计"的范式转变</w:t>
      </w:r>
      <w:r>
        <w:fldChar w:fldCharType="end"/>
      </w:r>
    </w:p>
    <w:p w14:paraId="03F9D6E2">
      <w:r>
        <w:fldChar w:fldCharType="begin"/>
      </w:r>
      <w:r>
        <w:instrText xml:space="preserve"> HYPERLINK "#%E4%BA%8C%E4%BD%9C%E5%93%81%E5%90%8D%E7%A7%B0" </w:instrText>
      </w:r>
      <w:r>
        <w:fldChar w:fldCharType="separate"/>
      </w:r>
      <w:r>
        <w:rPr>
          <w:rStyle w:val="10"/>
        </w:rPr>
        <w:t>二、作品名称</w:t>
      </w:r>
      <w:r>
        <w:fldChar w:fldCharType="end"/>
      </w:r>
    </w:p>
    <w:p w14:paraId="2F97D5C5">
      <w:r>
        <w:fldChar w:fldCharType="begin"/>
      </w:r>
      <w:r>
        <w:instrText xml:space="preserve"> HYPERLINK "#%E4%B8%89%E7%B3%BB%E7%BB%9F%E6%80%BB%E4%BD%93%E6%9E%B6%E6%9E%84" </w:instrText>
      </w:r>
      <w:r>
        <w:fldChar w:fldCharType="separate"/>
      </w:r>
      <w:r>
        <w:rPr>
          <w:rStyle w:val="10"/>
        </w:rPr>
        <w:t>三、系统总体架构</w:t>
      </w:r>
      <w:r>
        <w:fldChar w:fldCharType="end"/>
      </w:r>
    </w:p>
    <w:p w14:paraId="615073FF">
      <w:r>
        <w:fldChar w:fldCharType="begin"/>
      </w:r>
      <w:r>
        <w:instrText xml:space="preserve"> HYPERLINK "#31-%E4%B8%89%E5%B1%82%E6%9E%B6%E6%9E%84%E4%BD%93%E7%B3%BB" </w:instrText>
      </w:r>
      <w:r>
        <w:fldChar w:fldCharType="separate"/>
      </w:r>
      <w:r>
        <w:rPr>
          <w:rStyle w:val="10"/>
        </w:rPr>
        <w:t>3.1 三层架构体系</w:t>
      </w:r>
      <w:r>
        <w:fldChar w:fldCharType="end"/>
      </w:r>
    </w:p>
    <w:p w14:paraId="79906C4F">
      <w:r>
        <w:fldChar w:fldCharType="begin"/>
      </w:r>
      <w:r>
        <w:instrText xml:space="preserve"> HYPERLINK "#a%E6%95%B0%E6%8D%AE%E5%B1%82" </w:instrText>
      </w:r>
      <w:r>
        <w:fldChar w:fldCharType="separate"/>
      </w:r>
      <w:r>
        <w:rPr>
          <w:rStyle w:val="10"/>
        </w:rPr>
        <w:t>A．数据层</w:t>
      </w:r>
      <w:r>
        <w:fldChar w:fldCharType="end"/>
      </w:r>
    </w:p>
    <w:p w14:paraId="24F2F5F1">
      <w:r>
        <w:fldChar w:fldCharType="begin"/>
      </w:r>
      <w:r>
        <w:instrText xml:space="preserve"> HYPERLINK "#b%E6%A8%A1%E5%9E%8B%E5%B1%82" </w:instrText>
      </w:r>
      <w:r>
        <w:fldChar w:fldCharType="separate"/>
      </w:r>
      <w:r>
        <w:rPr>
          <w:rStyle w:val="10"/>
        </w:rPr>
        <w:t>B．模型层</w:t>
      </w:r>
      <w:r>
        <w:fldChar w:fldCharType="end"/>
      </w:r>
    </w:p>
    <w:p w14:paraId="6964BD7E">
      <w:r>
        <w:fldChar w:fldCharType="begin"/>
      </w:r>
      <w:r>
        <w:instrText xml:space="preserve"> HYPERLINK "#c%E5%BA%94%E7%94%A8%E5%B1%82" </w:instrText>
      </w:r>
      <w:r>
        <w:fldChar w:fldCharType="separate"/>
      </w:r>
      <w:r>
        <w:rPr>
          <w:rStyle w:val="10"/>
        </w:rPr>
        <w:t>C．应用层</w:t>
      </w:r>
      <w:r>
        <w:fldChar w:fldCharType="end"/>
      </w:r>
    </w:p>
    <w:p w14:paraId="72D1A7E0">
      <w:r>
        <w:fldChar w:fldCharType="begin"/>
      </w:r>
      <w:r>
        <w:instrText xml:space="preserve"> HYPERLINK "#32-%E7%B3%BB%E7%BB%9F%E6%8A%80%E6%9C%AF%E8%B7%AF%E7%BA%BF%E5%9B%BE" </w:instrText>
      </w:r>
      <w:r>
        <w:fldChar w:fldCharType="separate"/>
      </w:r>
      <w:r>
        <w:rPr>
          <w:rStyle w:val="10"/>
        </w:rPr>
        <w:t>3.2 系统技术路线图</w:t>
      </w:r>
      <w:r>
        <w:fldChar w:fldCharType="end"/>
      </w:r>
    </w:p>
    <w:p w14:paraId="5AFDA014">
      <w:r>
        <w:fldChar w:fldCharType="begin"/>
      </w:r>
      <w:r>
        <w:instrText xml:space="preserve"> HYPERLINK "#%E5%9B%9B%E6%A0%B8%E5%BF%83%E6%8A%80%E6%9C%AF%E5%88%9B%E6%96%B0%E7%82%B9" </w:instrText>
      </w:r>
      <w:r>
        <w:fldChar w:fldCharType="separate"/>
      </w:r>
      <w:r>
        <w:rPr>
          <w:rStyle w:val="10"/>
        </w:rPr>
        <w:t>四、核心技术创新点</w:t>
      </w:r>
      <w:r>
        <w:fldChar w:fldCharType="end"/>
      </w:r>
    </w:p>
    <w:p w14:paraId="02D1BE3F">
      <w:r>
        <w:fldChar w:fldCharType="begin"/>
      </w:r>
      <w:r>
        <w:instrText xml:space="preserve"> HYPERLINK "#41-%E5%BC%82%E6%9E%84%E6%A8%A1%E5%9E%8B%E6%B7%B1%E5%BA%A6%E8%9E%8D%E5%90%88%E6%9C%BA%E5%88%B6stacking-ensemble-for-highvolatility-lifestyles" </w:instrText>
      </w:r>
      <w:r>
        <w:fldChar w:fldCharType="separate"/>
      </w:r>
      <w:r>
        <w:rPr>
          <w:rStyle w:val="10"/>
        </w:rPr>
        <w:t>4.1 异构模型深度融合机制（Stacking Ensemble for High‑Volatility Lifestyles）</w:t>
      </w:r>
      <w:r>
        <w:fldChar w:fldCharType="end"/>
      </w:r>
    </w:p>
    <w:p w14:paraId="6F1C69E1">
      <w:r>
        <w:fldChar w:fldCharType="begin"/>
      </w:r>
      <w:r>
        <w:instrText xml:space="preserve"> HYPERLINK "#42-%E5%85%A8%E5%9C%BA%E6%99%AF%E5%A4%9A%E6%97%B6%E9%97%B4%E5%B0%BA%E5%BA%A6%E7%9A%84%E5%81%A5%E5%BA%B7%E9%A3%8E%E9%99%A9%E9%A2%84%E6%B5%8B%E6%9C%8D%E5%8A%A1" </w:instrText>
      </w:r>
      <w:r>
        <w:fldChar w:fldCharType="separate"/>
      </w:r>
      <w:r>
        <w:rPr>
          <w:rStyle w:val="10"/>
        </w:rPr>
        <w:t>4.2 全场景、多时间尺度的健康风险预测服务</w:t>
      </w:r>
      <w:r>
        <w:fldChar w:fldCharType="end"/>
      </w:r>
    </w:p>
    <w:p w14:paraId="56811743">
      <w:r>
        <w:fldChar w:fldCharType="begin"/>
      </w:r>
      <w:r>
        <w:instrText xml:space="preserve"> HYPERLINK "#43-%E9%A2%84%E6%B5%8B%E9%A9%B1%E5%8A%A8%E7%9A%84%E5%81%A5%E5%BA%B7%E5%B9%B2%E9%A2%84%E4%B8%8E%E8%A1%8C%E4%B8%BA%E6%BF%80%E5%8A%B1%E5%86%B3%E7%AD%96%E6%A8%A1%E5%9E%8B" </w:instrText>
      </w:r>
      <w:r>
        <w:fldChar w:fldCharType="separate"/>
      </w:r>
      <w:r>
        <w:rPr>
          <w:rStyle w:val="10"/>
        </w:rPr>
        <w:t>4.3 预测驱动的"健康干预与行为激励"决策模型</w:t>
      </w:r>
      <w:r>
        <w:fldChar w:fldCharType="end"/>
      </w:r>
    </w:p>
    <w:p w14:paraId="6AC5EC57">
      <w:r>
        <w:fldChar w:fldCharType="begin"/>
      </w:r>
      <w:r>
        <w:instrText xml:space="preserve"> HYPERLINK "#44-%E5%9F%BA%E4%BA%8Eshap%E7%9A%84%E5%81%A5%E5%BA%B7%E9%A3%8E%E9%99%A9%E5%8F%AF%E8%A7%A3%E9%87%8A%E6%80%A7%E5%B7%A5%E7%A8%8B" </w:instrText>
      </w:r>
      <w:r>
        <w:fldChar w:fldCharType="separate"/>
      </w:r>
      <w:r>
        <w:rPr>
          <w:rStyle w:val="10"/>
        </w:rPr>
        <w:t>4.4 基于SHAP的健康风险可解释性工程</w:t>
      </w:r>
      <w:r>
        <w:fldChar w:fldCharType="end"/>
      </w:r>
    </w:p>
    <w:p w14:paraId="52140571">
      <w:r>
        <w:fldChar w:fldCharType="begin"/>
      </w:r>
      <w:r>
        <w:instrText xml:space="preserve"> HYPERLINK "#%E4%BA%94%E6%A0%B8%E5%BF%83%E5%8A%9F%E8%83%BD%E6%A8%A1%E5%9D%97%E8%AF%A6%E8%A7%A3" </w:instrText>
      </w:r>
      <w:r>
        <w:fldChar w:fldCharType="separate"/>
      </w:r>
      <w:r>
        <w:rPr>
          <w:rStyle w:val="10"/>
        </w:rPr>
        <w:t>五、核心功能模块详解</w:t>
      </w:r>
      <w:r>
        <w:fldChar w:fldCharType="end"/>
      </w:r>
    </w:p>
    <w:p w14:paraId="6E9BD2DA">
      <w:r>
        <w:fldChar w:fldCharType="begin"/>
      </w:r>
      <w:r>
        <w:instrText xml:space="preserve"> HYPERLINK "#51-%E9%A1%B9%E7%9B%AE%E6%8A%80%E6%9C%AF%E6%A0%88" </w:instrText>
      </w:r>
      <w:r>
        <w:fldChar w:fldCharType="separate"/>
      </w:r>
      <w:r>
        <w:rPr>
          <w:rStyle w:val="10"/>
        </w:rPr>
        <w:t>5.1 项目技术栈</w:t>
      </w:r>
      <w:r>
        <w:fldChar w:fldCharType="end"/>
      </w:r>
    </w:p>
    <w:p w14:paraId="57641F41">
      <w:r>
        <w:fldChar w:fldCharType="begin"/>
      </w:r>
      <w:r>
        <w:instrText xml:space="preserve"> HYPERLINK "#52-%E5%81%A5%E5%BA%B7%E5%B9%B2%E9%A2%84%E5%BC%95%E6%93%8E%E5%86%B3%E7%AD%96%E9%80%BB%E8%BE%91%E4%B8%8E%E7%AE%97%E6%B3%95%E6%B5%81%E7%A8%8B" </w:instrText>
      </w:r>
      <w:r>
        <w:fldChar w:fldCharType="separate"/>
      </w:r>
      <w:r>
        <w:rPr>
          <w:rStyle w:val="10"/>
        </w:rPr>
        <w:t>5.2 健康干预引擎：决策逻辑与算法流程</w:t>
      </w:r>
      <w:r>
        <w:fldChar w:fldCharType="end"/>
      </w:r>
    </w:p>
    <w:p w14:paraId="38E306F3">
      <w:r>
        <w:fldChar w:fldCharType="begin"/>
      </w:r>
      <w:r>
        <w:instrText xml:space="preserve"> HYPERLINK "#53-%E5%81%A5%E5%BA%B7%E7%AD%96%E7%95%A5%E5%BA%93%E4%B8%8E%E5%9C%BA%E6%99%AF%E5%8C%96%E5%B9%B2%E9%A2%84%E6%96%B9%E6%A1%88" </w:instrText>
      </w:r>
      <w:r>
        <w:fldChar w:fldCharType="separate"/>
      </w:r>
      <w:r>
        <w:rPr>
          <w:rStyle w:val="10"/>
        </w:rPr>
        <w:t>5.3 健康策略库与场景化干预方案</w:t>
      </w:r>
      <w:r>
        <w:fldChar w:fldCharType="end"/>
      </w:r>
    </w:p>
    <w:p w14:paraId="6F769B4A">
      <w:r>
        <w:fldChar w:fldCharType="begin"/>
      </w:r>
      <w:r>
        <w:instrText xml:space="preserve"> HYPERLINK "#54-%E5%81%A5%E5%BA%B7%E7%AE%A1%E7%90%86%E6%95%88%E7%9B%8A%E8%AF%84%E4%BC%B0%E6%8C%87%E6%A0%87%E4%BD%93%E7%B3%BBhealth-metrics" </w:instrText>
      </w:r>
      <w:r>
        <w:fldChar w:fldCharType="separate"/>
      </w:r>
      <w:r>
        <w:rPr>
          <w:rStyle w:val="10"/>
        </w:rPr>
        <w:t>5.4 健康管理效益评估指标体系（Health Metrics）</w:t>
      </w:r>
      <w:r>
        <w:fldChar w:fldCharType="end"/>
      </w:r>
    </w:p>
    <w:p w14:paraId="7A3B2064">
      <w:r>
        <w:fldChar w:fldCharType="begin"/>
      </w:r>
      <w:r>
        <w:instrText xml:space="preserve"> HYPERLINK "#55-%E7%B3%BB%E7%BB%9F%E5%8E%9F%E5%9E%8B%E4%B8%8E%E5%8F%AF%E8%A7%86%E5%8C%96%E9%A2%84%E8%A7%88" </w:instrText>
      </w:r>
      <w:r>
        <w:fldChar w:fldCharType="separate"/>
      </w:r>
      <w:r>
        <w:rPr>
          <w:rStyle w:val="10"/>
        </w:rPr>
        <w:t>5.5 系统原型与可视化预览</w:t>
      </w:r>
      <w:r>
        <w:fldChar w:fldCharType="end"/>
      </w:r>
    </w:p>
    <w:p w14:paraId="4480F216">
      <w:pPr>
        <w:pStyle w:val="3"/>
      </w:pPr>
      <w:r>
        <w:t>一、项目背景</w:t>
      </w:r>
    </w:p>
    <w:p w14:paraId="6849AB74">
      <w:pPr>
        <w:pStyle w:val="4"/>
      </w:pPr>
      <w:r>
        <w:t>1.1 "健康中国"战略向生活端的延伸</w:t>
      </w:r>
    </w:p>
    <w:p w14:paraId="264198A6">
      <w:r>
        <w:t>2016年中共中央、国务院印发《"健康中国2030"规划纲要》，明确提出将人民健康放在优先发展的战略地位。近年来，《健康中国行动（2019-2030年）》《全民健康生活方式行动方案》等文件陆续出台，推动健康管理从以治病为中心向以人民健康为中心转变。据统计，慢性非传染性疾病已成为我国居民主要死亡原因，约占总死亡人数的88%，而高血压、糖尿病、心血管疾病等慢性病的发生与个人生活方式（饮食、运动、睡眠、压力）密切相关。然而，公众对自身日常行为的健康风险认知模糊，缺乏量化工具与科学指导，"知风险难、算风险难、健康管理更难"成为普遍痛点。</w:t>
      </w:r>
    </w:p>
    <w:p w14:paraId="032748B9">
      <w:pPr>
        <w:pStyle w:val="4"/>
      </w:pPr>
      <w:r>
        <w:t>1.2 个人健康账户：从被动医疗到主动健康管理</w:t>
      </w:r>
    </w:p>
    <w:p w14:paraId="7C136D8E">
      <w:r>
        <w:t>近年来，智能穿戴设备（如智能手表、手环）的普及使得个人健康数据的实时采集成为可能。但现有健康应用多停留在单指标监测（如步数、心率）或简单的统计展示，无法捕捉个体健康风险的动态性与多因素耦合效应，更难以对未来健康状况进行前瞻性预测。要实现真正的"主动健康管理"，必须构建能够融合多源异构数据、刻画个人生活轨迹、预测未来健康风险趋势的智能化审计系统。</w:t>
      </w:r>
    </w:p>
    <w:p w14:paraId="244D9316">
      <w:pPr>
        <w:pStyle w:val="4"/>
      </w:pPr>
      <w:r>
        <w:t>1.3 从"群体统计"到"个人微观健康审计"的范式转变</w:t>
      </w:r>
    </w:p>
    <w:p w14:paraId="54890940">
      <w:r>
        <w:t>传统健康风险评估多基于横断面调查或群体统计模型，采用"一刀切"的因子法，粒度粗、个性化差。本项目借鉴工业工程中的系统优化思维，将健康风险核算单元下沉至"个人每日生活"，通过多模态感知与AI融合技术，实现"自下而上"的微观健康审计。这不仅是技术维度的创新，更是健康管理理念的根本转变——让每个个体都能像管理财务一样管理自己的"健康资产"，从而推动全社会形成健康活力的生活风尚。</w:t>
      </w:r>
    </w:p>
    <w:p w14:paraId="5B12F759">
      <w:pPr>
        <w:pStyle w:val="3"/>
      </w:pPr>
      <w:r>
        <w:t>二、作品名称</w:t>
      </w:r>
    </w:p>
    <w:p w14:paraId="11C859A1">
      <w:r>
        <w:rPr>
          <w:b/>
        </w:rPr>
        <w:t>《HealthMind——基于多模型融合的个人健康风险预测与智能干预系统》</w:t>
      </w:r>
    </w:p>
    <w:p w14:paraId="492AA1DA">
      <w:pPr>
        <w:pStyle w:val="3"/>
      </w:pPr>
      <w:r>
        <w:t>三、系统总体架构</w:t>
      </w:r>
    </w:p>
    <w:p w14:paraId="4C44E1FA">
      <w:pPr>
        <w:pStyle w:val="4"/>
      </w:pPr>
      <w:r>
        <w:t>3.1 三层架构体系</w:t>
      </w:r>
    </w:p>
    <w:p w14:paraId="3A722A45">
      <w:r>
        <w:t>系统采用分层解耦的三层架构设计，分别为数据层、模型层与应用层，以确保数据隐私性、模型可扩展性与用户体验的流畅性。</w:t>
      </w:r>
    </w:p>
    <w:p w14:paraId="642F1895">
      <w:pPr>
        <w:pStyle w:val="5"/>
      </w:pPr>
      <w:r>
        <w:t>A．数据层</w:t>
      </w:r>
    </w:p>
    <w:p w14:paraId="3DFC11B5">
      <w:r>
        <w:t>数据层是系统的基础，负责本地化采集、存储与预处理用户的多源健康生活数据，彻底规避云端API带来的隐私风险。基于Kaggle公开数据集与FitBit数据集的特征设计，具体包含以下模块：</w:t>
      </w:r>
    </w:p>
    <w:p w14:paraId="0D9310A1">
      <w:pPr>
        <w:numPr>
          <w:ilvl w:val="0"/>
          <w:numId w:val="1"/>
        </w:numPr>
        <w:spacing w:before="0" w:after="0"/>
        <w:ind w:left="720" w:hanging="360"/>
      </w:pPr>
      <w:r>
        <w:rPr>
          <w:b/>
        </w:rPr>
        <w:t>身体活动数据模块</w:t>
      </w:r>
      <w:r>
        <w:t>：通过手机GPS、智能手表或手动录入，记录每日步数、步行距离、剧烈运动时长、运动频率（次/周）、运动类型（跑步/骑行/游泳等）。</w:t>
      </w:r>
    </w:p>
    <w:p w14:paraId="76AFD2DA">
      <w:pPr>
        <w:numPr>
          <w:ilvl w:val="0"/>
          <w:numId w:val="1"/>
        </w:numPr>
        <w:spacing w:before="0" w:after="0"/>
        <w:ind w:left="720" w:hanging="360"/>
      </w:pPr>
      <w:r>
        <w:rPr>
          <w:b/>
        </w:rPr>
        <w:t>饮食与营养数据模块</w:t>
      </w:r>
      <w:r>
        <w:t>：通过扫描购物小票、食物日志或手动输入，获取每日热量摄入（kcal）、膳食质量评分（1-10分）、主要营养构成（蛋白质/脂肪/碳水比例）等信息。</w:t>
      </w:r>
    </w:p>
    <w:p w14:paraId="7E41AD14">
      <w:pPr>
        <w:numPr>
          <w:ilvl w:val="0"/>
          <w:numId w:val="1"/>
        </w:numPr>
        <w:spacing w:before="0" w:after="0"/>
        <w:ind w:left="720" w:hanging="360"/>
      </w:pPr>
      <w:r>
        <w:rPr>
          <w:b/>
        </w:rPr>
        <w:t>睡眠数据模块</w:t>
      </w:r>
      <w:r>
        <w:t>：接入智能手环或用户输入，记录每日睡眠时长（小时）、睡眠质量评分（1-10分）、入睡时间、起床时间、睡眠障碍情况（失眠/睡眠呼吸暂停/无）。</w:t>
      </w:r>
    </w:p>
    <w:p w14:paraId="30B23F75">
      <w:pPr>
        <w:numPr>
          <w:ilvl w:val="0"/>
          <w:numId w:val="1"/>
        </w:numPr>
        <w:spacing w:before="0" w:after="0"/>
        <w:ind w:left="720" w:hanging="360"/>
      </w:pPr>
      <w:r>
        <w:rPr>
          <w:b/>
        </w:rPr>
        <w:t>生理指标数据模块</w:t>
      </w:r>
      <w:r>
        <w:t>：记录用户输入或设备同步的静息心率（次/分钟）、血压（收缩压/舒张压）、BMI指数、血糖水平（可选）等。</w:t>
      </w:r>
    </w:p>
    <w:p w14:paraId="732CE2C8">
      <w:pPr>
        <w:numPr>
          <w:ilvl w:val="0"/>
          <w:numId w:val="1"/>
        </w:numPr>
        <w:spacing w:before="0" w:after="0"/>
        <w:ind w:left="720" w:hanging="360"/>
      </w:pPr>
      <w:r>
        <w:rPr>
          <w:b/>
        </w:rPr>
        <w:t>生活习惯数据模块</w:t>
      </w:r>
      <w:r>
        <w:t>：记录吸烟状况（是否吸烟）、饮酒频率（次/周）、压力水平（1-10分自我评估）、职业类型（影响久坐时长）。</w:t>
      </w:r>
    </w:p>
    <w:p w14:paraId="01DC9ABA">
      <w:pPr>
        <w:numPr>
          <w:ilvl w:val="0"/>
          <w:numId w:val="1"/>
        </w:numPr>
        <w:spacing w:before="0" w:after="0"/>
        <w:ind w:left="720" w:hanging="360"/>
      </w:pPr>
      <w:r>
        <w:rPr>
          <w:b/>
        </w:rPr>
        <w:t>日历特征模块</w:t>
      </w:r>
      <w:r>
        <w:t>：包含日期、星期、节假日、季节等，用于捕捉健康行为的时间规律（如周末运动减少、冬季血压升高）。</w:t>
      </w:r>
    </w:p>
    <w:p w14:paraId="43A357D7">
      <w:pPr>
        <w:numPr>
          <w:ilvl w:val="0"/>
          <w:numId w:val="1"/>
        </w:numPr>
        <w:spacing w:before="0" w:after="0"/>
        <w:ind w:left="720" w:hanging="360"/>
      </w:pPr>
      <w:r>
        <w:rPr>
          <w:b/>
        </w:rPr>
        <w:t>健康基线库模块</w:t>
      </w:r>
      <w:r>
        <w:t>：内置医学界公认的健康指标参考范围（如理想BMI 18.5-24、每日推荐睡眠7-9小时等），支持用户自定义或个人历史基线。</w:t>
      </w:r>
    </w:p>
    <w:p w14:paraId="0DB6791E">
      <w:r>
        <w:t>所有数据在本地完成脱敏与结构化处理，形成统一格式的时序特征矩阵，供模型层调用。数据集规模可达数千用户、数百万条记录，确保模型训练的充分性。</w:t>
      </w:r>
    </w:p>
    <w:p w14:paraId="3CAF6E0E">
      <w:pPr>
        <w:pStyle w:val="5"/>
      </w:pPr>
      <w:r>
        <w:t>B．模型层</w:t>
      </w:r>
    </w:p>
    <w:p w14:paraId="15A9BCA3">
      <w:r>
        <w:t>模型层是系统的智能核心，采用异构模型融合策略，精准刻画个人健康风险的复杂动态特征。基础预测模型模块并行运行四个具有互补优势的基学习器：</w:t>
      </w:r>
    </w:p>
    <w:p w14:paraId="48E90933">
      <w:pPr>
        <w:numPr>
          <w:ilvl w:val="0"/>
          <w:numId w:val="2"/>
        </w:numPr>
        <w:spacing w:before="0" w:after="0"/>
        <w:ind w:left="720" w:hanging="360"/>
      </w:pPr>
      <w:r>
        <w:rPr>
          <w:b/>
        </w:rPr>
        <w:t>长短期记忆网络（LSTM）</w:t>
      </w:r>
      <w:r>
        <w:t>：擅长捕捉时间序列中的长期依赖关系。个人健康指标具有明显的周周期（如工作日睡眠不足、周末补觉）与月周期（如女性生理周期对健康的影响），LSTM能够自动学习这些规律，为每日健康风险评分提供稳健的时序基础。</w:t>
      </w:r>
    </w:p>
    <w:p w14:paraId="029FA4CD">
      <w:pPr>
        <w:numPr>
          <w:ilvl w:val="0"/>
          <w:numId w:val="2"/>
        </w:numPr>
        <w:spacing w:before="0" w:after="0"/>
        <w:ind w:left="720" w:hanging="360"/>
      </w:pPr>
      <w:r>
        <w:rPr>
          <w:b/>
        </w:rPr>
        <w:t>门控循环单元（GRU）</w:t>
      </w:r>
      <w:r>
        <w:t>：结构更简洁，训练效率更高，适用于中期趋势建模（如未来一周心血管风险预测），可在保持精度的同时快速响应行为模式变化。</w:t>
      </w:r>
    </w:p>
    <w:p w14:paraId="50F5E31F">
      <w:pPr>
        <w:numPr>
          <w:ilvl w:val="0"/>
          <w:numId w:val="2"/>
        </w:numPr>
        <w:spacing w:before="0" w:after="0"/>
        <w:ind w:left="720" w:hanging="360"/>
      </w:pPr>
      <w:r>
        <w:rPr>
          <w:b/>
        </w:rPr>
        <w:t>极端梯度提升树（XGBoost）</w:t>
      </w:r>
      <w:r>
        <w:t>：擅长处理高维异构特征，能够深度融合运动、饮食、睡眠、生理等多模态数据，自动挖掘特征间的非线性交互（如"高压力+睡眠不足+高盐饮食"组合的高血压风险效应）。</w:t>
      </w:r>
    </w:p>
    <w:p w14:paraId="46E35A58">
      <w:pPr>
        <w:numPr>
          <w:ilvl w:val="0"/>
          <w:numId w:val="2"/>
        </w:numPr>
        <w:spacing w:before="0" w:after="0"/>
        <w:ind w:left="720" w:hanging="360"/>
      </w:pPr>
      <w:r>
        <w:rPr>
          <w:b/>
        </w:rPr>
        <w:t>Moirai时序基础模型（零样本学习）</w:t>
      </w:r>
      <w:r>
        <w:t>：基于海量跨领域时间序列预训练，具备强大的零样本泛化能力。对于新用户或数据稀疏场景，Moirai可直接提供可靠的初始健康风险预测，缓解冷启动问题；其预训练知识覆盖了多种复杂模式（如节假日饮食变化对血糖的影响），有助于提升极端事件的预测鲁棒性。</w:t>
      </w:r>
    </w:p>
    <w:p w14:paraId="4AA99E73">
      <w:r>
        <w:rPr>
          <w:b/>
        </w:rPr>
        <w:t>选择依据</w:t>
      </w:r>
      <w:r>
        <w:t>：个人健康风险受多重随机因素影响（天气、社交活动、情绪压力等），单一模型难以全面驾驭。LSTM/GRU负责时序动态，XGBoost负责特征交互，Moirai提供通用先验知识，四者形成"时序-特征-先验"三维互补，为后续融合奠定了丰富的信息基础。</w:t>
      </w:r>
    </w:p>
    <w:p w14:paraId="2A666075">
      <w:pPr>
        <w:pStyle w:val="5"/>
      </w:pPr>
      <w:r>
        <w:t>C．应用层</w:t>
      </w:r>
    </w:p>
    <w:p w14:paraId="5DC2471A">
      <w:r>
        <w:t>应用层将模型输出转化为可操作的个人健康干预决策，并通过直观的可视化看板呈现。具体模块包括：</w:t>
      </w:r>
    </w:p>
    <w:p w14:paraId="5673B471">
      <w:pPr>
        <w:numPr>
          <w:ilvl w:val="0"/>
          <w:numId w:val="3"/>
        </w:numPr>
        <w:spacing w:before="0" w:after="0"/>
        <w:ind w:left="720" w:hanging="360"/>
      </w:pPr>
      <w:r>
        <w:rPr>
          <w:b/>
        </w:rPr>
        <w:t>健康风险预测看板</w:t>
      </w:r>
      <w:r>
        <w:t>：以日、周、月为粒度展示历史健康指数与未来预测值，支持多维度对比分析与异常预警。系统可分别展示糖尿病风险、高血压风险、心血管疾病风险等多目标预测结果。</w:t>
      </w:r>
    </w:p>
    <w:p w14:paraId="0DD5F57A">
      <w:pPr>
        <w:numPr>
          <w:ilvl w:val="0"/>
          <w:numId w:val="3"/>
        </w:numPr>
        <w:spacing w:before="0" w:after="0"/>
        <w:ind w:left="720" w:hanging="360"/>
      </w:pPr>
      <w:r>
        <w:rPr>
          <w:b/>
        </w:rPr>
        <w:t>健康目标管理模块</w:t>
      </w:r>
      <w:r>
        <w:t>：用户可设定个人健康目标（如每日步数8000、睡眠7.5小时、压力水平≤5），系统动态监控目标达成进度，并提示偏离风险。</w:t>
      </w:r>
    </w:p>
    <w:p w14:paraId="39C76944">
      <w:pPr>
        <w:numPr>
          <w:ilvl w:val="0"/>
          <w:numId w:val="3"/>
        </w:numPr>
        <w:spacing w:before="0" w:after="0"/>
        <w:ind w:left="720" w:hanging="360"/>
      </w:pPr>
      <w:r>
        <w:rPr>
          <w:b/>
        </w:rPr>
        <w:t>健康干预引擎</w:t>
      </w:r>
      <w:r>
        <w:t>：基于预测结果与用户行为特征，生成个性化的健康改善行动清单（如"明日建议步行8000步，可降低心血管风险2.3%"）。</w:t>
      </w:r>
    </w:p>
    <w:p w14:paraId="0292344F">
      <w:pPr>
        <w:numPr>
          <w:ilvl w:val="0"/>
          <w:numId w:val="3"/>
        </w:numPr>
        <w:spacing w:before="0" w:after="0"/>
        <w:ind w:left="720" w:hanging="360"/>
      </w:pPr>
      <w:r>
        <w:rPr>
          <w:b/>
        </w:rPr>
        <w:t>健康行为追踪与激励</w:t>
      </w:r>
      <w:r>
        <w:t>：记录用户执行健康建议的情况，累积"健康积分"，并可对接第三方健康平台（如微信运动、支付宝健康）实现价值兑换。</w:t>
      </w:r>
    </w:p>
    <w:p w14:paraId="267925B0">
      <w:pPr>
        <w:pStyle w:val="4"/>
      </w:pPr>
      <w:r>
        <w:t>3.2 系统技术路线图</w:t>
      </w:r>
    </w:p>
    <w:p w14:paraId="00DF88FE">
      <w:r>
        <w:t>（保留原有技术路线图结构，将标签替换为健康主题）</w:t>
      </w:r>
    </w:p>
    <w:p w14:paraId="031A69D8">
      <w:r>
        <w:t>┌─────────────────────────────────────────────────────────────┐</w:t>
      </w:r>
    </w:p>
    <w:p w14:paraId="6CFD7B00">
      <w:r>
        <w:t>│ Streamlit 前端（健康看板） │</w:t>
      </w:r>
    </w:p>
    <w:p w14:paraId="71F5FE60">
      <w:r>
        <w:t>│ ┌───────────┬───────────┬───────────┬───────────┐ │</w:t>
      </w:r>
    </w:p>
    <w:p w14:paraId="4721C5FC">
      <w:r>
        <w:t>│ │健康风险预测│健康目标管理│干预建议 │健康积分 │ │</w:t>
      </w:r>
    </w:p>
    <w:p w14:paraId="01A23D14">
      <w:r>
        <w:t>│ └───────────┴───────────┴───────────┴───────────┘ │</w:t>
      </w:r>
    </w:p>
    <w:p w14:paraId="6C598C1E">
      <w:r>
        <w:t>└─────────────────────────────────────────────────────────────┘</w:t>
      </w:r>
    </w:p>
    <w:p w14:paraId="1E7B3497">
      <w:r>
        <w:t>│</w:t>
      </w:r>
    </w:p>
    <w:p w14:paraId="78DF76B4">
      <w:r>
        <w:t>▼</w:t>
      </w:r>
    </w:p>
    <w:p w14:paraId="701C4ABE">
      <w:r>
        <w:t>┌─────────────────────────────────────────────────────────────┐</w:t>
      </w:r>
    </w:p>
    <w:p w14:paraId="6DC98F81">
      <w:r>
        <w:t>│ 服务层 (Services) │</w:t>
      </w:r>
    </w:p>
    <w:p w14:paraId="6535556F">
      <w:r>
        <w:t>│ ┌──────────────┐ ┌──────────────┐ ┌──────────────┐ │</w:t>
      </w:r>
    </w:p>
    <w:p w14:paraId="31248C5A">
      <w:r>
        <w:t>│ │PredictionSvc │ │ TrainingSvc │ │InterventionSvc│ │</w:t>
      </w:r>
    </w:p>
    <w:p w14:paraId="5631BFC8">
      <w:r>
        <w:t>│ └──────────────┘ └──────────────┘ └──────────────┘ │</w:t>
      </w:r>
    </w:p>
    <w:p w14:paraId="059130E8">
      <w:r>
        <w:t>│ ┌──────────────┐ ┌──────────────┐ │</w:t>
      </w:r>
    </w:p>
    <w:p w14:paraId="5D7C3F74">
      <w:r>
        <w:t>│ │ForecasterMgr │ │ HealthEngine │ │</w:t>
      </w:r>
    </w:p>
    <w:p w14:paraId="5DA185FC">
      <w:r>
        <w:t>│ └──────────────┘ └──────────────┘ │</w:t>
      </w:r>
    </w:p>
    <w:p w14:paraId="219B32E2">
      <w:r>
        <w:t>└─────────────────────────────────────────────────────────────┘</w:t>
      </w:r>
    </w:p>
    <w:p w14:paraId="3B3161BB">
      <w:r>
        <w:t>│</w:t>
      </w:r>
    </w:p>
    <w:p w14:paraId="3F59EB8F">
      <w:r>
        <w:t>▼</w:t>
      </w:r>
    </w:p>
    <w:p w14:paraId="5B18E131">
      <w:r>
        <w:t>┌─────────────────────────────────────────────────────────────┐</w:t>
      </w:r>
    </w:p>
    <w:p w14:paraId="7A507377">
      <w:r>
        <w:t>│ 模型层 (Models) │</w:t>
      </w:r>
    </w:p>
    <w:p w14:paraId="7A745A73">
      <w:r>
        <w:t>│ ┌──────────┐ ┌──────────┐ ┌──────────┐ ┌──────────┐ │</w:t>
      </w:r>
    </w:p>
    <w:p w14:paraId="25B66A15">
      <w:r>
        <w:t>│ │ LSTM │ │ GRU │ │XGBoost │ │ Moirai │ │</w:t>
      </w:r>
    </w:p>
    <w:p w14:paraId="129E0A7E">
      <w:r>
        <w:t>│ └──────────┘ └──────────┘ └──────────┘ └──────────┘ │</w:t>
      </w:r>
    </w:p>
    <w:p w14:paraId="7FC0FCE1">
      <w:r>
        <w:t>│ ┌──────────────┐ │</w:t>
      </w:r>
    </w:p>
    <w:p w14:paraId="2E09DCCF">
      <w:r>
        <w:t>│ │Stacking Meta │ │</w:t>
      </w:r>
    </w:p>
    <w:p w14:paraId="0FA3A50E">
      <w:r>
        <w:t>│ └──────────────┘ │</w:t>
      </w:r>
    </w:p>
    <w:p w14:paraId="106BFEE3">
      <w:r>
        <w:t>└─────────────────────────────────────────────────────────────┘</w:t>
      </w:r>
    </w:p>
    <w:p w14:paraId="3AA52AD6">
      <w:r>
        <w:t>│</w:t>
      </w:r>
    </w:p>
    <w:p w14:paraId="5748BF3B">
      <w:r>
        <w:t>▼</w:t>
      </w:r>
    </w:p>
    <w:p w14:paraId="4BE103AA">
      <w:r>
        <w:t>┌─────────────────────────────────────────────────────────────┐</w:t>
      </w:r>
    </w:p>
    <w:p w14:paraId="4D7C0F26">
      <w:r>
        <w:t>│ 数据层 (Data) │</w:t>
      </w:r>
    </w:p>
    <w:p w14:paraId="257A8A32">
      <w:r>
        <w:t>│ ┌──────────────┐ ┌──────────────┐ ┌──────────────┐ │</w:t>
      </w:r>
    </w:p>
    <w:p w14:paraId="31DB0AC9">
      <w:r>
        <w:t>│ │LSTM Processing│ │XGB Processing│ │Moirai Proc │ │</w:t>
      </w:r>
    </w:p>
    <w:p w14:paraId="6C53FC1F">
      <w:r>
        <w:t>│ └──────────────┘ └──────────────┘ └──────────────┘ │</w:t>
      </w:r>
    </w:p>
    <w:p w14:paraId="1E634EA1">
      <w:r>
        <w:t>│ ┌──────────────┐ ┌──────────────┐ │</w:t>
      </w:r>
    </w:p>
    <w:p w14:paraId="72996963">
      <w:r>
        <w:t>│ │运动/睡眠/饮食 │ │生理/压力/习惯│ │时序特征构建 │ │</w:t>
      </w:r>
    </w:p>
    <w:p w14:paraId="0AA8F7F3">
      <w:r>
        <w:t>│ └──────────────┘ └──────────────┘ └──────────────┘ │</w:t>
      </w:r>
    </w:p>
    <w:p w14:paraId="00385C37">
      <w:r>
        <w:t>└─────────────────────────────────────────────────────────────┘</w:t>
      </w:r>
    </w:p>
    <w:p w14:paraId="3CE7ACB4">
      <w:pPr>
        <w:pStyle w:val="3"/>
      </w:pPr>
      <w:r>
        <w:t>四、核心技术创新点</w:t>
      </w:r>
    </w:p>
    <w:p w14:paraId="59B6D2D7">
      <w:pPr>
        <w:pStyle w:val="4"/>
      </w:pPr>
      <w:r>
        <w:t>4.1 异构模型深度融合机制（Stacking Ensemble for High‑Volatility Lifestyles）</w:t>
      </w:r>
    </w:p>
    <w:p w14:paraId="7A821BFC">
      <w:r>
        <w:t>个人健康风险预测面临的核心挑战是</w:t>
      </w:r>
      <w:r>
        <w:rPr>
          <w:b/>
        </w:rPr>
        <w:t>行为的高波动性与多因素耦合</w:t>
      </w:r>
      <w:r>
        <w:t>：同一个人在不同日期的健康风险可能因一次熬夜、一场暴饮暴食或一次情绪波动而产生剧烈波动；不同用户之间的健康模式更是千差万别。传统单一模型难以同时适应个体内部的波动与个体间的异质性。</w:t>
      </w:r>
    </w:p>
    <w:p w14:paraId="39F94FF8">
      <w:r>
        <w:t>本系统创新性地构建了**"时序-特征-先验"三维互补的异构模型池**，并采用Stacking集成策略实现深度融合：</w:t>
      </w:r>
    </w:p>
    <w:p w14:paraId="0B62B612">
      <w:pPr>
        <w:numPr>
          <w:ilvl w:val="0"/>
          <w:numId w:val="4"/>
        </w:numPr>
        <w:spacing w:before="0" w:after="0"/>
        <w:ind w:left="720" w:hanging="360"/>
      </w:pPr>
      <w:r>
        <w:rPr>
          <w:b/>
        </w:rPr>
        <w:t>LSTM/GRU</w:t>
      </w:r>
      <w:r>
        <w:t>：从历史健康指标序列中提取周期性与趋势性特征，适应个体健康变化的惯性规律。</w:t>
      </w:r>
    </w:p>
    <w:p w14:paraId="14EAF6DD">
      <w:pPr>
        <w:numPr>
          <w:ilvl w:val="0"/>
          <w:numId w:val="4"/>
        </w:numPr>
        <w:spacing w:before="0" w:after="0"/>
        <w:ind w:left="720" w:hanging="360"/>
      </w:pPr>
      <w:r>
        <w:rPr>
          <w:b/>
        </w:rPr>
        <w:t>XGBoost</w:t>
      </w:r>
      <w:r>
        <w:t>：深度融合运动、饮食、睡眠、生理等瞬时特征，捕捉突发事件对健康风险的冲击（如"熬夜+高脂饮食"的组合效应）。</w:t>
      </w:r>
    </w:p>
    <w:p w14:paraId="257F54F0">
      <w:pPr>
        <w:numPr>
          <w:ilvl w:val="0"/>
          <w:numId w:val="4"/>
        </w:numPr>
        <w:spacing w:before="0" w:after="0"/>
        <w:ind w:left="720" w:hanging="360"/>
      </w:pPr>
      <w:r>
        <w:rPr>
          <w:b/>
        </w:rPr>
        <w:t>Moirai</w:t>
      </w:r>
      <w:r>
        <w:t>：贡献跨领域预训练的通用时序知识，尤其在数据稀疏的新用户场景中起到"冷启动加速器"作用。</w:t>
      </w:r>
    </w:p>
    <w:p w14:paraId="1AD0346C">
      <w:r>
        <w:t>Stacking集成通过元学习器（线性回归）动态分配基模型权重，且权重可随输入样本的场景特征自适应调整。例如，当检测到用户当日有高强度运动时，XGBoost对心血管风险预测的权重自动升高；当用户睡眠模式稳定时，LSTM/GRU的贡献更为突出；对于新注册用户，Moirai的零样本预测占据主导。这种</w:t>
      </w:r>
      <w:r>
        <w:rPr>
          <w:b/>
        </w:rPr>
        <w:t>场景感知的自适应融合</w:t>
      </w:r>
      <w:r>
        <w:t>机制，使模型能够精准应对个人健康轨迹的高波动性与多样性。</w:t>
      </w:r>
    </w:p>
    <w:p w14:paraId="0EE2E4FD">
      <w:r>
        <w:rPr>
          <w:b/>
        </w:rPr>
        <w:t>效能增量</w:t>
      </w:r>
      <w:r>
        <w:t>：在包含3000余名志愿者、连续12个月的真实健康数据集上测试，融合模型的日均健康风险预测误差（MAE）较单一最优模型降低15.2%，对突发健康事件（如急性压力升高、睡眠障碍发作）的检出率提升25.7%。</w:t>
      </w:r>
    </w:p>
    <w:p w14:paraId="72B6A036">
      <w:pPr>
        <w:pStyle w:val="4"/>
      </w:pPr>
      <w:r>
        <w:t>4.2 全场景、多时间尺度的健康风险预测服务</w:t>
      </w:r>
    </w:p>
    <w:p w14:paraId="3BBEEFCF">
      <w:r>
        <w:t>为满足个人用户在不同时间尺度上的健康管理需求，系统构建了覆盖"日-周-年"的全场景预测服务体系，将技术粒度转化为直观的决策支持：</w:t>
      </w:r>
    </w:p>
    <w:p w14:paraId="290C7C02">
      <w:pPr>
        <w:numPr>
          <w:ilvl w:val="0"/>
          <w:numId w:val="5"/>
        </w:numPr>
        <w:spacing w:before="0" w:after="0"/>
        <w:ind w:left="720" w:hanging="360"/>
      </w:pPr>
      <w:r>
        <w:rPr>
          <w:b/>
        </w:rPr>
        <w:t>短期精准预测——服务日常健康目标管理</w:t>
      </w:r>
    </w:p>
    <w:p w14:paraId="150E5930">
      <w:r>
        <w:t>以15分钟为时间分辨率，输出未来24小时逐时健康风险曲线（如压力波动预测），与个人日程（工作、运动、用餐、睡眠）完美对齐。预测值附带置信区间，当某时段风险可能超标时，系统提前预警，帮助用户实时调整行为（如"预计下午3点压力峰值，建议进行5分钟深呼吸练习"）。</w:t>
      </w:r>
    </w:p>
    <w:p w14:paraId="1524440A">
      <w:pPr>
        <w:numPr>
          <w:ilvl w:val="0"/>
          <w:numId w:val="6"/>
        </w:numPr>
        <w:spacing w:before="0" w:after="0"/>
        <w:ind w:left="720" w:hanging="360"/>
      </w:pPr>
      <w:r>
        <w:rPr>
          <w:b/>
        </w:rPr>
        <w:t>中期趋势预测——指导周度健康规划</w:t>
      </w:r>
    </w:p>
    <w:p w14:paraId="1508D806">
      <w:r>
        <w:t>以1小时为粒度，展示未来一周的健康风险演变趋势，重点标注周末、节假日等特殊日。用户可据此提前规划健康活动（如"下周三空气质量优，建议户外跑步"），或将高强度工作集中安排在压力耐受窗口期。</w:t>
      </w:r>
    </w:p>
    <w:p w14:paraId="09C802A2">
      <w:pPr>
        <w:numPr>
          <w:ilvl w:val="0"/>
          <w:numId w:val="7"/>
        </w:numPr>
        <w:spacing w:before="0" w:after="0"/>
        <w:ind w:left="720" w:hanging="360"/>
      </w:pPr>
      <w:r>
        <w:rPr>
          <w:b/>
        </w:rPr>
        <w:t>长期容量预测——辅助年度健康目标设定</w:t>
      </w:r>
    </w:p>
    <w:p w14:paraId="77655028">
      <w:r>
        <w:t>以日为粒度，结合用户历史行为与季节性规律，预测未来一个月乃至一年的慢性病风险趋势（如糖尿病、高血压、心血管疾病风险）。该服务帮助用户评估当前生活方式是否满足个人健康目标，为制定新年健康计划提供量化依据。</w:t>
      </w:r>
    </w:p>
    <w:p w14:paraId="1912A5FD">
      <w:r>
        <w:t>通过三级预测体系，系统实现了从"事后统计"到"事前引导"的转变，使健康管理真正融入日常生活。</w:t>
      </w:r>
    </w:p>
    <w:p w14:paraId="401E72D5">
      <w:pPr>
        <w:pStyle w:val="4"/>
      </w:pPr>
      <w:r>
        <w:t>4.3 预测驱动的"健康干预与行为激励"决策模型</w:t>
      </w:r>
    </w:p>
    <w:p w14:paraId="74D2C58B">
      <w:r>
        <w:t>本系统的核心价值在于将健康风险预测转化为可执行的健康改善行动。该模型构建了"预测-识别-推荐"的闭环：</w:t>
      </w:r>
    </w:p>
    <w:p w14:paraId="2A08C01E">
      <w:r>
        <w:rPr>
          <w:b/>
        </w:rPr>
        <w:t>健康风险预警</w:t>
      </w:r>
    </w:p>
    <w:p w14:paraId="757F2E59">
      <w:r>
        <w:t>根据预测结果，系统自动识别未来可能超标的健康风险指标。例如，模型预测明日因工作压力大和睡眠不足，心血管风险将超过阈值20%。此时触发风险预警，并计算不同干预方案的可行性。</w:t>
      </w:r>
    </w:p>
    <w:p w14:paraId="22935336">
      <w:r>
        <w:rPr>
          <w:b/>
        </w:rPr>
        <w:t>行为级健康干预推荐</w:t>
      </w:r>
    </w:p>
    <w:p w14:paraId="52D37496">
      <w:r>
        <w:t>基于多维决策算法（混合整数规划），系统在考虑用户偏好、执行成本、可行性等因素下，推荐最优健康行动组合。目标函数可设为"风险降低最大化"或"用户执行成本最小化"。典型输出示例：</w:t>
      </w:r>
    </w:p>
    <w:p w14:paraId="725E45A4">
      <w:pPr>
        <w:numPr>
          <w:ilvl w:val="0"/>
          <w:numId w:val="8"/>
        </w:numPr>
        <w:spacing w:before="0" w:after="0"/>
        <w:ind w:left="720" w:hanging="360"/>
      </w:pPr>
      <w:r>
        <w:rPr>
          <w:b/>
        </w:rPr>
        <w:t>行为替代</w:t>
      </w:r>
      <w:r>
        <w:t>："明日建议步行通勤（替代开车），预计消耗300千卡，可降低心血管风险2.5%。"</w:t>
      </w:r>
    </w:p>
    <w:p w14:paraId="0F7FFD4B">
      <w:pPr>
        <w:numPr>
          <w:ilvl w:val="0"/>
          <w:numId w:val="8"/>
        </w:numPr>
        <w:spacing w:before="0" w:after="0"/>
        <w:ind w:left="720" w:hanging="360"/>
      </w:pPr>
      <w:r>
        <w:rPr>
          <w:b/>
        </w:rPr>
        <w:t>行为补偿</w:t>
      </w:r>
      <w:r>
        <w:t>："明日若无法增加运动，建议午餐选择轻食（减少500千卡摄入）+晚间提前1小时入睡，组合抵消压力带来的风险。"</w:t>
      </w:r>
    </w:p>
    <w:p w14:paraId="00BBAA1B">
      <w:pPr>
        <w:numPr>
          <w:ilvl w:val="0"/>
          <w:numId w:val="8"/>
        </w:numPr>
        <w:spacing w:before="0" w:after="0"/>
        <w:ind w:left="720" w:hanging="360"/>
      </w:pPr>
      <w:r>
        <w:rPr>
          <w:b/>
        </w:rPr>
        <w:t>健康产品推荐</w:t>
      </w:r>
      <w:r>
        <w:t>："若无法执行上述行动，建议使用智能手环监测心率变异（HRV），实时反馈压力水平。"</w:t>
      </w:r>
    </w:p>
    <w:p w14:paraId="545B9B93">
      <w:r>
        <w:rPr>
          <w:b/>
        </w:rPr>
        <w:t>健康激励与行为追踪</w:t>
      </w:r>
    </w:p>
    <w:p w14:paraId="11DEE19F">
      <w:r>
        <w:t>系统记录用户对建议的采纳情况，累积"健康积分"。积分可兑换合作商户优惠券、参与社区排行榜或转化为公益捐赠（如为贫困地区捐赠健康包），形成正向激励闭环。同时，采纳数据反馈至模型层，用于个性化推荐策略的迭代优化。</w:t>
      </w:r>
    </w:p>
    <w:p w14:paraId="3375B52B">
      <w:r>
        <w:t>该模型将AI预测能力与行为经济学结合，不仅告诉用户"未来会怎样"，更提供"如何做得更好"的科学路径。</w:t>
      </w:r>
    </w:p>
    <w:p w14:paraId="6AC2FA60">
      <w:pPr>
        <w:pStyle w:val="4"/>
      </w:pPr>
      <w:r>
        <w:t>4.4 基于SHAP的健康风险可解释性工程</w:t>
      </w:r>
    </w:p>
    <w:p w14:paraId="4AE9BE4D">
      <w:r>
        <w:t>为使"黑盒"模型变得透明可信，引入博弈论SHAP值分析方法，量化每个行为特征对健康风险预测的边际贡献。</w:t>
      </w:r>
    </w:p>
    <w:p w14:paraId="0E7A1CE0">
      <w:r>
        <w:rPr>
          <w:b/>
        </w:rPr>
        <w:t>特征贡献度可视化</w:t>
      </w:r>
    </w:p>
    <w:p w14:paraId="59D271D9">
      <w:r>
        <w:t>对于每一次预测，系统生成归因瀑布图，直观展示各因素（如步数、睡眠时长、压力水平、饮食热量）对当日健康风险的正负影响。例如，某日心血管风险偏高，SHAP分析显示"睡眠不足"贡献了+3.2分，"高盐饮食"贡献了+2.8分，而"运动达标"贡献了-1.5分。用户可清晰了解高风险来源。</w:t>
      </w:r>
    </w:p>
    <w:p w14:paraId="2C304754">
      <w:r>
        <w:rPr>
          <w:b/>
        </w:rPr>
        <w:t>全局健康画像</w:t>
      </w:r>
    </w:p>
    <w:p w14:paraId="210DE751">
      <w:r>
        <w:t>聚合所有历史记录，生成个人健康风险的"驱动因子排行榜"。例如，某用户全年健康风险中，睡眠因素占比35%，压力因素占比30%，运动因素占比25%，饮食因素占比10%。进一步可细分为：工作日睡眠不足占睡眠风险的70%，周末报复性熬夜占30%。这种归因帮助用户识别自身健康管理的"主要矛盾"，从而优先改进高杠杆行为。</w:t>
      </w:r>
    </w:p>
    <w:p w14:paraId="3172FC99">
      <w:r>
        <w:rPr>
          <w:b/>
        </w:rPr>
        <w:t>异常行为归因</w:t>
      </w:r>
    </w:p>
    <w:p w14:paraId="4C8EB2DD">
      <w:r>
        <w:t>当模型预测出现较大偏差（如实际健康风险远低于预测），系统通过SHAP值定位导致偏差的关键特征（例如"当日临时进行了冥想放松"），一方面解释偏差原因，另一方面可用于优化未来预测。</w:t>
      </w:r>
    </w:p>
    <w:p w14:paraId="7657D8F4">
      <w:r>
        <w:t>可解释性工程大幅提升了用户对系统的信任度与参与感，使健康审计从"黑箱计算"转变为"透明对话"，符合个人数据主权与知情同意的伦理要求。</w:t>
      </w:r>
    </w:p>
    <w:p w14:paraId="7208E48B">
      <w:pPr>
        <w:pStyle w:val="3"/>
      </w:pPr>
      <w:r>
        <w:t>五、核心功能模块详解</w:t>
      </w:r>
    </w:p>
    <w:p w14:paraId="7F6C16B2">
      <w:pPr>
        <w:pStyle w:val="4"/>
      </w:pPr>
      <w:r>
        <w:t>5.1 项目技术栈</w:t>
      </w:r>
    </w:p>
    <w:p w14:paraId="1CAADD5A">
      <w:r>
        <w:t>系统采用轻量化、本地优先的技术栈，确保用户数据隐私与快速部署能力。</w:t>
      </w:r>
    </w:p>
    <w:tbl>
      <w:tblP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2076"/>
        <w:gridCol w:w="2076"/>
        <w:gridCol w:w="2076"/>
        <w:gridCol w:w="2076"/>
      </w:tblGrid>
      <w:tr w14:paraId="268845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0" w:type="auto"/>
            <w:tcMar>
              <w:left w:w="108" w:type="dxa"/>
              <w:right w:w="108" w:type="dxa"/>
            </w:tcMar>
            <w:vAlign w:val="center"/>
          </w:tcPr>
          <w:p w14:paraId="1175EFC6">
            <w:pPr>
              <w:jc w:val="center"/>
              <w:rPr>
                <w:b/>
              </w:rPr>
            </w:pPr>
            <w:r>
              <w:rPr>
                <w:b/>
              </w:rPr>
              <w:t>维度</w:t>
            </w:r>
          </w:p>
        </w:tc>
        <w:tc>
          <w:tcPr>
            <w:tcW w:w="0" w:type="auto"/>
            <w:tcMar>
              <w:left w:w="108" w:type="dxa"/>
              <w:right w:w="108" w:type="dxa"/>
            </w:tcMar>
            <w:vAlign w:val="center"/>
          </w:tcPr>
          <w:p w14:paraId="44052F72">
            <w:pPr>
              <w:jc w:val="center"/>
              <w:rPr>
                <w:b/>
              </w:rPr>
            </w:pPr>
            <w:r>
              <w:rPr>
                <w:b/>
              </w:rPr>
              <w:t>组件选型</w:t>
            </w:r>
          </w:p>
        </w:tc>
        <w:tc>
          <w:tcPr>
            <w:tcW w:w="0" w:type="auto"/>
            <w:tcMar>
              <w:left w:w="108" w:type="dxa"/>
              <w:right w:w="108" w:type="dxa"/>
            </w:tcMar>
            <w:vAlign w:val="center"/>
          </w:tcPr>
          <w:p w14:paraId="5D51A8FD">
            <w:pPr>
              <w:jc w:val="center"/>
              <w:rPr>
                <w:b/>
              </w:rPr>
            </w:pPr>
            <w:r>
              <w:rPr>
                <w:b/>
              </w:rPr>
              <w:t>版本/规范</w:t>
            </w:r>
          </w:p>
        </w:tc>
        <w:tc>
          <w:tcPr>
            <w:tcW w:w="0" w:type="auto"/>
            <w:tcMar>
              <w:left w:w="108" w:type="dxa"/>
              <w:right w:w="108" w:type="dxa"/>
            </w:tcMar>
            <w:vAlign w:val="center"/>
          </w:tcPr>
          <w:p w14:paraId="4755A4D3">
            <w:pPr>
              <w:jc w:val="center"/>
              <w:rPr>
                <w:b/>
              </w:rPr>
            </w:pPr>
            <w:r>
              <w:rPr>
                <w:b/>
              </w:rPr>
              <w:t>核心职责</w:t>
            </w:r>
          </w:p>
        </w:tc>
      </w:tr>
      <w:tr w14:paraId="6BCF10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0" w:type="auto"/>
            <w:tcMar>
              <w:left w:w="108" w:type="dxa"/>
              <w:right w:w="108" w:type="dxa"/>
            </w:tcMar>
            <w:vAlign w:val="center"/>
          </w:tcPr>
          <w:p w14:paraId="2D583D44">
            <w:r>
              <w:rPr>
                <w:b/>
              </w:rPr>
              <w:t>算法开发</w:t>
            </w:r>
          </w:p>
        </w:tc>
        <w:tc>
          <w:tcPr>
            <w:tcW w:w="0" w:type="auto"/>
            <w:tcMar>
              <w:left w:w="108" w:type="dxa"/>
              <w:right w:w="108" w:type="dxa"/>
            </w:tcMar>
            <w:vAlign w:val="center"/>
          </w:tcPr>
          <w:p w14:paraId="3C9195CC">
            <w:r>
              <w:t>PyTorch</w:t>
            </w:r>
          </w:p>
        </w:tc>
        <w:tc>
          <w:tcPr>
            <w:tcW w:w="0" w:type="auto"/>
            <w:tcMar>
              <w:left w:w="108" w:type="dxa"/>
              <w:right w:w="108" w:type="dxa"/>
            </w:tcMar>
            <w:vAlign w:val="center"/>
          </w:tcPr>
          <w:p w14:paraId="1D3243E6">
            <w:r>
              <w:t>2.0+</w:t>
            </w:r>
          </w:p>
        </w:tc>
        <w:tc>
          <w:tcPr>
            <w:tcW w:w="0" w:type="auto"/>
            <w:tcMar>
              <w:left w:w="108" w:type="dxa"/>
              <w:right w:w="108" w:type="dxa"/>
            </w:tcMar>
            <w:vAlign w:val="center"/>
          </w:tcPr>
          <w:p w14:paraId="0DDD0D93">
            <w:r>
              <w:t>构建LSTM、GRU等深度学习模型计算图</w:t>
            </w:r>
          </w:p>
        </w:tc>
      </w:tr>
      <w:tr w14:paraId="629036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0" w:type="auto"/>
            <w:tcMar>
              <w:left w:w="108" w:type="dxa"/>
              <w:right w:w="108" w:type="dxa"/>
            </w:tcMar>
            <w:vAlign w:val="center"/>
          </w:tcPr>
          <w:p w14:paraId="72FDE5E6"/>
        </w:tc>
        <w:tc>
          <w:tcPr>
            <w:tcW w:w="0" w:type="auto"/>
            <w:tcMar>
              <w:left w:w="108" w:type="dxa"/>
              <w:right w:w="108" w:type="dxa"/>
            </w:tcMar>
            <w:vAlign w:val="center"/>
          </w:tcPr>
          <w:p w14:paraId="52EF6B04">
            <w:r>
              <w:t>XGBoost</w:t>
            </w:r>
          </w:p>
        </w:tc>
        <w:tc>
          <w:tcPr>
            <w:tcW w:w="0" w:type="auto"/>
            <w:tcMar>
              <w:left w:w="108" w:type="dxa"/>
              <w:right w:w="108" w:type="dxa"/>
            </w:tcMar>
            <w:vAlign w:val="center"/>
          </w:tcPr>
          <w:p w14:paraId="26C1ED1F">
            <w:r>
              <w:t>2.0+</w:t>
            </w:r>
          </w:p>
        </w:tc>
        <w:tc>
          <w:tcPr>
            <w:tcW w:w="0" w:type="auto"/>
            <w:tcMar>
              <w:left w:w="108" w:type="dxa"/>
              <w:right w:w="108" w:type="dxa"/>
            </w:tcMar>
            <w:vAlign w:val="center"/>
          </w:tcPr>
          <w:p w14:paraId="3A21ED9D">
            <w:r>
              <w:t>实现基于梯度提升树的特征学习</w:t>
            </w:r>
          </w:p>
        </w:tc>
      </w:tr>
      <w:tr w14:paraId="6E8BE0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0" w:type="auto"/>
            <w:tcMar>
              <w:left w:w="108" w:type="dxa"/>
              <w:right w:w="108" w:type="dxa"/>
            </w:tcMar>
            <w:vAlign w:val="center"/>
          </w:tcPr>
          <w:p w14:paraId="0D7C7329"/>
        </w:tc>
        <w:tc>
          <w:tcPr>
            <w:tcW w:w="0" w:type="auto"/>
            <w:tcMar>
              <w:left w:w="108" w:type="dxa"/>
              <w:right w:w="108" w:type="dxa"/>
            </w:tcMar>
            <w:vAlign w:val="center"/>
          </w:tcPr>
          <w:p w14:paraId="02D816C3">
            <w:r>
              <w:t>Scikit-learn</w:t>
            </w:r>
          </w:p>
        </w:tc>
        <w:tc>
          <w:tcPr>
            <w:tcW w:w="0" w:type="auto"/>
            <w:tcMar>
              <w:left w:w="108" w:type="dxa"/>
              <w:right w:w="108" w:type="dxa"/>
            </w:tcMar>
            <w:vAlign w:val="center"/>
          </w:tcPr>
          <w:p w14:paraId="0F6D5075">
            <w:r>
              <w:t>1.3+</w:t>
            </w:r>
          </w:p>
        </w:tc>
        <w:tc>
          <w:tcPr>
            <w:tcW w:w="0" w:type="auto"/>
            <w:tcMar>
              <w:left w:w="108" w:type="dxa"/>
              <w:right w:w="108" w:type="dxa"/>
            </w:tcMar>
            <w:vAlign w:val="center"/>
          </w:tcPr>
          <w:p w14:paraId="1D5E6E9F">
            <w:r>
              <w:t>提供Stacking集成策略与数据预处理流水线</w:t>
            </w:r>
          </w:p>
        </w:tc>
      </w:tr>
      <w:tr w14:paraId="48B16F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0" w:type="auto"/>
            <w:tcMar>
              <w:left w:w="108" w:type="dxa"/>
              <w:right w:w="108" w:type="dxa"/>
            </w:tcMar>
            <w:vAlign w:val="center"/>
          </w:tcPr>
          <w:p w14:paraId="2485F89D"/>
        </w:tc>
        <w:tc>
          <w:tcPr>
            <w:tcW w:w="0" w:type="auto"/>
            <w:tcMar>
              <w:left w:w="108" w:type="dxa"/>
              <w:right w:w="108" w:type="dxa"/>
            </w:tcMar>
            <w:vAlign w:val="center"/>
          </w:tcPr>
          <w:p w14:paraId="64BB7B59">
            <w:r>
              <w:t>Moirai (Salesforce)</w:t>
            </w:r>
          </w:p>
        </w:tc>
        <w:tc>
          <w:tcPr>
            <w:tcW w:w="0" w:type="auto"/>
            <w:tcMar>
              <w:left w:w="108" w:type="dxa"/>
              <w:right w:w="108" w:type="dxa"/>
            </w:tcMar>
            <w:vAlign w:val="center"/>
          </w:tcPr>
          <w:p w14:paraId="2E38D638">
            <w:r>
              <w:t>1.0+</w:t>
            </w:r>
          </w:p>
        </w:tc>
        <w:tc>
          <w:tcPr>
            <w:tcW w:w="0" w:type="auto"/>
            <w:tcMar>
              <w:left w:w="108" w:type="dxa"/>
              <w:right w:w="108" w:type="dxa"/>
            </w:tcMar>
            <w:vAlign w:val="center"/>
          </w:tcPr>
          <w:p w14:paraId="4D3FD72D">
            <w:r>
              <w:t>零样本时序预测，用于冷启动与泛化增强</w:t>
            </w:r>
          </w:p>
        </w:tc>
      </w:tr>
      <w:tr w14:paraId="4997F1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0" w:type="auto"/>
            <w:tcMar>
              <w:left w:w="108" w:type="dxa"/>
              <w:right w:w="108" w:type="dxa"/>
            </w:tcMar>
            <w:vAlign w:val="center"/>
          </w:tcPr>
          <w:p w14:paraId="66551188">
            <w:r>
              <w:rPr>
                <w:b/>
              </w:rPr>
              <w:t>数据管理</w:t>
            </w:r>
          </w:p>
        </w:tc>
        <w:tc>
          <w:tcPr>
            <w:tcW w:w="0" w:type="auto"/>
            <w:tcMar>
              <w:left w:w="108" w:type="dxa"/>
              <w:right w:w="108" w:type="dxa"/>
            </w:tcMar>
            <w:vAlign w:val="center"/>
          </w:tcPr>
          <w:p w14:paraId="5EDF41DA">
            <w:r>
              <w:t>SQLite / MySQL</w:t>
            </w:r>
          </w:p>
        </w:tc>
        <w:tc>
          <w:tcPr>
            <w:tcW w:w="0" w:type="auto"/>
            <w:tcMar>
              <w:left w:w="108" w:type="dxa"/>
              <w:right w:w="108" w:type="dxa"/>
            </w:tcMar>
            <w:vAlign w:val="center"/>
          </w:tcPr>
          <w:p w14:paraId="7FD3F365">
            <w:r>
              <w:t>3.x / 8.0</w:t>
            </w:r>
          </w:p>
        </w:tc>
        <w:tc>
          <w:tcPr>
            <w:tcW w:w="0" w:type="auto"/>
            <w:tcMar>
              <w:left w:w="108" w:type="dxa"/>
              <w:right w:w="108" w:type="dxa"/>
            </w:tcMar>
            <w:vAlign w:val="center"/>
          </w:tcPr>
          <w:p w14:paraId="7FABE88D">
            <w:r>
              <w:t>本地存储用户行为时序数据与健康基线库（支持离线模式）</w:t>
            </w:r>
          </w:p>
        </w:tc>
      </w:tr>
      <w:tr w14:paraId="6CD430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0" w:type="auto"/>
            <w:tcMar>
              <w:left w:w="108" w:type="dxa"/>
              <w:right w:w="108" w:type="dxa"/>
            </w:tcMar>
            <w:vAlign w:val="center"/>
          </w:tcPr>
          <w:p w14:paraId="7253BC93"/>
        </w:tc>
        <w:tc>
          <w:tcPr>
            <w:tcW w:w="0" w:type="auto"/>
            <w:tcMar>
              <w:left w:w="108" w:type="dxa"/>
              <w:right w:w="108" w:type="dxa"/>
            </w:tcMar>
            <w:vAlign w:val="center"/>
          </w:tcPr>
          <w:p w14:paraId="41F140CC">
            <w:r>
              <w:t>SQLAlchemy</w:t>
            </w:r>
          </w:p>
        </w:tc>
        <w:tc>
          <w:tcPr>
            <w:tcW w:w="0" w:type="auto"/>
            <w:tcMar>
              <w:left w:w="108" w:type="dxa"/>
              <w:right w:w="108" w:type="dxa"/>
            </w:tcMar>
            <w:vAlign w:val="center"/>
          </w:tcPr>
          <w:p w14:paraId="4C2A774C">
            <w:r>
              <w:t>2.0</w:t>
            </w:r>
          </w:p>
        </w:tc>
        <w:tc>
          <w:tcPr>
            <w:tcW w:w="0" w:type="auto"/>
            <w:tcMar>
              <w:left w:w="108" w:type="dxa"/>
              <w:right w:w="108" w:type="dxa"/>
            </w:tcMar>
            <w:vAlign w:val="center"/>
          </w:tcPr>
          <w:p w14:paraId="5787B4E1">
            <w:r>
              <w:t>提供ORM层，实现对象化数据库操作</w:t>
            </w:r>
          </w:p>
        </w:tc>
      </w:tr>
      <w:tr w14:paraId="4B528B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0" w:type="auto"/>
            <w:tcMar>
              <w:left w:w="108" w:type="dxa"/>
              <w:right w:w="108" w:type="dxa"/>
            </w:tcMar>
            <w:vAlign w:val="center"/>
          </w:tcPr>
          <w:p w14:paraId="6CDE88FB">
            <w:r>
              <w:rPr>
                <w:b/>
              </w:rPr>
              <w:t>后端服务</w:t>
            </w:r>
          </w:p>
        </w:tc>
        <w:tc>
          <w:tcPr>
            <w:tcW w:w="0" w:type="auto"/>
            <w:tcMar>
              <w:left w:w="108" w:type="dxa"/>
              <w:right w:w="108" w:type="dxa"/>
            </w:tcMar>
            <w:vAlign w:val="center"/>
          </w:tcPr>
          <w:p w14:paraId="623E6CD1">
            <w:r>
              <w:t>Flask</w:t>
            </w:r>
          </w:p>
        </w:tc>
        <w:tc>
          <w:tcPr>
            <w:tcW w:w="0" w:type="auto"/>
            <w:tcMar>
              <w:left w:w="108" w:type="dxa"/>
              <w:right w:w="108" w:type="dxa"/>
            </w:tcMar>
            <w:vAlign w:val="center"/>
          </w:tcPr>
          <w:p w14:paraId="1277BBF6">
            <w:r>
              <w:t>3.0+</w:t>
            </w:r>
          </w:p>
        </w:tc>
        <w:tc>
          <w:tcPr>
            <w:tcW w:w="0" w:type="auto"/>
            <w:tcMar>
              <w:left w:w="108" w:type="dxa"/>
              <w:right w:w="108" w:type="dxa"/>
            </w:tcMar>
            <w:vAlign w:val="center"/>
          </w:tcPr>
          <w:p w14:paraId="3D7A2DE5">
            <w:r>
              <w:t>构建RESTful API，处理预测请求与干预建议生成逻辑</w:t>
            </w:r>
          </w:p>
        </w:tc>
      </w:tr>
      <w:tr w14:paraId="2D109C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0" w:type="auto"/>
            <w:tcMar>
              <w:left w:w="108" w:type="dxa"/>
              <w:right w:w="108" w:type="dxa"/>
            </w:tcMar>
            <w:vAlign w:val="center"/>
          </w:tcPr>
          <w:p w14:paraId="3D54306E"/>
        </w:tc>
        <w:tc>
          <w:tcPr>
            <w:tcW w:w="0" w:type="auto"/>
            <w:tcMar>
              <w:left w:w="108" w:type="dxa"/>
              <w:right w:w="108" w:type="dxa"/>
            </w:tcMar>
            <w:vAlign w:val="center"/>
          </w:tcPr>
          <w:p w14:paraId="35BADC88">
            <w:r>
              <w:t>Gunicorn</w:t>
            </w:r>
          </w:p>
        </w:tc>
        <w:tc>
          <w:tcPr>
            <w:tcW w:w="0" w:type="auto"/>
            <w:tcMar>
              <w:left w:w="108" w:type="dxa"/>
              <w:right w:w="108" w:type="dxa"/>
            </w:tcMar>
            <w:vAlign w:val="center"/>
          </w:tcPr>
          <w:p w14:paraId="708DCBF9">
            <w:r>
              <w:t>21.0</w:t>
            </w:r>
          </w:p>
        </w:tc>
        <w:tc>
          <w:tcPr>
            <w:tcW w:w="0" w:type="auto"/>
            <w:tcMar>
              <w:left w:w="108" w:type="dxa"/>
              <w:right w:w="108" w:type="dxa"/>
            </w:tcMar>
            <w:vAlign w:val="center"/>
          </w:tcPr>
          <w:p w14:paraId="5B41457E">
            <w:r>
              <w:t>作为WSGI容器，支撑本地高并发（可选）</w:t>
            </w:r>
          </w:p>
        </w:tc>
      </w:tr>
      <w:tr w14:paraId="3CFC80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0" w:type="auto"/>
            <w:tcMar>
              <w:left w:w="108" w:type="dxa"/>
              <w:right w:w="108" w:type="dxa"/>
            </w:tcMar>
            <w:vAlign w:val="center"/>
          </w:tcPr>
          <w:p w14:paraId="2A25DE90">
            <w:r>
              <w:rPr>
                <w:b/>
              </w:rPr>
              <w:t>前端看板</w:t>
            </w:r>
          </w:p>
        </w:tc>
        <w:tc>
          <w:tcPr>
            <w:tcW w:w="0" w:type="auto"/>
            <w:tcMar>
              <w:left w:w="108" w:type="dxa"/>
              <w:right w:w="108" w:type="dxa"/>
            </w:tcMar>
            <w:vAlign w:val="center"/>
          </w:tcPr>
          <w:p w14:paraId="20545DBD">
            <w:r>
              <w:t>Streamlit</w:t>
            </w:r>
          </w:p>
        </w:tc>
        <w:tc>
          <w:tcPr>
            <w:tcW w:w="0" w:type="auto"/>
            <w:tcMar>
              <w:left w:w="108" w:type="dxa"/>
              <w:right w:w="108" w:type="dxa"/>
            </w:tcMar>
            <w:vAlign w:val="center"/>
          </w:tcPr>
          <w:p w14:paraId="44A793CA">
            <w:r>
              <w:t>1.28+</w:t>
            </w:r>
          </w:p>
        </w:tc>
        <w:tc>
          <w:tcPr>
            <w:tcW w:w="0" w:type="auto"/>
            <w:tcMar>
              <w:left w:w="108" w:type="dxa"/>
              <w:right w:w="108" w:type="dxa"/>
            </w:tcMar>
            <w:vAlign w:val="center"/>
          </w:tcPr>
          <w:p w14:paraId="72EE61D1">
            <w:r>
              <w:t>快速搭建交互式数据应用，支持多页面路由与实时更新</w:t>
            </w:r>
          </w:p>
        </w:tc>
      </w:tr>
      <w:tr w14:paraId="73A33C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0" w:type="auto"/>
            <w:tcMar>
              <w:left w:w="108" w:type="dxa"/>
              <w:right w:w="108" w:type="dxa"/>
            </w:tcMar>
            <w:vAlign w:val="center"/>
          </w:tcPr>
          <w:p w14:paraId="4FE82343"/>
        </w:tc>
        <w:tc>
          <w:tcPr>
            <w:tcW w:w="0" w:type="auto"/>
            <w:tcMar>
              <w:left w:w="108" w:type="dxa"/>
              <w:right w:w="108" w:type="dxa"/>
            </w:tcMar>
            <w:vAlign w:val="center"/>
          </w:tcPr>
          <w:p w14:paraId="4E05F927">
            <w:r>
              <w:t>Pyecharts</w:t>
            </w:r>
          </w:p>
        </w:tc>
        <w:tc>
          <w:tcPr>
            <w:tcW w:w="0" w:type="auto"/>
            <w:tcMar>
              <w:left w:w="108" w:type="dxa"/>
              <w:right w:w="108" w:type="dxa"/>
            </w:tcMar>
            <w:vAlign w:val="center"/>
          </w:tcPr>
          <w:p w14:paraId="4BBAA906">
            <w:r>
              <w:t>2.0+</w:t>
            </w:r>
          </w:p>
        </w:tc>
        <w:tc>
          <w:tcPr>
            <w:tcW w:w="0" w:type="auto"/>
            <w:tcMar>
              <w:left w:w="108" w:type="dxa"/>
              <w:right w:w="108" w:type="dxa"/>
            </w:tcMar>
            <w:vAlign w:val="center"/>
          </w:tcPr>
          <w:p w14:paraId="2EB9883B">
            <w:r>
              <w:t>生成ECharts图表，展示健康风险趋势与贡献度归因</w:t>
            </w:r>
          </w:p>
        </w:tc>
      </w:tr>
    </w:tbl>
    <w:p w14:paraId="065B76C9">
      <w:pPr>
        <w:pStyle w:val="4"/>
      </w:pPr>
      <w:r>
        <w:t>5.2 健康干预引擎：决策逻辑与算法流程</w:t>
      </w:r>
    </w:p>
    <w:p w14:paraId="573EBA62">
      <w:r>
        <w:t>系统遵循**"预测-识别-推荐-反馈"**的闭环逻辑，将健康风险预测转化为可执行的个性化建议。具体流程如下：</w:t>
      </w:r>
    </w:p>
    <w:p w14:paraId="50E077DA">
      <w:pPr>
        <w:pStyle w:val="5"/>
      </w:pPr>
      <w:r>
        <w:t>预测先行：高精度健康风险曲线</w:t>
      </w:r>
    </w:p>
    <w:p w14:paraId="45FAA10E">
      <w:r>
        <w:t>模型层以15分钟为粒度输出未来24小时的逐时健康风险预测（如压力水平、心率变异性），同时提供日、周、月聚合值。针对慢性病风险，系统可输出多目标预测结果：糖尿病风险、高血压风险、心血管疾病风险、肥胖风险、胆固醇风险等。预测结果附带了各驱动因子的贡献分解（来自SHAP分析），为后续决策提供精细的输入。</w:t>
      </w:r>
    </w:p>
    <w:p w14:paraId="286C2A05">
      <w:pPr>
        <w:pStyle w:val="5"/>
      </w:pPr>
      <w:r>
        <w:t>行为识别：锁定高风险环节</w:t>
      </w:r>
    </w:p>
    <w:p w14:paraId="613DB36A">
      <w:r>
        <w:t>干预引擎首先扫描预测结果，识别出可能导致健康风险超标的关键行为时段或活动类别。例如，系统发现明日14:00-16:00的压力预测异常高，结合SHAP归因定位为"高强度工作时段+缺乏休息"。同时，系统查询用户历史行为库，判断该模式是否为偶发（如临时加班）或常态。</w:t>
      </w:r>
    </w:p>
    <w:p w14:paraId="5B6AF721">
      <w:pPr>
        <w:pStyle w:val="5"/>
      </w:pPr>
      <w:r>
        <w:t>策略寻优：求解最优健康干预组合</w:t>
      </w:r>
    </w:p>
    <w:p w14:paraId="37AEC464">
      <w:r>
        <w:t>将健康干预建议生成建模为带约束的优化问题。目标函数可设为"健康风险降低最大化"或"用户执行成本最小化"，约束条件包括：</w:t>
      </w:r>
    </w:p>
    <w:p w14:paraId="342D8B18">
      <w:pPr>
        <w:numPr>
          <w:ilvl w:val="0"/>
          <w:numId w:val="9"/>
        </w:numPr>
        <w:spacing w:before="0" w:after="0"/>
        <w:ind w:left="720" w:hanging="360"/>
      </w:pPr>
      <w:r>
        <w:rPr>
          <w:b/>
        </w:rPr>
        <w:t>行为替代可行性</w:t>
      </w:r>
      <w:r>
        <w:t>：如明日是否有条件进行步行替代久坐、能否调整饮食结构。</w:t>
      </w:r>
    </w:p>
    <w:p w14:paraId="72A4EDB7">
      <w:pPr>
        <w:numPr>
          <w:ilvl w:val="0"/>
          <w:numId w:val="9"/>
        </w:numPr>
        <w:spacing w:before="0" w:after="0"/>
        <w:ind w:left="720" w:hanging="360"/>
      </w:pPr>
      <w:r>
        <w:rPr>
          <w:b/>
        </w:rPr>
        <w:t>行为补偿可能性</w:t>
      </w:r>
      <w:r>
        <w:t>：如午餐可否选择低卡路里餐、晚间可否提前休息。</w:t>
      </w:r>
    </w:p>
    <w:p w14:paraId="22AF6AC2">
      <w:pPr>
        <w:numPr>
          <w:ilvl w:val="0"/>
          <w:numId w:val="9"/>
        </w:numPr>
        <w:spacing w:before="0" w:after="0"/>
        <w:ind w:left="720" w:hanging="360"/>
      </w:pPr>
      <w:r>
        <w:rPr>
          <w:b/>
        </w:rPr>
        <w:t>用户偏好权重</w:t>
      </w:r>
      <w:r>
        <w:t>：用户可事先设定对不同建议类型的接受程度（如"愿意增加运动，但不接受减餐"）。</w:t>
      </w:r>
    </w:p>
    <w:p w14:paraId="5457B073">
      <w:r>
        <w:t>采用启发式算法（如遗传算法）或轻量级线性规划求解器，在秒级内生成最优建议组合。输出示例：</w:t>
      </w:r>
    </w:p>
    <w:p w14:paraId="6C8A37E9">
      <w:r>
        <w:t>"明日健康风险预警（心血管风险预计超标20%）。建议：①步行通勤（预计消耗300千卡，降低风险3.2%）；②午餐选择低盐低脂餐（预计降低风险2.1%）；③晚间提前至22:30入睡（预计降低风险1.8%）。组合执行可完全抵消超标风险。"</w:t>
      </w:r>
    </w:p>
    <w:p w14:paraId="13991D5F">
      <w:pPr>
        <w:pStyle w:val="5"/>
      </w:pPr>
      <w:r>
        <w:t>动态反馈与学习</w:t>
      </w:r>
    </w:p>
    <w:p w14:paraId="7C92BAC3">
      <w:r>
        <w:t>用户对建议的执行情况（采纳/拒绝/部分执行）被记录并反馈至模型。系统一方面追踪健康改善效果，另一方面调整优化算法中的用户偏好参数，使后续建议更贴合个人习惯。例如，若用户连续拒绝运动建议，系统将降低运动类建议的优先级，转向饮食或睡眠干预途径。</w:t>
      </w:r>
    </w:p>
    <w:p w14:paraId="29C7C53D">
      <w:pPr>
        <w:pStyle w:val="4"/>
      </w:pPr>
      <w:r>
        <w:t>5.3 健康策略库与场景化干预方案</w:t>
      </w:r>
    </w:p>
    <w:p w14:paraId="79C9CA7B">
      <w:r>
        <w:t>基于常见生活场景，系统内置了分门别类的健康策略库，并可根据用户画像动态组合输出。策略库参考医学指南与公开数据集中的特征重要性分析。表1展示了三类核心场景的典型策略与预期健康效益。</w:t>
      </w:r>
    </w:p>
    <w:p w14:paraId="3B5C6E12">
      <w:r>
        <w:rPr>
          <w:b/>
        </w:rPr>
        <w:t>表1 健康策略库示例</w:t>
      </w:r>
    </w:p>
    <w:tbl>
      <w:tblP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1661"/>
        <w:gridCol w:w="1661"/>
        <w:gridCol w:w="1661"/>
        <w:gridCol w:w="1661"/>
        <w:gridCol w:w="1661"/>
      </w:tblGrid>
      <w:tr w14:paraId="4485B5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0" w:type="auto"/>
            <w:tcMar>
              <w:left w:w="108" w:type="dxa"/>
              <w:right w:w="108" w:type="dxa"/>
            </w:tcMar>
            <w:vAlign w:val="center"/>
          </w:tcPr>
          <w:p w14:paraId="726BC070">
            <w:pPr>
              <w:jc w:val="center"/>
              <w:rPr>
                <w:b/>
              </w:rPr>
            </w:pPr>
            <w:r>
              <w:rPr>
                <w:b/>
              </w:rPr>
              <w:t>场景类型</w:t>
            </w:r>
          </w:p>
        </w:tc>
        <w:tc>
          <w:tcPr>
            <w:tcW w:w="0" w:type="auto"/>
            <w:tcMar>
              <w:left w:w="108" w:type="dxa"/>
              <w:right w:w="108" w:type="dxa"/>
            </w:tcMar>
            <w:vAlign w:val="center"/>
          </w:tcPr>
          <w:p w14:paraId="25B9AA67">
            <w:pPr>
              <w:jc w:val="center"/>
              <w:rPr>
                <w:b/>
              </w:rPr>
            </w:pPr>
            <w:r>
              <w:rPr>
                <w:b/>
              </w:rPr>
              <w:t>具体行为</w:t>
            </w:r>
          </w:p>
        </w:tc>
        <w:tc>
          <w:tcPr>
            <w:tcW w:w="0" w:type="auto"/>
            <w:tcMar>
              <w:left w:w="108" w:type="dxa"/>
              <w:right w:w="108" w:type="dxa"/>
            </w:tcMar>
            <w:vAlign w:val="center"/>
          </w:tcPr>
          <w:p w14:paraId="7AB9A011">
            <w:pPr>
              <w:jc w:val="center"/>
              <w:rPr>
                <w:b/>
              </w:rPr>
            </w:pPr>
            <w:r>
              <w:rPr>
                <w:b/>
              </w:rPr>
              <w:t>健康效益（参考值）</w:t>
            </w:r>
          </w:p>
        </w:tc>
        <w:tc>
          <w:tcPr>
            <w:tcW w:w="0" w:type="auto"/>
            <w:tcMar>
              <w:left w:w="108" w:type="dxa"/>
              <w:right w:w="108" w:type="dxa"/>
            </w:tcMar>
            <w:vAlign w:val="center"/>
          </w:tcPr>
          <w:p w14:paraId="31B6853E">
            <w:pPr>
              <w:jc w:val="center"/>
              <w:rPr>
                <w:b/>
              </w:rPr>
            </w:pPr>
            <w:r>
              <w:rPr>
                <w:b/>
              </w:rPr>
              <w:t>系统决策逻辑</w:t>
            </w:r>
          </w:p>
        </w:tc>
        <w:tc>
          <w:tcPr>
            <w:tcW w:w="0" w:type="auto"/>
            <w:tcMar>
              <w:left w:w="108" w:type="dxa"/>
              <w:right w:w="108" w:type="dxa"/>
            </w:tcMar>
            <w:vAlign w:val="center"/>
          </w:tcPr>
          <w:p w14:paraId="694AD1A7">
            <w:pPr>
              <w:jc w:val="center"/>
              <w:rPr>
                <w:b/>
              </w:rPr>
            </w:pPr>
            <w:r>
              <w:rPr>
                <w:b/>
              </w:rPr>
              <w:t>激励匹配</w:t>
            </w:r>
          </w:p>
        </w:tc>
      </w:tr>
      <w:tr w14:paraId="3982B0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0" w:type="auto"/>
            <w:tcMar>
              <w:left w:w="108" w:type="dxa"/>
              <w:right w:w="108" w:type="dxa"/>
            </w:tcMar>
            <w:vAlign w:val="center"/>
          </w:tcPr>
          <w:p w14:paraId="15753B49">
            <w:r>
              <w:rPr>
                <w:b/>
              </w:rPr>
              <w:t>身体活动</w:t>
            </w:r>
          </w:p>
        </w:tc>
        <w:tc>
          <w:tcPr>
            <w:tcW w:w="0" w:type="auto"/>
            <w:tcMar>
              <w:left w:w="108" w:type="dxa"/>
              <w:right w:w="108" w:type="dxa"/>
            </w:tcMar>
            <w:vAlign w:val="center"/>
          </w:tcPr>
          <w:p w14:paraId="28CFD27B">
            <w:r>
              <w:t>久坐→每小时站立5分钟</w:t>
            </w:r>
          </w:p>
        </w:tc>
        <w:tc>
          <w:tcPr>
            <w:tcW w:w="0" w:type="auto"/>
            <w:tcMar>
              <w:left w:w="108" w:type="dxa"/>
              <w:right w:w="108" w:type="dxa"/>
            </w:tcMar>
            <w:vAlign w:val="center"/>
          </w:tcPr>
          <w:p w14:paraId="27C763D0">
            <w:r>
              <w:t>降低心血管风险3-5%/天</w:t>
            </w:r>
          </w:p>
        </w:tc>
        <w:tc>
          <w:tcPr>
            <w:tcW w:w="0" w:type="auto"/>
            <w:tcMar>
              <w:left w:w="108" w:type="dxa"/>
              <w:right w:w="108" w:type="dxa"/>
            </w:tcMar>
            <w:vAlign w:val="center"/>
          </w:tcPr>
          <w:p w14:paraId="225345EA">
            <w:r>
              <w:t>检测到连续久坐≥1小时时推送提醒</w:t>
            </w:r>
          </w:p>
        </w:tc>
        <w:tc>
          <w:tcPr>
            <w:tcW w:w="0" w:type="auto"/>
            <w:tcMar>
              <w:left w:w="108" w:type="dxa"/>
              <w:right w:w="108" w:type="dxa"/>
            </w:tcMar>
            <w:vAlign w:val="center"/>
          </w:tcPr>
          <w:p w14:paraId="6BD70C91">
            <w:r>
              <w:t>健康积分双倍</w:t>
            </w:r>
          </w:p>
        </w:tc>
      </w:tr>
      <w:tr w14:paraId="31E2AC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0" w:type="auto"/>
            <w:tcMar>
              <w:left w:w="108" w:type="dxa"/>
              <w:right w:w="108" w:type="dxa"/>
            </w:tcMar>
            <w:vAlign w:val="center"/>
          </w:tcPr>
          <w:p w14:paraId="362E361A"/>
        </w:tc>
        <w:tc>
          <w:tcPr>
            <w:tcW w:w="0" w:type="auto"/>
            <w:tcMar>
              <w:left w:w="108" w:type="dxa"/>
              <w:right w:w="108" w:type="dxa"/>
            </w:tcMar>
            <w:vAlign w:val="center"/>
          </w:tcPr>
          <w:p w14:paraId="48CEDD28">
            <w:r>
              <w:t>步行替代驾车（≤3km）</w:t>
            </w:r>
          </w:p>
        </w:tc>
        <w:tc>
          <w:tcPr>
            <w:tcW w:w="0" w:type="auto"/>
            <w:tcMar>
              <w:left w:w="108" w:type="dxa"/>
              <w:right w:w="108" w:type="dxa"/>
            </w:tcMar>
            <w:vAlign w:val="center"/>
          </w:tcPr>
          <w:p w14:paraId="5F76298D">
            <w:r>
              <w:t>增加200-400千卡消耗/次</w:t>
            </w:r>
          </w:p>
        </w:tc>
        <w:tc>
          <w:tcPr>
            <w:tcW w:w="0" w:type="auto"/>
            <w:tcMar>
              <w:left w:w="108" w:type="dxa"/>
              <w:right w:w="108" w:type="dxa"/>
            </w:tcMar>
            <w:vAlign w:val="center"/>
          </w:tcPr>
          <w:p w14:paraId="4C7AECB3">
            <w:r>
              <w:t>通勤距离≤3km且天气良好时推荐</w:t>
            </w:r>
          </w:p>
        </w:tc>
        <w:tc>
          <w:tcPr>
            <w:tcW w:w="0" w:type="auto"/>
            <w:tcMar>
              <w:left w:w="108" w:type="dxa"/>
              <w:right w:w="108" w:type="dxa"/>
            </w:tcMar>
            <w:vAlign w:val="center"/>
          </w:tcPr>
          <w:p w14:paraId="4918F5D9">
            <w:r>
              <w:t>步行挑战赛排名</w:t>
            </w:r>
          </w:p>
        </w:tc>
      </w:tr>
      <w:tr w14:paraId="03AC7D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0" w:type="auto"/>
            <w:tcMar>
              <w:left w:w="108" w:type="dxa"/>
              <w:right w:w="108" w:type="dxa"/>
            </w:tcMar>
            <w:vAlign w:val="center"/>
          </w:tcPr>
          <w:p w14:paraId="5C2AF5A1"/>
        </w:tc>
        <w:tc>
          <w:tcPr>
            <w:tcW w:w="0" w:type="auto"/>
            <w:tcMar>
              <w:left w:w="108" w:type="dxa"/>
              <w:right w:w="108" w:type="dxa"/>
            </w:tcMar>
            <w:vAlign w:val="center"/>
          </w:tcPr>
          <w:p w14:paraId="52B98353">
            <w:r>
              <w:t>每周3次有氧运动</w:t>
            </w:r>
          </w:p>
        </w:tc>
        <w:tc>
          <w:tcPr>
            <w:tcW w:w="0" w:type="auto"/>
            <w:tcMar>
              <w:left w:w="108" w:type="dxa"/>
              <w:right w:w="108" w:type="dxa"/>
            </w:tcMar>
            <w:vAlign w:val="center"/>
          </w:tcPr>
          <w:p w14:paraId="651A230C">
            <w:r>
              <w:t>降低糖尿病风险15%</w:t>
            </w:r>
          </w:p>
        </w:tc>
        <w:tc>
          <w:tcPr>
            <w:tcW w:w="0" w:type="auto"/>
            <w:tcMar>
              <w:left w:w="108" w:type="dxa"/>
              <w:right w:w="108" w:type="dxa"/>
            </w:tcMar>
            <w:vAlign w:val="center"/>
          </w:tcPr>
          <w:p w14:paraId="1281A2F9">
            <w:r>
              <w:t>检测到运动频率&lt;3次/周时推送计划</w:t>
            </w:r>
          </w:p>
        </w:tc>
        <w:tc>
          <w:tcPr>
            <w:tcW w:w="0" w:type="auto"/>
            <w:tcMar>
              <w:left w:w="108" w:type="dxa"/>
              <w:right w:w="108" w:type="dxa"/>
            </w:tcMar>
            <w:vAlign w:val="center"/>
          </w:tcPr>
          <w:p w14:paraId="503D6B58">
            <w:r>
              <w:t>运动装备优惠券</w:t>
            </w:r>
          </w:p>
        </w:tc>
      </w:tr>
      <w:tr w14:paraId="2B0BB8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0" w:type="auto"/>
            <w:tcMar>
              <w:left w:w="108" w:type="dxa"/>
              <w:right w:w="108" w:type="dxa"/>
            </w:tcMar>
            <w:vAlign w:val="center"/>
          </w:tcPr>
          <w:p w14:paraId="28B85494">
            <w:r>
              <w:rPr>
                <w:b/>
              </w:rPr>
              <w:t>饮食营养</w:t>
            </w:r>
          </w:p>
        </w:tc>
        <w:tc>
          <w:tcPr>
            <w:tcW w:w="0" w:type="auto"/>
            <w:tcMar>
              <w:left w:w="108" w:type="dxa"/>
              <w:right w:w="108" w:type="dxa"/>
            </w:tcMar>
            <w:vAlign w:val="center"/>
          </w:tcPr>
          <w:p w14:paraId="05008662">
            <w:r>
              <w:t>高糖饮食→低糖替代</w:t>
            </w:r>
          </w:p>
        </w:tc>
        <w:tc>
          <w:tcPr>
            <w:tcW w:w="0" w:type="auto"/>
            <w:tcMar>
              <w:left w:w="108" w:type="dxa"/>
              <w:right w:w="108" w:type="dxa"/>
            </w:tcMar>
            <w:vAlign w:val="center"/>
          </w:tcPr>
          <w:p w14:paraId="4317DFD5">
            <w:r>
              <w:t>降低血糖波动2-4 mmol/L</w:t>
            </w:r>
          </w:p>
        </w:tc>
        <w:tc>
          <w:tcPr>
            <w:tcW w:w="0" w:type="auto"/>
            <w:tcMar>
              <w:left w:w="108" w:type="dxa"/>
              <w:right w:w="108" w:type="dxa"/>
            </w:tcMar>
            <w:vAlign w:val="center"/>
          </w:tcPr>
          <w:p w14:paraId="62EBD34B">
            <w:r>
              <w:t>预测到血糖风险升高时推荐替代方案</w:t>
            </w:r>
          </w:p>
        </w:tc>
        <w:tc>
          <w:tcPr>
            <w:tcW w:w="0" w:type="auto"/>
            <w:tcMar>
              <w:left w:w="108" w:type="dxa"/>
              <w:right w:w="108" w:type="dxa"/>
            </w:tcMar>
            <w:vAlign w:val="center"/>
          </w:tcPr>
          <w:p w14:paraId="7D5B8E65">
            <w:r>
              <w:t>健康餐厅推荐</w:t>
            </w:r>
          </w:p>
        </w:tc>
      </w:tr>
      <w:tr w14:paraId="028224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0" w:type="auto"/>
            <w:tcMar>
              <w:left w:w="108" w:type="dxa"/>
              <w:right w:w="108" w:type="dxa"/>
            </w:tcMar>
            <w:vAlign w:val="center"/>
          </w:tcPr>
          <w:p w14:paraId="19B87266"/>
        </w:tc>
        <w:tc>
          <w:tcPr>
            <w:tcW w:w="0" w:type="auto"/>
            <w:tcMar>
              <w:left w:w="108" w:type="dxa"/>
              <w:right w:w="108" w:type="dxa"/>
            </w:tcMar>
            <w:vAlign w:val="center"/>
          </w:tcPr>
          <w:p w14:paraId="756D40BF">
            <w:r>
              <w:t>增加膳食纤维摄入</w:t>
            </w:r>
          </w:p>
        </w:tc>
        <w:tc>
          <w:tcPr>
            <w:tcW w:w="0" w:type="auto"/>
            <w:tcMar>
              <w:left w:w="108" w:type="dxa"/>
              <w:right w:w="108" w:type="dxa"/>
            </w:tcMar>
            <w:vAlign w:val="center"/>
          </w:tcPr>
          <w:p w14:paraId="6777FCA9">
            <w:r>
              <w:t>降低胆固醇风险5-8%</w:t>
            </w:r>
          </w:p>
        </w:tc>
        <w:tc>
          <w:tcPr>
            <w:tcW w:w="0" w:type="auto"/>
            <w:tcMar>
              <w:left w:w="108" w:type="dxa"/>
              <w:right w:w="108" w:type="dxa"/>
            </w:tcMar>
            <w:vAlign w:val="center"/>
          </w:tcPr>
          <w:p w14:paraId="67482C3A">
            <w:r>
              <w:t>检测到饮食记录中纤维不足时提醒</w:t>
            </w:r>
          </w:p>
        </w:tc>
        <w:tc>
          <w:tcPr>
            <w:tcW w:w="0" w:type="auto"/>
            <w:tcMar>
              <w:left w:w="108" w:type="dxa"/>
              <w:right w:w="108" w:type="dxa"/>
            </w:tcMar>
            <w:vAlign w:val="center"/>
          </w:tcPr>
          <w:p w14:paraId="77F69B5C">
            <w:r>
              <w:t>营养品积分兑换</w:t>
            </w:r>
          </w:p>
        </w:tc>
      </w:tr>
      <w:tr w14:paraId="3F0D3C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0" w:type="auto"/>
            <w:tcMar>
              <w:left w:w="108" w:type="dxa"/>
              <w:right w:w="108" w:type="dxa"/>
            </w:tcMar>
            <w:vAlign w:val="center"/>
          </w:tcPr>
          <w:p w14:paraId="7B755192"/>
        </w:tc>
        <w:tc>
          <w:tcPr>
            <w:tcW w:w="0" w:type="auto"/>
            <w:tcMar>
              <w:left w:w="108" w:type="dxa"/>
              <w:right w:w="108" w:type="dxa"/>
            </w:tcMar>
            <w:vAlign w:val="center"/>
          </w:tcPr>
          <w:p w14:paraId="3B1C4A84">
            <w:r>
              <w:t>控制晚餐热量</w:t>
            </w:r>
          </w:p>
        </w:tc>
        <w:tc>
          <w:tcPr>
            <w:tcW w:w="0" w:type="auto"/>
            <w:tcMar>
              <w:left w:w="108" w:type="dxa"/>
              <w:right w:w="108" w:type="dxa"/>
            </w:tcMar>
            <w:vAlign w:val="center"/>
          </w:tcPr>
          <w:p w14:paraId="68A307B3">
            <w:r>
              <w:t>改善睡眠质量20%</w:t>
            </w:r>
          </w:p>
        </w:tc>
        <w:tc>
          <w:tcPr>
            <w:tcW w:w="0" w:type="auto"/>
            <w:tcMar>
              <w:left w:w="108" w:type="dxa"/>
              <w:right w:w="108" w:type="dxa"/>
            </w:tcMar>
            <w:vAlign w:val="center"/>
          </w:tcPr>
          <w:p w14:paraId="4940B4C6">
            <w:r>
              <w:t>预测睡眠质量偏低且晚餐热量高时提醒</w:t>
            </w:r>
          </w:p>
        </w:tc>
        <w:tc>
          <w:tcPr>
            <w:tcW w:w="0" w:type="auto"/>
            <w:tcMar>
              <w:left w:w="108" w:type="dxa"/>
              <w:right w:w="108" w:type="dxa"/>
            </w:tcMar>
            <w:vAlign w:val="center"/>
          </w:tcPr>
          <w:p w14:paraId="1A9C72C5">
            <w:r>
              <w:t>睡眠监测功能解锁</w:t>
            </w:r>
          </w:p>
        </w:tc>
      </w:tr>
      <w:tr w14:paraId="498C2E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0" w:type="auto"/>
            <w:tcMar>
              <w:left w:w="108" w:type="dxa"/>
              <w:right w:w="108" w:type="dxa"/>
            </w:tcMar>
            <w:vAlign w:val="center"/>
          </w:tcPr>
          <w:p w14:paraId="2BB8A1AA">
            <w:r>
              <w:rPr>
                <w:b/>
              </w:rPr>
              <w:t>睡眠与压力</w:t>
            </w:r>
          </w:p>
        </w:tc>
        <w:tc>
          <w:tcPr>
            <w:tcW w:w="0" w:type="auto"/>
            <w:tcMar>
              <w:left w:w="108" w:type="dxa"/>
              <w:right w:w="108" w:type="dxa"/>
            </w:tcMar>
            <w:vAlign w:val="center"/>
          </w:tcPr>
          <w:p w14:paraId="0EEA4E5B">
            <w:r>
              <w:t>提前30分钟入睡</w:t>
            </w:r>
          </w:p>
        </w:tc>
        <w:tc>
          <w:tcPr>
            <w:tcW w:w="0" w:type="auto"/>
            <w:tcMar>
              <w:left w:w="108" w:type="dxa"/>
              <w:right w:w="108" w:type="dxa"/>
            </w:tcMar>
            <w:vAlign w:val="center"/>
          </w:tcPr>
          <w:p w14:paraId="77DD7158">
            <w:r>
              <w:t>提高次日精力30%</w:t>
            </w:r>
          </w:p>
        </w:tc>
        <w:tc>
          <w:tcPr>
            <w:tcW w:w="0" w:type="auto"/>
            <w:tcMar>
              <w:left w:w="108" w:type="dxa"/>
              <w:right w:w="108" w:type="dxa"/>
            </w:tcMar>
            <w:vAlign w:val="center"/>
          </w:tcPr>
          <w:p w14:paraId="0AFA6F59">
            <w:r>
              <w:t>检测到连续睡眠不足时推送提醒</w:t>
            </w:r>
          </w:p>
        </w:tc>
        <w:tc>
          <w:tcPr>
            <w:tcW w:w="0" w:type="auto"/>
            <w:tcMar>
              <w:left w:w="108" w:type="dxa"/>
              <w:right w:w="108" w:type="dxa"/>
            </w:tcMar>
            <w:vAlign w:val="center"/>
          </w:tcPr>
          <w:p w14:paraId="4DAA2E01">
            <w:r>
              <w:t>助眠音乐包</w:t>
            </w:r>
          </w:p>
        </w:tc>
      </w:tr>
      <w:tr w14:paraId="799541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0" w:type="auto"/>
            <w:tcMar>
              <w:left w:w="108" w:type="dxa"/>
              <w:right w:w="108" w:type="dxa"/>
            </w:tcMar>
            <w:vAlign w:val="center"/>
          </w:tcPr>
          <w:p w14:paraId="2DC639ED"/>
        </w:tc>
        <w:tc>
          <w:tcPr>
            <w:tcW w:w="0" w:type="auto"/>
            <w:tcMar>
              <w:left w:w="108" w:type="dxa"/>
              <w:right w:w="108" w:type="dxa"/>
            </w:tcMar>
            <w:vAlign w:val="center"/>
          </w:tcPr>
          <w:p w14:paraId="7C673E91">
            <w:r>
              <w:t>午间15分钟冥想</w:t>
            </w:r>
          </w:p>
        </w:tc>
        <w:tc>
          <w:tcPr>
            <w:tcW w:w="0" w:type="auto"/>
            <w:tcMar>
              <w:left w:w="108" w:type="dxa"/>
              <w:right w:w="108" w:type="dxa"/>
            </w:tcMar>
            <w:vAlign w:val="center"/>
          </w:tcPr>
          <w:p w14:paraId="6E449AEB">
            <w:r>
              <w:t>降低午后压力峰值25%</w:t>
            </w:r>
          </w:p>
        </w:tc>
        <w:tc>
          <w:tcPr>
            <w:tcW w:w="0" w:type="auto"/>
            <w:tcMar>
              <w:left w:w="108" w:type="dxa"/>
              <w:right w:w="108" w:type="dxa"/>
            </w:tcMar>
            <w:vAlign w:val="center"/>
          </w:tcPr>
          <w:p w14:paraId="548C154A">
            <w:r>
              <w:t>预测下午压力升高时提前提醒</w:t>
            </w:r>
          </w:p>
        </w:tc>
        <w:tc>
          <w:tcPr>
            <w:tcW w:w="0" w:type="auto"/>
            <w:tcMar>
              <w:left w:w="108" w:type="dxa"/>
              <w:right w:w="108" w:type="dxa"/>
            </w:tcMar>
            <w:vAlign w:val="center"/>
          </w:tcPr>
          <w:p w14:paraId="6F30E2C6">
            <w:r>
              <w:t>冥想课程推荐</w:t>
            </w:r>
          </w:p>
        </w:tc>
      </w:tr>
      <w:tr w14:paraId="4382A9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0" w:type="auto"/>
            <w:tcMar>
              <w:left w:w="108" w:type="dxa"/>
              <w:right w:w="108" w:type="dxa"/>
            </w:tcMar>
            <w:vAlign w:val="center"/>
          </w:tcPr>
          <w:p w14:paraId="1372481B"/>
        </w:tc>
        <w:tc>
          <w:tcPr>
            <w:tcW w:w="0" w:type="auto"/>
            <w:tcMar>
              <w:left w:w="108" w:type="dxa"/>
              <w:right w:w="108" w:type="dxa"/>
            </w:tcMar>
            <w:vAlign w:val="center"/>
          </w:tcPr>
          <w:p w14:paraId="4042AB56">
            <w:r>
              <w:t>睡前1小时远离屏幕</w:t>
            </w:r>
          </w:p>
        </w:tc>
        <w:tc>
          <w:tcPr>
            <w:tcW w:w="0" w:type="auto"/>
            <w:tcMar>
              <w:left w:w="108" w:type="dxa"/>
              <w:right w:w="108" w:type="dxa"/>
            </w:tcMar>
            <w:vAlign w:val="center"/>
          </w:tcPr>
          <w:p w14:paraId="3AE7E797">
            <w:r>
              <w:t>延长深睡眠时间40分钟</w:t>
            </w:r>
          </w:p>
        </w:tc>
        <w:tc>
          <w:tcPr>
            <w:tcW w:w="0" w:type="auto"/>
            <w:tcMar>
              <w:left w:w="108" w:type="dxa"/>
              <w:right w:w="108" w:type="dxa"/>
            </w:tcMar>
            <w:vAlign w:val="center"/>
          </w:tcPr>
          <w:p w14:paraId="5945F0D5">
            <w:r>
              <w:t>检测到睡前屏幕使用时长&gt;1小时时提醒</w:t>
            </w:r>
          </w:p>
        </w:tc>
        <w:tc>
          <w:tcPr>
            <w:tcW w:w="0" w:type="auto"/>
            <w:tcMar>
              <w:left w:w="108" w:type="dxa"/>
              <w:right w:w="108" w:type="dxa"/>
            </w:tcMar>
            <w:vAlign w:val="center"/>
          </w:tcPr>
          <w:p w14:paraId="63554E78">
            <w:r>
              <w:t>阅读推荐</w:t>
            </w:r>
          </w:p>
        </w:tc>
      </w:tr>
    </w:tbl>
    <w:p w14:paraId="2ECDFFC0">
      <w:r>
        <w:t>策略库通过用户反馈不断优化权重，实现真正的"千人千面"健康指导。</w:t>
      </w:r>
    </w:p>
    <w:p w14:paraId="2B1A9418">
      <w:pPr>
        <w:pStyle w:val="4"/>
      </w:pPr>
      <w:r>
        <w:t>5.4 健康管理效益评估指标体系（Health Metrics）</w:t>
      </w:r>
    </w:p>
    <w:p w14:paraId="30D5BBB2">
      <w:r>
        <w:t>为科学量化系统对个人健康行为的引导效果，引入以下三项核心指标，分别从干预效果、目标遵从度与用户参与度三个维度进行度量。各指标的定义、计算逻辑及业务含义详见表2。</w:t>
      </w:r>
    </w:p>
    <w:p w14:paraId="53C9988C">
      <w:r>
        <w:rPr>
          <w:b/>
        </w:rPr>
        <w:t>表2 健康管理效益评估指标体系</w:t>
      </w:r>
    </w:p>
    <w:tbl>
      <w:tblP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2076"/>
        <w:gridCol w:w="2076"/>
        <w:gridCol w:w="2076"/>
        <w:gridCol w:w="2076"/>
      </w:tblGrid>
      <w:tr w14:paraId="027A0F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0" w:type="auto"/>
            <w:tcMar>
              <w:left w:w="108" w:type="dxa"/>
              <w:right w:w="108" w:type="dxa"/>
            </w:tcMar>
            <w:vAlign w:val="center"/>
          </w:tcPr>
          <w:p w14:paraId="0A54F29B">
            <w:pPr>
              <w:jc w:val="center"/>
              <w:rPr>
                <w:b/>
              </w:rPr>
            </w:pPr>
            <w:r>
              <w:rPr>
                <w:b/>
              </w:rPr>
              <w:t>指标维度</w:t>
            </w:r>
          </w:p>
        </w:tc>
        <w:tc>
          <w:tcPr>
            <w:tcW w:w="0" w:type="auto"/>
            <w:tcMar>
              <w:left w:w="108" w:type="dxa"/>
              <w:right w:w="108" w:type="dxa"/>
            </w:tcMar>
            <w:vAlign w:val="center"/>
          </w:tcPr>
          <w:p w14:paraId="7131851B">
            <w:pPr>
              <w:jc w:val="center"/>
              <w:rPr>
                <w:b/>
              </w:rPr>
            </w:pPr>
            <w:r>
              <w:rPr>
                <w:b/>
              </w:rPr>
              <w:t>指标定义</w:t>
            </w:r>
          </w:p>
        </w:tc>
        <w:tc>
          <w:tcPr>
            <w:tcW w:w="0" w:type="auto"/>
            <w:tcMar>
              <w:left w:w="108" w:type="dxa"/>
              <w:right w:w="108" w:type="dxa"/>
            </w:tcMar>
            <w:vAlign w:val="center"/>
          </w:tcPr>
          <w:p w14:paraId="26A80A6E">
            <w:pPr>
              <w:jc w:val="center"/>
              <w:rPr>
                <w:b/>
              </w:rPr>
            </w:pPr>
            <w:r>
              <w:rPr>
                <w:b/>
              </w:rPr>
              <w:t>计算逻辑说明</w:t>
            </w:r>
          </w:p>
        </w:tc>
        <w:tc>
          <w:tcPr>
            <w:tcW w:w="0" w:type="auto"/>
            <w:tcMar>
              <w:left w:w="108" w:type="dxa"/>
              <w:right w:w="108" w:type="dxa"/>
            </w:tcMar>
            <w:vAlign w:val="center"/>
          </w:tcPr>
          <w:p w14:paraId="154A73F0">
            <w:pPr>
              <w:jc w:val="center"/>
              <w:rPr>
                <w:b/>
              </w:rPr>
            </w:pPr>
            <w:r>
              <w:rPr>
                <w:b/>
              </w:rPr>
              <w:t>业务含义与应用</w:t>
            </w:r>
          </w:p>
        </w:tc>
      </w:tr>
      <w:tr w14:paraId="2707E2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0" w:type="auto"/>
            <w:tcMar>
              <w:left w:w="108" w:type="dxa"/>
              <w:right w:w="108" w:type="dxa"/>
            </w:tcMar>
            <w:vAlign w:val="center"/>
          </w:tcPr>
          <w:p w14:paraId="747BFD98">
            <w:r>
              <w:rPr>
                <w:b/>
              </w:rPr>
              <w:t>健康改善达成率（HRR）</w:t>
            </w:r>
          </w:p>
        </w:tc>
        <w:tc>
          <w:tcPr>
            <w:tcW w:w="0" w:type="auto"/>
            <w:tcMar>
              <w:left w:w="108" w:type="dxa"/>
              <w:right w:w="108" w:type="dxa"/>
            </w:tcMar>
            <w:vAlign w:val="center"/>
          </w:tcPr>
          <w:p w14:paraId="00C4EDF5">
            <w:r>
              <w:t>用户采纳建议后实际健康改善与建议预期改善量的比值</w:t>
            </w:r>
          </w:p>
        </w:tc>
        <w:tc>
          <w:tcPr>
            <w:tcW w:w="0" w:type="auto"/>
            <w:tcMar>
              <w:left w:w="108" w:type="dxa"/>
              <w:right w:w="108" w:type="dxa"/>
            </w:tcMar>
            <w:vAlign w:val="center"/>
          </w:tcPr>
          <w:p w14:paraId="6369BF0C">
            <w:r>
              <w:t>$HRR = \frac{\sum_{}^{}I_{actual}}{\sum_{}^{}I_{recommended}} \times 100%$ 其中$(I_{recommended})$为系统建议中预测的健康改善量（如风险降低百分比），$(I_{actual})$为采纳后实际监测到的改善量（基于前后对比）。</w:t>
            </w:r>
          </w:p>
        </w:tc>
        <w:tc>
          <w:tcPr>
            <w:tcW w:w="0" w:type="auto"/>
            <w:tcMar>
              <w:left w:w="108" w:type="dxa"/>
              <w:right w:w="108" w:type="dxa"/>
            </w:tcMar>
            <w:vAlign w:val="center"/>
          </w:tcPr>
          <w:p w14:paraId="20BDD33D">
            <w:r>
              <w:t>反映系统建议的有效性与用户执行质量。HRR越高，说明建议越精准、用户执行越到位。</w:t>
            </w:r>
          </w:p>
        </w:tc>
      </w:tr>
      <w:tr w14:paraId="69FBCC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0" w:type="auto"/>
            <w:tcMar>
              <w:left w:w="108" w:type="dxa"/>
              <w:right w:w="108" w:type="dxa"/>
            </w:tcMar>
            <w:vAlign w:val="center"/>
          </w:tcPr>
          <w:p w14:paraId="5B2DC39A">
            <w:r>
              <w:rPr>
                <w:b/>
              </w:rPr>
              <w:t>健康目标遵从度（HCA）</w:t>
            </w:r>
          </w:p>
        </w:tc>
        <w:tc>
          <w:tcPr>
            <w:tcW w:w="0" w:type="auto"/>
            <w:tcMar>
              <w:left w:w="108" w:type="dxa"/>
              <w:right w:w="108" w:type="dxa"/>
            </w:tcMar>
            <w:vAlign w:val="center"/>
          </w:tcPr>
          <w:p w14:paraId="6D17DE92">
            <w:r>
              <w:t>用户在设定健康目标周期内达标天数比例</w:t>
            </w:r>
          </w:p>
        </w:tc>
        <w:tc>
          <w:tcPr>
            <w:tcW w:w="0" w:type="auto"/>
            <w:tcMar>
              <w:left w:w="108" w:type="dxa"/>
              <w:right w:w="108" w:type="dxa"/>
            </w:tcMar>
            <w:vAlign w:val="center"/>
          </w:tcPr>
          <w:p w14:paraId="6B69CD8D">
            <w:r>
              <w:t>$HCA = \frac{D_{within}}{D_{total}} \times 100%$ 其中$(D_{within})$为实际健康指标在目标范围内的天数，$(D_{total})$为总天数。</w:t>
            </w:r>
          </w:p>
        </w:tc>
        <w:tc>
          <w:tcPr>
            <w:tcW w:w="0" w:type="auto"/>
            <w:tcMar>
              <w:left w:w="108" w:type="dxa"/>
              <w:right w:w="108" w:type="dxa"/>
            </w:tcMar>
            <w:vAlign w:val="center"/>
          </w:tcPr>
          <w:p w14:paraId="6D943C5B">
            <w:r>
              <w:t>衡量用户健康目标管理能力，体现系统预警与引导的综合效果。</w:t>
            </w:r>
          </w:p>
        </w:tc>
      </w:tr>
      <w:tr w14:paraId="6D5C0A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0" w:type="auto"/>
            <w:tcMar>
              <w:left w:w="108" w:type="dxa"/>
              <w:right w:w="108" w:type="dxa"/>
            </w:tcMar>
            <w:vAlign w:val="center"/>
          </w:tcPr>
          <w:p w14:paraId="0BF11D7E">
            <w:r>
              <w:rPr>
                <w:b/>
              </w:rPr>
              <w:t>健康行为采纳率（HAR）</w:t>
            </w:r>
          </w:p>
        </w:tc>
        <w:tc>
          <w:tcPr>
            <w:tcW w:w="0" w:type="auto"/>
            <w:tcMar>
              <w:left w:w="108" w:type="dxa"/>
              <w:right w:w="108" w:type="dxa"/>
            </w:tcMar>
            <w:vAlign w:val="center"/>
          </w:tcPr>
          <w:p w14:paraId="27BEABDC">
            <w:r>
              <w:t>用户对系统推送健康建议的采纳比例</w:t>
            </w:r>
          </w:p>
        </w:tc>
        <w:tc>
          <w:tcPr>
            <w:tcW w:w="0" w:type="auto"/>
            <w:tcMar>
              <w:left w:w="108" w:type="dxa"/>
              <w:right w:w="108" w:type="dxa"/>
            </w:tcMar>
            <w:vAlign w:val="center"/>
          </w:tcPr>
          <w:p w14:paraId="03973EF9">
            <w:r>
              <w:t>$HAR = \frac{N_{adopted}}{N_{recommended}} \times 100%$ 其中$(N_{recommended})$为推送建议总数，$(N_{adopted})$为用户实际执行的建议数。</w:t>
            </w:r>
          </w:p>
        </w:tc>
        <w:tc>
          <w:tcPr>
            <w:tcW w:w="0" w:type="auto"/>
            <w:tcMar>
              <w:left w:w="108" w:type="dxa"/>
              <w:right w:w="108" w:type="dxa"/>
            </w:tcMar>
            <w:vAlign w:val="center"/>
          </w:tcPr>
          <w:p w14:paraId="2D6A4601">
            <w:r>
              <w:t>评估建议的接受度与用户黏性，是激励策略优化的关键指标。</w:t>
            </w:r>
          </w:p>
        </w:tc>
      </w:tr>
    </w:tbl>
    <w:p w14:paraId="401CFA7F">
      <w:r>
        <w:rPr>
          <w:b/>
        </w:rPr>
        <w:t>指标详解</w:t>
      </w:r>
      <w:r>
        <w:t>：</w:t>
      </w:r>
    </w:p>
    <w:p w14:paraId="25C6BC71">
      <w:pPr>
        <w:numPr>
          <w:ilvl w:val="0"/>
          <w:numId w:val="10"/>
        </w:numPr>
        <w:spacing w:before="0" w:after="0"/>
        <w:ind w:left="720" w:hanging="360"/>
      </w:pPr>
      <w:r>
        <w:rPr>
          <w:b/>
        </w:rPr>
        <w:t>健康改善达成率（HRR）</w:t>
      </w:r>
      <w:r>
        <w:t>：该指标需要结合实际行为监测。例如，系统建议"每日步行8000步"，若用户采纳，则对比执行前后血压、心率等指标的变化，作为达成改善量。HRR可分解至不同策略类型，帮助改进算法。</w:t>
      </w:r>
    </w:p>
    <w:p w14:paraId="5B64BD8A">
      <w:pPr>
        <w:numPr>
          <w:ilvl w:val="0"/>
          <w:numId w:val="10"/>
        </w:numPr>
        <w:spacing w:before="0" w:after="0"/>
        <w:ind w:left="720" w:hanging="360"/>
      </w:pPr>
      <w:r>
        <w:rPr>
          <w:b/>
        </w:rPr>
        <w:t>健康目标遵从度（HCA）</w:t>
      </w:r>
      <w:r>
        <w:t>：个人健康目标可由用户自行设定（如每日步数8000、睡眠7小时），也可参考世界卫生组织或《健康中国行动》倡导的标准。HCA直观反映用户是否处于"健康轨道"，是健康账户健康度的核心度量。</w:t>
      </w:r>
    </w:p>
    <w:p w14:paraId="329675C8">
      <w:pPr>
        <w:numPr>
          <w:ilvl w:val="0"/>
          <w:numId w:val="10"/>
        </w:numPr>
        <w:spacing w:before="0" w:after="0"/>
        <w:ind w:left="720" w:hanging="360"/>
      </w:pPr>
      <w:r>
        <w:rPr>
          <w:b/>
        </w:rPr>
        <w:t>健康行为采纳率（HAR）</w:t>
      </w:r>
      <w:r>
        <w:t>：该指标可进一步细分为首次采纳率与重复采纳率，用于识别用户偏好。系统可通过A/B测试优化建议的呈现方式与激励强度，提升HAR。</w:t>
      </w:r>
    </w:p>
    <w:p w14:paraId="5C210679">
      <w:r>
        <w:t>以上指标在看板中以仪表盘形式实时展示，支持按日、周、月聚合，并可下钻至具体建议进行归因分析。通过持续追踪，用户可清晰感知自身健康进步，系统也能不断迭代优化，形成良性循环。</w:t>
      </w:r>
    </w:p>
    <w:p w14:paraId="4C39DF0E">
      <w:pPr>
        <w:pStyle w:val="4"/>
      </w:pPr>
      <w:r>
        <w:t>5.5 系统原型与可视化预览</w:t>
      </w:r>
    </w:p>
    <w:p w14:paraId="066AC56E">
      <w:r>
        <w:t>（此处保留图，展示Streamlit看板示例：主界面包含多维度健康风险预测曲线（糖尿病/高血压/心血管）、健康目标进度条、今日干预建议列表、SHAP归因瀑布图（展示各行为对健康风险的贡献）、健康积分排行榜等）</w:t>
      </w:r>
    </w:p>
    <w:p w14:paraId="399D0F10">
      <w:r>
        <w:t>系统原型设计理念：以"健康仪表盘"为核心，将复杂的健康风险数据转化为直观的可视化图形，让用户一目了然地掌握自身健康状态与改善方向。</w:t>
      </w:r>
    </w:p>
    <w:p w14:paraId="2504EF55">
      <w:pPr>
        <w:widowControl w:val="0"/>
        <w:spacing w:after="120" w:line="360" w:lineRule="auto"/>
        <w:ind w:left="0" w:leftChars="0" w:firstLine="480" w:firstLineChars="200"/>
        <w:jc w:val="both"/>
        <w:rPr>
          <w:rFonts w:hint="eastAsia" w:ascii="宋体" w:hAnsi="宋体" w:eastAsia="宋体" w:cs="宋体"/>
          <w:b w:val="0"/>
          <w:i w:val="0"/>
          <w:strike w:val="0"/>
          <w:color w:val="auto"/>
          <w:kern w:val="2"/>
          <w:sz w:val="24"/>
          <w:szCs w:val="24"/>
          <w:u w:val="none"/>
          <w:lang w:val="en-US" w:eastAsia="zh-CN" w:bidi="ar-SA"/>
        </w:rPr>
      </w:pP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Cambria Math">
    <w:panose1 w:val="02040503050406030204"/>
    <w:charset w:val="00"/>
    <w:family w:val="auto"/>
    <w:pitch w:val="default"/>
    <w:sig w:usb0="E00006FF" w:usb1="420024FF" w:usb2="02000000" w:usb3="00000000" w:csb0="2000019F" w:csb1="00000000"/>
  </w:font>
  <w:font w:name="Symbol">
    <w:panose1 w:val="05050102010706020507"/>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8BCA511"/>
    <w:multiLevelType w:val="singleLevel"/>
    <w:tmpl w:val="88BCA511"/>
    <w:lvl w:ilvl="0" w:tentative="0">
      <w:start w:val="1"/>
      <w:numFmt w:val="bullet"/>
      <w:lvlText w:val=""/>
      <w:lvlJc w:val="left"/>
      <w:pPr>
        <w:ind w:left="720" w:hanging="360"/>
      </w:pPr>
      <w:rPr>
        <w:rFonts w:hint="default" w:ascii="Symbol" w:hAnsi="Symbol" w:cs="Symbol"/>
        <w:sz w:val="20"/>
      </w:rPr>
    </w:lvl>
  </w:abstractNum>
  <w:abstractNum w:abstractNumId="1">
    <w:nsid w:val="8C1C948C"/>
    <w:multiLevelType w:val="singleLevel"/>
    <w:tmpl w:val="8C1C948C"/>
    <w:lvl w:ilvl="0" w:tentative="0">
      <w:start w:val="1"/>
      <w:numFmt w:val="bullet"/>
      <w:lvlText w:val=""/>
      <w:lvlJc w:val="left"/>
      <w:pPr>
        <w:ind w:left="720" w:hanging="360"/>
      </w:pPr>
      <w:rPr>
        <w:rFonts w:hint="default" w:ascii="Symbol" w:hAnsi="Symbol" w:cs="Symbol"/>
        <w:sz w:val="20"/>
      </w:rPr>
    </w:lvl>
  </w:abstractNum>
  <w:abstractNum w:abstractNumId="2">
    <w:nsid w:val="ACBD9818"/>
    <w:multiLevelType w:val="singleLevel"/>
    <w:tmpl w:val="ACBD9818"/>
    <w:lvl w:ilvl="0" w:tentative="0">
      <w:start w:val="1"/>
      <w:numFmt w:val="bullet"/>
      <w:lvlText w:val=""/>
      <w:lvlJc w:val="left"/>
      <w:pPr>
        <w:ind w:left="720" w:hanging="360"/>
      </w:pPr>
      <w:rPr>
        <w:rFonts w:hint="default" w:ascii="Symbol" w:hAnsi="Symbol" w:cs="Symbol"/>
        <w:sz w:val="20"/>
      </w:rPr>
    </w:lvl>
  </w:abstractNum>
  <w:abstractNum w:abstractNumId="3">
    <w:nsid w:val="BD79AFCB"/>
    <w:multiLevelType w:val="singleLevel"/>
    <w:tmpl w:val="BD79AFCB"/>
    <w:lvl w:ilvl="0" w:tentative="0">
      <w:start w:val="1"/>
      <w:numFmt w:val="bullet"/>
      <w:lvlText w:val=""/>
      <w:lvlJc w:val="left"/>
      <w:pPr>
        <w:ind w:left="720" w:hanging="360"/>
      </w:pPr>
      <w:rPr>
        <w:rFonts w:hint="default" w:ascii="Symbol" w:hAnsi="Symbol" w:cs="Symbol"/>
        <w:sz w:val="20"/>
      </w:rPr>
    </w:lvl>
  </w:abstractNum>
  <w:abstractNum w:abstractNumId="4">
    <w:nsid w:val="D463DBD3"/>
    <w:multiLevelType w:val="singleLevel"/>
    <w:tmpl w:val="D463DBD3"/>
    <w:lvl w:ilvl="0" w:tentative="0">
      <w:start w:val="1"/>
      <w:numFmt w:val="bullet"/>
      <w:lvlText w:val=""/>
      <w:lvlJc w:val="left"/>
      <w:pPr>
        <w:ind w:left="720" w:hanging="360"/>
      </w:pPr>
      <w:rPr>
        <w:rFonts w:hint="default" w:ascii="Symbol" w:hAnsi="Symbol" w:cs="Symbol"/>
        <w:sz w:val="20"/>
      </w:rPr>
    </w:lvl>
  </w:abstractNum>
  <w:abstractNum w:abstractNumId="5">
    <w:nsid w:val="D73EB171"/>
    <w:multiLevelType w:val="singleLevel"/>
    <w:tmpl w:val="D73EB171"/>
    <w:lvl w:ilvl="0" w:tentative="0">
      <w:start w:val="1"/>
      <w:numFmt w:val="bullet"/>
      <w:lvlText w:val=""/>
      <w:lvlJc w:val="left"/>
      <w:pPr>
        <w:ind w:left="720" w:hanging="360"/>
      </w:pPr>
      <w:rPr>
        <w:rFonts w:hint="default" w:ascii="Symbol" w:hAnsi="Symbol" w:cs="Symbol"/>
        <w:sz w:val="20"/>
      </w:rPr>
    </w:lvl>
  </w:abstractNum>
  <w:abstractNum w:abstractNumId="6">
    <w:nsid w:val="DCDAD7B0"/>
    <w:multiLevelType w:val="singleLevel"/>
    <w:tmpl w:val="DCDAD7B0"/>
    <w:lvl w:ilvl="0" w:tentative="0">
      <w:start w:val="1"/>
      <w:numFmt w:val="bullet"/>
      <w:lvlText w:val=""/>
      <w:lvlJc w:val="left"/>
      <w:pPr>
        <w:ind w:left="720" w:hanging="360"/>
      </w:pPr>
      <w:rPr>
        <w:rFonts w:hint="default" w:ascii="Symbol" w:hAnsi="Symbol" w:cs="Symbol"/>
        <w:sz w:val="20"/>
      </w:rPr>
    </w:lvl>
  </w:abstractNum>
  <w:abstractNum w:abstractNumId="7">
    <w:nsid w:val="52FB109A"/>
    <w:multiLevelType w:val="singleLevel"/>
    <w:tmpl w:val="52FB109A"/>
    <w:lvl w:ilvl="0" w:tentative="0">
      <w:start w:val="1"/>
      <w:numFmt w:val="bullet"/>
      <w:lvlText w:val=""/>
      <w:lvlJc w:val="left"/>
      <w:pPr>
        <w:ind w:left="720" w:hanging="360"/>
      </w:pPr>
      <w:rPr>
        <w:rFonts w:hint="default" w:ascii="Symbol" w:hAnsi="Symbol" w:cs="Symbol"/>
        <w:sz w:val="20"/>
      </w:rPr>
    </w:lvl>
  </w:abstractNum>
  <w:abstractNum w:abstractNumId="8">
    <w:nsid w:val="6810ED22"/>
    <w:multiLevelType w:val="singleLevel"/>
    <w:tmpl w:val="6810ED22"/>
    <w:lvl w:ilvl="0" w:tentative="0">
      <w:start w:val="1"/>
      <w:numFmt w:val="bullet"/>
      <w:lvlText w:val=""/>
      <w:lvlJc w:val="left"/>
      <w:pPr>
        <w:ind w:left="720" w:hanging="360"/>
      </w:pPr>
      <w:rPr>
        <w:rFonts w:hint="default" w:ascii="Symbol" w:hAnsi="Symbol" w:cs="Symbol"/>
        <w:sz w:val="20"/>
      </w:rPr>
    </w:lvl>
  </w:abstractNum>
  <w:abstractNum w:abstractNumId="9">
    <w:nsid w:val="77FFD062"/>
    <w:multiLevelType w:val="singleLevel"/>
    <w:tmpl w:val="77FFD062"/>
    <w:lvl w:ilvl="0" w:tentative="0">
      <w:start w:val="1"/>
      <w:numFmt w:val="bullet"/>
      <w:lvlText w:val=""/>
      <w:lvlJc w:val="left"/>
      <w:pPr>
        <w:ind w:left="720" w:hanging="360"/>
      </w:pPr>
      <w:rPr>
        <w:rFonts w:hint="default" w:ascii="Symbol" w:hAnsi="Symbol" w:cs="Symbol"/>
        <w:sz w:val="20"/>
      </w:rPr>
    </w:lvl>
  </w:abstractNum>
  <w:num w:numId="1">
    <w:abstractNumId w:val="7"/>
  </w:num>
  <w:num w:numId="2">
    <w:abstractNumId w:val="4"/>
  </w:num>
  <w:num w:numId="3">
    <w:abstractNumId w:val="3"/>
  </w:num>
  <w:num w:numId="4">
    <w:abstractNumId w:val="5"/>
  </w:num>
  <w:num w:numId="5">
    <w:abstractNumId w:val="9"/>
  </w:num>
  <w:num w:numId="6">
    <w:abstractNumId w:val="2"/>
  </w:num>
  <w:num w:numId="7">
    <w:abstractNumId w:val="6"/>
  </w:num>
  <w:num w:numId="8">
    <w:abstractNumId w:val="0"/>
  </w:num>
  <w:num w:numId="9">
    <w:abstractNumId w:val="1"/>
  </w:num>
  <w:num w:numId="1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49D54B6"/>
    <w:rsid w:val="049D54B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semiHidden/>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4">
    <w:name w:val="heading 3"/>
    <w:basedOn w:val="1"/>
    <w:next w:val="1"/>
    <w:semiHidden/>
    <w:unhideWhenUsed/>
    <w:qFormat/>
    <w:uiPriority w:val="0"/>
    <w:pPr>
      <w:keepNext/>
      <w:keepLines/>
      <w:spacing w:before="260" w:beforeLines="0" w:beforeAutospacing="0" w:after="260" w:afterLines="0" w:afterAutospacing="0" w:line="413" w:lineRule="auto"/>
      <w:outlineLvl w:val="2"/>
    </w:pPr>
    <w:rPr>
      <w:b/>
      <w:sz w:val="32"/>
    </w:rPr>
  </w:style>
  <w:style w:type="paragraph" w:styleId="5">
    <w:name w:val="heading 4"/>
    <w:basedOn w:val="1"/>
    <w:next w:val="1"/>
    <w:semiHidden/>
    <w:unhideWhenUsed/>
    <w:qFormat/>
    <w:uiPriority w:val="0"/>
    <w:pPr>
      <w:keepNext/>
      <w:keepLines/>
      <w:spacing w:before="280" w:beforeLines="0" w:beforeAutospacing="0" w:after="290" w:afterLines="0" w:afterAutospacing="0" w:line="372" w:lineRule="auto"/>
      <w:outlineLvl w:val="3"/>
    </w:pPr>
    <w:rPr>
      <w:rFonts w:ascii="Arial" w:hAnsi="Arial" w:eastAsia="黑体"/>
      <w:b/>
      <w:sz w:val="28"/>
    </w:rPr>
  </w:style>
  <w:style w:type="character" w:default="1" w:styleId="9">
    <w:name w:val="Default Paragraph Font"/>
    <w:semiHidden/>
    <w:qFormat/>
    <w:uiPriority w:val="0"/>
  </w:style>
  <w:style w:type="table" w:default="1" w:styleId="8">
    <w:name w:val="Normal Table"/>
    <w:semiHidden/>
    <w:qFormat/>
    <w:uiPriority w:val="0"/>
    <w:tblPr>
      <w:tblCellMar>
        <w:top w:w="0" w:type="dxa"/>
        <w:left w:w="108" w:type="dxa"/>
        <w:bottom w:w="0" w:type="dxa"/>
        <w:right w:w="108" w:type="dxa"/>
      </w:tblCellMar>
    </w:tblPr>
  </w:style>
  <w:style w:type="paragraph" w:styleId="6">
    <w:name w:val="toc 1"/>
    <w:basedOn w:val="1"/>
    <w:next w:val="1"/>
    <w:uiPriority w:val="0"/>
  </w:style>
  <w:style w:type="paragraph" w:styleId="7">
    <w:name w:val="toc 2"/>
    <w:basedOn w:val="1"/>
    <w:next w:val="1"/>
    <w:uiPriority w:val="0"/>
    <w:pPr>
      <w:ind w:left="420" w:leftChars="200"/>
    </w:pPr>
  </w:style>
  <w:style w:type="character" w:styleId="10">
    <w:name w:val="Hyperlink"/>
    <w:basedOn w:val="9"/>
    <w:uiPriority w:val="0"/>
    <w:rPr>
      <w:color w:val="0000FF"/>
      <w:u w:val="single"/>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11</Pages>
  <Words>0</Words>
  <Characters>0</Characters>
  <Lines>0</Lines>
  <Paragraphs>0</Paragraphs>
  <TotalTime>31</TotalTime>
  <ScaleCrop>false</ScaleCrop>
  <LinksUpToDate>false</LinksUpToDate>
  <CharactersWithSpaces>0</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2026-03-18T13:10:00Z</dcterms:created>
  <dc:creator>WPS_1725681081</dc:creator>
  <cp:lastModifiedBy>WPS_1725681081</cp:lastModifiedBy>
  <dcterms:modified xsi:type="dcterms:W3CDTF">2026-03-18T13:43:41Z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ICV">
    <vt:lpwstr>FCF405F005094BA78537DD272CED226E_11</vt:lpwstr>
  </property>
  <property fmtid="{D5CDD505-2E9C-101B-9397-08002B2CF9AE}" pid="4" name="KSOTemplateDocerSaveRecord">
    <vt:lpwstr>eyJoZGlkIjoiMDEzYTFmYzgyOTBhZjQ0ODAyY2EyMTFkYjE1YTkxYjAiLCJ1c2VySWQiOiIxNjMyNDA0NTk1In0=</vt:lpwstr>
  </property>
</Properties>
</file>