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2E2118"/>
          <w:sz w:val="48"/>
          <w:szCs w:val="48"/>
        </w:rPr>
        <w:t xml:space="preserve">ONGKOLEYT</w:t>
      </w:r>
    </w:p>
    <w:p>
      <w:pPr>
        <w:spacing w:after="8"/>
        <w:jc w:val="center"/>
      </w:pPr>
      <w:r>
        <w:rPr>
          <w:b/>
          <w:bCs/>
          <w:color w:val="C1521F"/>
          <w:sz w:val="26"/>
          <w:szCs w:val="26"/>
        </w:rPr>
        <w:t xml:space="preserve">Staff Attendance, Timesheet &amp; Payroll System</w:t>
      </w:r>
    </w:p>
    <w:p>
      <w:pPr>
        <w:spacing w:after="240"/>
        <w:jc w:val="center"/>
      </w:pPr>
      <w:r>
        <w:rPr>
          <w:color w:val="7A6A57"/>
          <w:sz w:val="20"/>
          <w:szCs w:val="20"/>
        </w:rPr>
        <w:t xml:space="preserve">Client Handover Document  ·  July 21, 2026</w:t>
      </w:r>
    </w:p>
    <w:p>
      <w:pPr>
        <w:pBdr>
          <w:bottom w:val="single" w:color="C9A227" w:sz="16" w:space="4"/>
        </w:pBdr>
        <w:spacing w:after="200"/>
      </w:pPr>
      <w:r>
        <w:t xml:space="preserve"/>
      </w:r>
    </w:p>
    <w:p>
      <w:pPr>
        <w:pStyle w:val="Heading1"/>
        <w:pBdr>
          <w:bottom w:val="single" w:color="C1521F" w:sz="8" w:space="4"/>
        </w:pBdr>
        <w:spacing w:after="160" w:before="320"/>
      </w:pPr>
      <w:r>
        <w:rPr>
          <w:b/>
          <w:bCs/>
          <w:color w:val="2E2118"/>
          <w:sz w:val="28"/>
          <w:szCs w:val="28"/>
        </w:rPr>
        <w:t xml:space="preserve">Overview</w:t>
      </w:r>
    </w:p>
    <w:p>
      <w:pPr>
        <w:spacing w:after="120"/>
      </w:pPr>
      <w:r>
        <w:rPr>
          <w:color w:val="2A2118"/>
          <w:sz w:val="21"/>
          <w:szCs w:val="21"/>
        </w:rPr>
        <w:t xml:space="preserve">This document hands over the Staff Attendance, Timesheet &amp; Payroll System built for Ongkoleyt, covering all five branches — General Luna, Bonifacio, Diego Silang, La Trinidad, and La Union. It summarizes the problems the system solves, what was built, and the investment involved.</w:t>
      </w:r>
    </w:p>
    <w:p>
      <w:pPr>
        <w:pStyle w:val="Heading1"/>
        <w:pBdr>
          <w:bottom w:val="single" w:color="C1521F" w:sz="8" w:space="4"/>
        </w:pBdr>
        <w:spacing w:after="160" w:before="320"/>
      </w:pPr>
      <w:r>
        <w:rPr>
          <w:b/>
          <w:bCs/>
          <w:color w:val="2E2118"/>
          <w:sz w:val="28"/>
          <w:szCs w:val="28"/>
        </w:rPr>
        <w:t xml:space="preserve">Pain Points We 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Manual, paper-based attendance. </w:t>
      </w:r>
      <w:r>
        <w:rPr>
          <w:sz w:val="21"/>
          <w:szCs w:val="21"/>
        </w:rPr>
        <w:t xml:space="preserve">Time logs across five branches were tracked by hand, making them inconsistent and easy to lose or misreport.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No accountable way to fix attendance mistakes. </w:t>
      </w:r>
      <w:r>
        <w:rPr>
          <w:sz w:val="21"/>
          <w:szCs w:val="21"/>
        </w:rPr>
        <w:t xml:space="preserve">Forgotten clock-outs and late entries were corrected informally, with no record of who changed what, or why.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Manual payroll computation. </w:t>
      </w:r>
      <w:r>
        <w:rPr>
          <w:sz w:val="21"/>
          <w:szCs w:val="21"/>
        </w:rPr>
        <w:t xml:space="preserve">Basic pay, overtime, and night differential were calculated by hand per employee — slow, and prone to costly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No visibility for staff. </w:t>
      </w:r>
      <w:r>
        <w:rPr>
          <w:sz w:val="21"/>
          <w:szCs w:val="21"/>
        </w:rPr>
        <w:t xml:space="preserve">Employees had no way to check their own hours or pay without asking an admin directly, which ate into management's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Inconsistent 13th month pay computation. </w:t>
      </w:r>
      <w:r>
        <w:rPr>
          <w:sz w:val="21"/>
          <w:szCs w:val="21"/>
        </w:rPr>
        <w:t xml:space="preserve">Year-end 13th month pay was calculated ad hoc, with no consistent method — creating compliance risk under Presidential Decree 851 and DOLE regulations.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No central control over pay rates. </w:t>
      </w:r>
      <w:r>
        <w:rPr>
          <w:sz w:val="21"/>
          <w:szCs w:val="21"/>
        </w:rPr>
        <w:t xml:space="preserve">When the daily wage or overtime rules changed, every employee's numbers had to be recalculated by hand, branch by branch.</w:t>
      </w:r>
    </w:p>
    <w:p>
      <w:pPr>
        <w:pStyle w:val="Heading1"/>
        <w:pBdr>
          <w:bottom w:val="single" w:color="C1521F" w:sz="8" w:space="4"/>
        </w:pBdr>
        <w:spacing w:after="160" w:before="320"/>
      </w:pPr>
      <w:r>
        <w:rPr>
          <w:b/>
          <w:bCs/>
          <w:color w:val="2E2118"/>
          <w:sz w:val="28"/>
          <w:szCs w:val="28"/>
        </w:rPr>
        <w:t xml:space="preserve">The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Kiosk Clock In/Out. </w:t>
      </w:r>
      <w:r>
        <w:rPr>
          <w:sz w:val="21"/>
          <w:szCs w:val="21"/>
        </w:rPr>
        <w:t xml:space="preserve">Any tablet or device at a branch becomes a shared time clock — staff tap their name, enter a PIN, and clock in or out in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Staff Timesheet Login. </w:t>
      </w:r>
      <w:r>
        <w:rPr>
          <w:sz w:val="21"/>
          <w:szCs w:val="21"/>
        </w:rPr>
        <w:t xml:space="preserve">Every staff member can log in individually to see their own hours, pay, and status for today and the current week — no more asking an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Admin Attendance Dashboard. </w:t>
      </w:r>
      <w:r>
        <w:rPr>
          <w:sz w:val="21"/>
          <w:szCs w:val="21"/>
        </w:rPr>
        <w:t xml:space="preserve">A live, branch-wide view of who's clocked in, who's pending approval, and total pay for the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Adjust Attendance with Full Audit Trail. </w:t>
      </w:r>
      <w:r>
        <w:rPr>
          <w:sz w:val="21"/>
          <w:szCs w:val="21"/>
        </w:rPr>
        <w:t xml:space="preserve">Admins can correct clock in/out mistakes, but every change requires a reason and is permanently logged — nothing is corrected silently.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Daily &amp; Weekly Payroll. </w:t>
      </w:r>
      <w:r>
        <w:rPr>
          <w:sz w:val="21"/>
          <w:szCs w:val="21"/>
        </w:rPr>
        <w:t xml:space="preserve">Basic pay, overtime (125%), and night differential are computed automatically from actual clock times, with CSV and PDF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13th Month Pay Module. </w:t>
      </w:r>
      <w:r>
        <w:rPr>
          <w:sz w:val="21"/>
          <w:szCs w:val="21"/>
        </w:rPr>
        <w:t xml:space="preserve">Fully aligned with PD 851 — computes Total Basic Salary Earned ÷ 12, prorates automatically for new hires and resignees, and respects DOLE's minimum one-month service rule. Supports manual adjustments, locking, and unlocking with a required approval reason, all logged.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One Shared Pay Rate Configuration. </w:t>
      </w:r>
      <w:r>
        <w:rPr>
          <w:sz w:val="21"/>
          <w:szCs w:val="21"/>
        </w:rPr>
        <w:t xml:space="preserve">The daily basic rate (₱505), overtime multiplier, and working-day assumptions are set once in Settings and apply everywhere — attendance, payroll, and 13th month all update together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Unified Audit Log. </w:t>
      </w:r>
      <w:r>
        <w:rPr>
          <w:sz w:val="21"/>
          <w:szCs w:val="21"/>
        </w:rPr>
        <w:t xml:space="preserve">Every attendance correction and every 13th month adjustment, lock, unlock, and release lives in one combined, searchable log.</w:t>
      </w:r>
    </w:p>
    <w:p>
      <w:pPr>
        <w:pStyle w:val="Heading1"/>
        <w:pBdr>
          <w:bottom w:val="single" w:color="C1521F" w:sz="8" w:space="4"/>
        </w:pBdr>
        <w:spacing w:after="160" w:before="320"/>
      </w:pPr>
      <w:r>
        <w:rPr>
          <w:b/>
          <w:bCs/>
          <w:color w:val="2E2118"/>
          <w:sz w:val="28"/>
          <w:szCs w:val="28"/>
        </w:rPr>
        <w:t xml:space="preserve">What's Included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2E211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240"/>
            <w:shd w:fill="2E211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120"/>
            <w:shd w:fill="FAF6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Branches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General Luna, Bonifacio, Diego Silang, La Trinidad, La Union</w:t>
            </w:r>
          </w:p>
        </w:tc>
      </w:tr>
      <w:tr>
        <w:tc>
          <w:tcPr>
            <w:tcW w:type="dxa" w:w="3120"/>
            <w:shd w:fill="FAF6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Roles Covered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Operations Manager, Brand Manager, Marketing &amp; Investor Relations (Officer/Manager), Driver, Sales Agent, Market Coordinator, Kitchen Staff, Counter Staff, Barista</w:t>
            </w:r>
          </w:p>
        </w:tc>
      </w:tr>
      <w:tr>
        <w:tc>
          <w:tcPr>
            <w:tcW w:type="dxa" w:w="3120"/>
            <w:shd w:fill="FAF6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Kiosk clock in/out, admin dashboard, time adjustment with reason + audit log</w:t>
            </w:r>
          </w:p>
        </w:tc>
      </w:tr>
      <w:tr>
        <w:tc>
          <w:tcPr>
            <w:tcW w:type="dxa" w:w="3120"/>
            <w:shd w:fill="FAF6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Payroll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Daily &amp; weekly computation, CSV/PDF export</w:t>
            </w:r>
          </w:p>
        </w:tc>
      </w:tr>
      <w:tr>
        <w:tc>
          <w:tcPr>
            <w:tcW w:type="dxa" w:w="3120"/>
            <w:shd w:fill="FAF6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13th Month Pay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PD 851-compliant computation, settings, employee records, reports, payslips, audit log</w:t>
            </w:r>
          </w:p>
        </w:tc>
      </w:tr>
      <w:tr>
        <w:tc>
          <w:tcPr>
            <w:tcW w:type="dxa" w:w="3120"/>
            <w:shd w:fill="FAF6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Staff Self-Service</w:t>
            </w:r>
          </w:p>
        </w:tc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Personal PIN login to view today's and this week's hours and pay</w:t>
            </w:r>
          </w:p>
        </w:tc>
      </w:tr>
    </w:tbl>
    <w:p>
      <w:pPr>
        <w:pStyle w:val="Heading1"/>
        <w:pBdr>
          <w:bottom w:val="single" w:color="C1521F" w:sz="8" w:space="4"/>
        </w:pBdr>
        <w:spacing w:after="160" w:before="320"/>
      </w:pPr>
      <w:r>
        <w:rPr>
          <w:b/>
          <w:bCs/>
          <w:color w:val="2E2118"/>
          <w:sz w:val="28"/>
          <w:szCs w:val="28"/>
        </w:rPr>
        <w:t xml:space="preserve">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shd w:fill="2E211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shd w:fill="2E211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240"/>
            <w:shd w:fill="FAF6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Development &amp; Setup Fee (one-time)</w:t>
            </w:r>
          </w:p>
        </w:tc>
        <w:tc>
          <w:tcPr>
            <w:tcW w:type="dxa" w:w="3120"/>
            <w:shd w:fill="FAF6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₱10,000.00</w:t>
            </w:r>
          </w:p>
        </w:tc>
      </w:tr>
      <w:tr>
        <w:tc>
          <w:tcPr>
            <w:tcW w:type="dxa" w:w="62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Hosting Fee (billed monthly)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1A1410"/>
                <w:sz w:val="20"/>
                <w:szCs w:val="20"/>
              </w:rPr>
              <w:t xml:space="preserve">₱1,500.00 / mo</w:t>
            </w:r>
          </w:p>
        </w:tc>
      </w:tr>
      <w:tr>
        <w:tc>
          <w:tcPr>
            <w:tcW w:type="dxa" w:w="6240"/>
            <w:shd w:fill="F3E7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410"/>
                <w:sz w:val="20"/>
                <w:szCs w:val="20"/>
              </w:rPr>
              <w:t xml:space="preserve">Due at Handover (Setup + First Month Hosting)</w:t>
            </w:r>
          </w:p>
        </w:tc>
        <w:tc>
          <w:tcPr>
            <w:tcW w:type="dxa" w:w="3120"/>
            <w:shd w:fill="F3E7C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C1521F"/>
                <w:sz w:val="20"/>
                <w:szCs w:val="20"/>
              </w:rPr>
              <w:t xml:space="preserve">₱11,500.00</w:t>
            </w:r>
          </w:p>
        </w:tc>
      </w:tr>
    </w:tbl>
    <w:p>
      <w:pPr>
        <w:spacing w:after="200" w:before="120"/>
      </w:pPr>
      <w:r>
        <w:rPr>
          <w:i/>
          <w:iCs/>
          <w:color w:val="7A6A57"/>
          <w:sz w:val="18"/>
          <w:szCs w:val="18"/>
        </w:rPr>
        <w:t xml:space="preserve">Hosting fee covers server hosting, backups, and uptime monitoring. Adjust the payment terms above to match your actual agreement before sending.</w:t>
      </w:r>
    </w:p>
    <w:p>
      <w:pPr>
        <w:pStyle w:val="Heading1"/>
        <w:pBdr>
          <w:bottom w:val="single" w:color="C1521F" w:sz="8" w:space="4"/>
        </w:pBdr>
        <w:spacing w:after="160" w:before="320"/>
      </w:pPr>
      <w:r>
        <w:rPr>
          <w:b/>
          <w:bCs/>
          <w:color w:val="2E2118"/>
          <w:sz w:val="28"/>
          <w:szCs w:val="28"/>
        </w:rPr>
        <w:t xml:space="preserve">Handover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 login credentials provided separately.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Walkthrough / training session for admin staff at each branch.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Demo PIN for staff kiosk and self-service login shared during training.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14-day complimentary adjustment window for bug fixes following handover (edit to match your terms).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Client to confirm the daily basic pay rate, overtime multiplier, and 13th month settings before go-live.</w:t>
      </w:r>
    </w:p>
    <w:p>
      <w:pPr>
        <w:pStyle w:val="Heading1"/>
        <w:pBdr>
          <w:bottom w:val="single" w:color="C1521F" w:sz="8" w:space="4"/>
        </w:pBdr>
        <w:spacing w:after="160" w:before="320"/>
      </w:pPr>
      <w:r>
        <w:rPr>
          <w:b/>
          <w:bCs/>
          <w:color w:val="2E2118"/>
          <w:sz w:val="28"/>
          <w:szCs w:val="28"/>
        </w:rPr>
        <w:t xml:space="preserve">Acceptance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pPr>
              <w:pBdr>
                <w:top w:val="single" w:color="999999" w:sz="6" w:space="4"/>
              </w:pBdr>
              <w:spacing w:before="200"/>
            </w:pPr>
            <w:r>
              <w:rPr>
                <w:color w:val="7A6A57"/>
                <w:sz w:val="18"/>
                <w:szCs w:val="18"/>
              </w:rPr>
              <w:t xml:space="preserve">Prepared by (Developer)</w:t>
            </w:r>
          </w:p>
          <w:p>
            <w:pPr>
              <w:spacing w:before="120"/>
            </w:pPr>
            <w:r>
              <w:rPr>
                <w:color w:val="7A6A57"/>
                <w:sz w:val="18"/>
                <w:szCs w:val="18"/>
              </w:rPr>
              <w:t xml:space="preserve">Date: ______________</w:t>
            </w:r>
          </w:p>
        </w:tc>
        <w:tc>
          <w:tcPr>
            <w:tcW w:type="dxa" w:w="4680"/>
          </w:tcPr>
          <w:p>
            <w:pPr>
              <w:pBdr>
                <w:top w:val="single" w:color="999999" w:sz="6" w:space="4"/>
              </w:pBdr>
              <w:spacing w:before="200"/>
            </w:pPr>
            <w:r>
              <w:rPr>
                <w:color w:val="7A6A57"/>
                <w:sz w:val="18"/>
                <w:szCs w:val="18"/>
              </w:rPr>
              <w:t xml:space="preserve">Accepted by (Ongkoleyt)</w:t>
            </w:r>
          </w:p>
          <w:p>
            <w:pPr>
              <w:spacing w:before="120"/>
            </w:pPr>
            <w:r>
              <w:rPr>
                <w:color w:val="7A6A57"/>
                <w:sz w:val="18"/>
                <w:szCs w:val="18"/>
              </w:rPr>
              <w:t xml:space="preserve">Date: 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2026-07-21T12:35:48.678Z</dcterms:created>
  <dcterms:modified xsi:type="dcterms:W3CDTF">2026-07-21T12:35:48.678Z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