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BI Healthcare Analytics Dashboard – Report</w:t>
      </w:r>
    </w:p>
    <w:p>
      <w:pPr>
        <w:pStyle w:val="Heading2"/>
      </w:pPr>
      <w:r>
        <w:t>1. Model Design</w:t>
      </w:r>
    </w:p>
    <w:p>
      <w:r>
        <w:t>The data model was structured in a Star Schema for optimal reporting:</w:t>
        <w:br/>
        <w:t>- Fact Tables:</w:t>
        <w:br/>
        <w:t xml:space="preserve">  • Appointments (Appointment Type, Fee, Follow-up flag, Appointment Date)</w:t>
        <w:br/>
        <w:t xml:space="preserve">  • Treatments (Treatment Type, Treatment Cost, Outcome, Treatment Date)</w:t>
        <w:br/>
        <w:t>- Dimension Tables:</w:t>
        <w:br/>
        <w:t xml:space="preserve">  • Patients (Patient ID, Age, Gender, Insurance Type)</w:t>
        <w:br/>
        <w:t xml:space="preserve">  • Doctors (Doctor ID, Specialty, Experience)</w:t>
        <w:br/>
        <w:t>- Date Table: Added to enable trend analysis over time.</w:t>
        <w:br/>
        <w:br/>
        <w:t>Relationships:</w:t>
        <w:br/>
        <w:t>- Appointments linked with Patients and Doctors.</w:t>
        <w:br/>
        <w:t>- Treatments linked with Patients and Doctors.</w:t>
        <w:br/>
        <w:t>- Both fact tables linked to the Date dimension.</w:t>
      </w:r>
    </w:p>
    <w:p>
      <w:pPr>
        <w:pStyle w:val="Heading2"/>
      </w:pPr>
      <w:r>
        <w:t>2. Key DAX Measures</w:t>
      </w:r>
    </w:p>
    <w:p>
      <w:r>
        <w:t>Some of the key DAX measures used:</w:t>
        <w:br/>
        <w:br/>
        <w:t>• Total Patients:</w:t>
        <w:br/>
        <w:t xml:space="preserve">  DISTINCTCOUNT(Patients[PatientID])</w:t>
        <w:br/>
        <w:br/>
        <w:t>• Total Appointments:</w:t>
        <w:br/>
        <w:t xml:space="preserve">  COUNTROWS(Appointments)</w:t>
        <w:br/>
        <w:br/>
        <w:t>• Average Fee per Appointment:</w:t>
        <w:br/>
        <w:t xml:space="preserve">  AVERAGE(Appointments[Fee])</w:t>
        <w:br/>
        <w:br/>
        <w:t>• Total Treatment Cost:</w:t>
        <w:br/>
        <w:t xml:space="preserve">  SUM(Treatments[Cost])</w:t>
        <w:br/>
        <w:br/>
        <w:t>• Successful Treatment Rate %:</w:t>
        <w:br/>
        <w:t xml:space="preserve">  DIVIDE(COUNTROWS(FILTER(Treatments, Treatments[Outcome] = "Successful")), COUNTROWS(Treatments), 0)</w:t>
        <w:br/>
        <w:br/>
        <w:t>• Follow-up Rate %:</w:t>
        <w:br/>
        <w:t xml:space="preserve">  DIVIDE(COUNTROWS(FILTER(Appointments, Appointments[Follow-up Appointments] = TRUE())), COUNTROWS(Appointments), 0)</w:t>
      </w:r>
    </w:p>
    <w:p>
      <w:pPr>
        <w:pStyle w:val="Heading2"/>
      </w:pPr>
      <w:r>
        <w:t>3. Analysis Results</w:t>
      </w:r>
    </w:p>
    <w:p>
      <w:r>
        <w:t>- Overall Trends:</w:t>
        <w:br/>
        <w:t xml:space="preserve">  • Active Patients: ~60+</w:t>
        <w:br/>
        <w:t xml:space="preserve">  • Total Appointments: ~600</w:t>
        <w:br/>
        <w:t xml:space="preserve">  • Average Fee per Appointment: ~$110</w:t>
        <w:br/>
        <w:br/>
        <w:t>- Treatment Insights:</w:t>
        <w:br/>
        <w:t xml:space="preserve">  • Medication and Surgery dominate treatment types.</w:t>
        <w:br/>
        <w:t xml:space="preserve">  • Success rate around 30%, indicating room for improvement.</w:t>
        <w:br/>
        <w:br/>
        <w:t>- Patient Insights:</w:t>
        <w:br/>
        <w:t xml:space="preserve">  • Senior patients (60+) account for the highest appointments.</w:t>
        <w:br/>
        <w:t xml:space="preserve">  • Insurance type impacts retention – private insurance patients show better follow-up rates.</w:t>
        <w:br/>
        <w:br/>
        <w:t>- Doctor Insights:</w:t>
        <w:br/>
        <w:t xml:space="preserve">  • Certain specialties perform significantly better in outcomes relative to costs.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