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Object Test case of Pen: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1.  Check the height of the pen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2. Check the body color of the pen.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3. Check the body shape of the pen.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4. Check the weight of the pen.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5. Check the body material of the pen.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6. Verify the brand name &amp; check the position of the name.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7. Check the  shape of the Pen cap.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8. Check the pen cap color.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9. Check the cap material of the pen.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10. Check the connectivity of the pen cap and pen.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11. Check the INK type of the pen.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12. Check the INK color of the pen.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13. Check the INK amount of the pen.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14. Check the thickness of the NIB.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15. Check the NIB material.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16. Check if the pen can write on different papers like A4, Art paper, newspapers etc.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17. Check if the NIB is covered with plastic or Rubber.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18. Check the INK leakage system of the pen.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19. Check the end point system of the pen.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20. Check if the INK is waterproof or not.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21. Check the INK pipe can be refillable.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22. Check if the INK smudges after writing on the paper.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23. Check if the INK toxic or not.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24. Check the Code number of the Pen.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25. Check the Pen grips systems.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26. Check the smoothness of the pen.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