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4CF77" w14:textId="77777777" w:rsidR="006C6245" w:rsidRPr="006C6245" w:rsidRDefault="006C6245" w:rsidP="006C6245">
      <w:pPr>
        <w:jc w:val="center"/>
        <w:rPr>
          <w:rFonts w:ascii="Times New Roman" w:hAnsi="Times New Roman" w:cs="Times New Roman"/>
          <w:b/>
          <w:bCs/>
        </w:rPr>
      </w:pPr>
      <w:r w:rsidRPr="006C6245">
        <w:rPr>
          <w:rFonts w:ascii="Times New Roman" w:hAnsi="Times New Roman" w:cs="Times New Roman"/>
          <w:b/>
          <w:bCs/>
        </w:rPr>
        <w:t>Tales of National Transformation</w:t>
      </w:r>
    </w:p>
    <w:p w14:paraId="2143E60C" w14:textId="77777777" w:rsidR="006C6245" w:rsidRPr="006C6245" w:rsidRDefault="006C6245" w:rsidP="006C6245">
      <w:pPr>
        <w:jc w:val="center"/>
        <w:rPr>
          <w:rFonts w:ascii="Times New Roman" w:hAnsi="Times New Roman" w:cs="Times New Roman"/>
          <w:b/>
          <w:bCs/>
        </w:rPr>
      </w:pPr>
    </w:p>
    <w:p w14:paraId="65174F97" w14:textId="77777777" w:rsidR="006C6245" w:rsidRPr="006C6245" w:rsidRDefault="006C6245" w:rsidP="006C6245">
      <w:pPr>
        <w:jc w:val="both"/>
        <w:rPr>
          <w:rFonts w:ascii="Times New Roman" w:hAnsi="Times New Roman" w:cs="Times New Roman"/>
          <w:sz w:val="21"/>
          <w:szCs w:val="21"/>
        </w:rPr>
      </w:pPr>
      <w:r w:rsidRPr="006C6245">
        <w:rPr>
          <w:rFonts w:ascii="Times New Roman" w:hAnsi="Times New Roman" w:cs="Times New Roman"/>
          <w:b/>
          <w:bCs/>
          <w:sz w:val="21"/>
          <w:szCs w:val="21"/>
        </w:rPr>
        <w:t>United Kingdom (1971)</w:t>
      </w:r>
      <w:r w:rsidRPr="006C6245">
        <w:rPr>
          <w:rFonts w:ascii="Times New Roman" w:hAnsi="Times New Roman" w:cs="Times New Roman"/>
          <w:sz w:val="21"/>
          <w:szCs w:val="21"/>
        </w:rPr>
        <w:t>: The Divorce Reform Act eliminated the need to prove matrimonial offense and introduced "irretrievable breakdown" as the sole ground for divorce. Divorce rates doubled from approximately 50,000 to over 100,000 annually within two years, while the divorce-to-marriage ratio increased from 10% to 60% over time. Notably, marriage numbers steadily declined from 470,000 to below 250,000 annually. The graph shows a clear inflection point at 1971 with a sustained impact that permanently altered the UK's marriage landscape.</w:t>
      </w:r>
    </w:p>
    <w:p w14:paraId="706B50C6" w14:textId="77777777" w:rsidR="006C6245" w:rsidRPr="006C6245" w:rsidRDefault="006C6245" w:rsidP="006C6245">
      <w:pPr>
        <w:jc w:val="both"/>
        <w:rPr>
          <w:rFonts w:ascii="Times New Roman" w:hAnsi="Times New Roman" w:cs="Times New Roman"/>
          <w:sz w:val="21"/>
          <w:szCs w:val="21"/>
        </w:rPr>
      </w:pPr>
    </w:p>
    <w:p w14:paraId="4A555149" w14:textId="77777777" w:rsidR="006C6245" w:rsidRPr="006C6245" w:rsidRDefault="006C6245" w:rsidP="006C6245">
      <w:pPr>
        <w:jc w:val="both"/>
        <w:rPr>
          <w:rFonts w:ascii="Times New Roman" w:hAnsi="Times New Roman" w:cs="Times New Roman"/>
          <w:sz w:val="21"/>
          <w:szCs w:val="21"/>
        </w:rPr>
      </w:pPr>
      <w:r w:rsidRPr="006C6245">
        <w:rPr>
          <w:rFonts w:ascii="Times New Roman" w:hAnsi="Times New Roman" w:cs="Times New Roman"/>
          <w:b/>
          <w:bCs/>
          <w:sz w:val="21"/>
          <w:szCs w:val="21"/>
        </w:rPr>
        <w:t>France (1975)</w:t>
      </w:r>
      <w:r w:rsidRPr="006C6245">
        <w:rPr>
          <w:rFonts w:ascii="Times New Roman" w:hAnsi="Times New Roman" w:cs="Times New Roman"/>
          <w:sz w:val="21"/>
          <w:szCs w:val="21"/>
        </w:rPr>
        <w:t>: The No-Fault Divorce Law created four types of divorce including mutual consent and unilateral divorce after 6 years of separation. Unlike the UK's immediate spike, France experienced a more gradual but persistent increase in divorces from approximately 50,000 to over 100,000 within a decade. The divorce-to-marriage ratio shows a consistent upward trajectory from 10% to over 50%, with recent data showing peaks above 55%, suggesting continued evolution of social attitudes long after the legal changes.</w:t>
      </w:r>
    </w:p>
    <w:p w14:paraId="031A65C9" w14:textId="77777777" w:rsidR="006C6245" w:rsidRPr="006C6245" w:rsidRDefault="006C6245" w:rsidP="006C6245">
      <w:pPr>
        <w:jc w:val="both"/>
        <w:rPr>
          <w:rFonts w:ascii="Times New Roman" w:hAnsi="Times New Roman" w:cs="Times New Roman"/>
          <w:sz w:val="21"/>
          <w:szCs w:val="21"/>
        </w:rPr>
      </w:pPr>
    </w:p>
    <w:p w14:paraId="461C39E8" w14:textId="77777777" w:rsidR="006C6245" w:rsidRPr="006C6245" w:rsidRDefault="006C6245" w:rsidP="006C6245">
      <w:pPr>
        <w:jc w:val="both"/>
        <w:rPr>
          <w:rFonts w:ascii="Times New Roman" w:hAnsi="Times New Roman" w:cs="Times New Roman"/>
          <w:sz w:val="21"/>
          <w:szCs w:val="21"/>
        </w:rPr>
      </w:pPr>
      <w:r w:rsidRPr="006C6245">
        <w:rPr>
          <w:rFonts w:ascii="Times New Roman" w:hAnsi="Times New Roman" w:cs="Times New Roman"/>
          <w:b/>
          <w:bCs/>
          <w:sz w:val="21"/>
          <w:szCs w:val="21"/>
        </w:rPr>
        <w:t>Spain (2005)</w:t>
      </w:r>
      <w:r w:rsidRPr="006C6245">
        <w:rPr>
          <w:rFonts w:ascii="Times New Roman" w:hAnsi="Times New Roman" w:cs="Times New Roman"/>
          <w:sz w:val="21"/>
          <w:szCs w:val="21"/>
        </w:rPr>
        <w:t>: The "Express Divorce Law" eliminated the required separation period and allowed direct divorce just 3 months after filing, creating one of Europe's most dramatic transformations. The graph shows divorce numbers skyrocketing from roughly 50,000 to 130,000 annually almost overnight, with the divorce-to-marriage ratio leaping from 20% to over 60% in just two years. One striking data point shows a ratio spike to 85% in recent years, meaning 85 divorces for every 100 marriages, highlighting how quickly a traditionally Catholic country could transform when legal barriers were removed.</w:t>
      </w:r>
    </w:p>
    <w:p w14:paraId="5C6C229C" w14:textId="77777777" w:rsidR="006C6245" w:rsidRPr="006C6245" w:rsidRDefault="006C6245" w:rsidP="006C6245">
      <w:pPr>
        <w:jc w:val="both"/>
        <w:rPr>
          <w:rFonts w:ascii="Times New Roman" w:hAnsi="Times New Roman" w:cs="Times New Roman"/>
          <w:sz w:val="21"/>
          <w:szCs w:val="21"/>
        </w:rPr>
      </w:pPr>
    </w:p>
    <w:p w14:paraId="1AA901E2" w14:textId="77777777" w:rsidR="006C6245" w:rsidRPr="006C6245" w:rsidRDefault="006C6245" w:rsidP="006C6245">
      <w:pPr>
        <w:jc w:val="both"/>
        <w:rPr>
          <w:rFonts w:ascii="Times New Roman" w:hAnsi="Times New Roman" w:cs="Times New Roman"/>
          <w:sz w:val="21"/>
          <w:szCs w:val="21"/>
        </w:rPr>
      </w:pPr>
      <w:r w:rsidRPr="006C6245">
        <w:rPr>
          <w:rFonts w:ascii="Times New Roman" w:hAnsi="Times New Roman" w:cs="Times New Roman"/>
          <w:b/>
          <w:bCs/>
          <w:sz w:val="21"/>
          <w:szCs w:val="21"/>
        </w:rPr>
        <w:t>Italy (1970 &amp; 2015)</w:t>
      </w:r>
      <w:r w:rsidRPr="006C6245">
        <w:rPr>
          <w:rFonts w:ascii="Times New Roman" w:hAnsi="Times New Roman" w:cs="Times New Roman"/>
          <w:sz w:val="21"/>
          <w:szCs w:val="21"/>
        </w:rPr>
        <w:t xml:space="preserve">: Italy's graph shows two critical transition points: initial divorce </w:t>
      </w:r>
    </w:p>
    <w:p w14:paraId="43E651B2" w14:textId="26BF799B" w:rsidR="006C6245" w:rsidRPr="006C6245" w:rsidRDefault="006C6245" w:rsidP="006C6245">
      <w:pPr>
        <w:jc w:val="both"/>
        <w:rPr>
          <w:rFonts w:ascii="Times New Roman" w:hAnsi="Times New Roman" w:cs="Times New Roman"/>
          <w:sz w:val="21"/>
          <w:szCs w:val="21"/>
        </w:rPr>
      </w:pPr>
      <w:r w:rsidRPr="006C6245">
        <w:rPr>
          <w:rFonts w:ascii="Times New Roman" w:hAnsi="Times New Roman" w:cs="Times New Roman"/>
          <w:sz w:val="21"/>
          <w:szCs w:val="21"/>
        </w:rPr>
        <w:t>legalization in 1970 (starting from zero divorces) and the "Fast-Track Divorce Law" in 2015, which reduced mandatory separation from 3 years to just 6 months. After the 2015 reform, divorce numbers jumped by 50%, with the ratio increasing from 25% to over 40%. The dramatic spike to nearly 70% during one period reflects a backlog of separations suddenly becoming divorces, demonstrating how procedural barriers had been artificially suppressing divorce rates.</w:t>
      </w:r>
    </w:p>
    <w:p w14:paraId="2055A42E" w14:textId="77777777" w:rsidR="006C6245" w:rsidRPr="006C6245" w:rsidRDefault="006C6245" w:rsidP="006C6245">
      <w:pPr>
        <w:jc w:val="both"/>
        <w:rPr>
          <w:rFonts w:ascii="Times New Roman" w:hAnsi="Times New Roman" w:cs="Times New Roman"/>
          <w:sz w:val="21"/>
          <w:szCs w:val="21"/>
        </w:rPr>
      </w:pPr>
    </w:p>
    <w:p w14:paraId="409B0B9B" w14:textId="3F99AA0F" w:rsidR="006C6245" w:rsidRPr="006C6245" w:rsidRDefault="006C6245" w:rsidP="006C6245">
      <w:pPr>
        <w:jc w:val="both"/>
        <w:rPr>
          <w:rFonts w:ascii="Times New Roman" w:hAnsi="Times New Roman" w:cs="Times New Roman"/>
          <w:sz w:val="21"/>
          <w:szCs w:val="21"/>
        </w:rPr>
      </w:pPr>
      <w:r w:rsidRPr="006C6245">
        <w:rPr>
          <w:rFonts w:ascii="Times New Roman" w:hAnsi="Times New Roman" w:cs="Times New Roman"/>
          <w:b/>
          <w:bCs/>
          <w:sz w:val="21"/>
          <w:szCs w:val="21"/>
        </w:rPr>
        <w:t>Portugal (2008)</w:t>
      </w:r>
      <w:r w:rsidRPr="006C6245">
        <w:rPr>
          <w:rFonts w:ascii="Times New Roman" w:hAnsi="Times New Roman" w:cs="Times New Roman"/>
          <w:sz w:val="21"/>
          <w:szCs w:val="21"/>
        </w:rPr>
        <w:t>: The Mutual Consent Reform eliminated fault requirements and allowed administrative divorces without court involvement. While the graph shows divorce numbers remained relatively stable around 25,000 annually, the simultaneously declining marriage rate (from about 70,000 to 30,000) caused the ratio to climb significantly. The remarkable spike to nearly 90% ratio during what appears to be an economic downturn suggests financial pressures may amplify divorce decisions when legal barriers are minimal.</w:t>
      </w:r>
    </w:p>
    <w:p w14:paraId="37B88DB6" w14:textId="77777777" w:rsidR="006C6245" w:rsidRPr="006C6245" w:rsidRDefault="006C6245" w:rsidP="006C6245">
      <w:pPr>
        <w:jc w:val="both"/>
        <w:rPr>
          <w:rFonts w:ascii="Times New Roman" w:hAnsi="Times New Roman" w:cs="Times New Roman"/>
          <w:sz w:val="21"/>
          <w:szCs w:val="21"/>
        </w:rPr>
      </w:pPr>
    </w:p>
    <w:p w14:paraId="20F0D74B" w14:textId="77777777" w:rsidR="006C6245" w:rsidRPr="006C6245" w:rsidRDefault="006C6245" w:rsidP="006C6245">
      <w:pPr>
        <w:jc w:val="both"/>
        <w:rPr>
          <w:rFonts w:ascii="Times New Roman" w:hAnsi="Times New Roman" w:cs="Times New Roman"/>
          <w:sz w:val="21"/>
          <w:szCs w:val="21"/>
        </w:rPr>
      </w:pPr>
      <w:r w:rsidRPr="006C6245">
        <w:rPr>
          <w:rFonts w:ascii="Times New Roman" w:hAnsi="Times New Roman" w:cs="Times New Roman"/>
          <w:b/>
          <w:bCs/>
          <w:sz w:val="21"/>
          <w:szCs w:val="21"/>
        </w:rPr>
        <w:t>Greece (1983)</w:t>
      </w:r>
      <w:r w:rsidRPr="006C6245">
        <w:rPr>
          <w:rFonts w:ascii="Times New Roman" w:hAnsi="Times New Roman" w:cs="Times New Roman"/>
          <w:sz w:val="21"/>
          <w:szCs w:val="21"/>
        </w:rPr>
        <w:t>: The Family Law Reform introduced no-fault divorce and eliminated discrimination against women in family law. The graph clearly shows that before reform, Greece's divorce-to-marriage ratio was under 5% (one of Europe's lowest), eventually rising to 20-35%. Unlike Western European countries, Greece's ratio remained relatively modest, and the highly volatile pattern with sharp spikes to 35% appears to coincide with periods of economic crisis, particularly visible during the 2008-2010 financial crisis and subsequent austerity measures.</w:t>
      </w:r>
    </w:p>
    <w:p w14:paraId="1E7E7647" w14:textId="77777777" w:rsidR="006C6245" w:rsidRPr="006C6245" w:rsidRDefault="006C6245" w:rsidP="006C6245">
      <w:pPr>
        <w:jc w:val="both"/>
        <w:rPr>
          <w:rFonts w:ascii="Times New Roman" w:hAnsi="Times New Roman" w:cs="Times New Roman"/>
          <w:sz w:val="21"/>
          <w:szCs w:val="21"/>
        </w:rPr>
      </w:pPr>
    </w:p>
    <w:p w14:paraId="52801F5A" w14:textId="77777777" w:rsidR="006C6245" w:rsidRPr="006C6245" w:rsidRDefault="006C6245" w:rsidP="006C6245">
      <w:pPr>
        <w:jc w:val="both"/>
        <w:rPr>
          <w:rFonts w:ascii="Times New Roman" w:hAnsi="Times New Roman" w:cs="Times New Roman"/>
          <w:sz w:val="21"/>
          <w:szCs w:val="21"/>
        </w:rPr>
      </w:pPr>
      <w:r w:rsidRPr="006C6245">
        <w:rPr>
          <w:rFonts w:ascii="Times New Roman" w:hAnsi="Times New Roman" w:cs="Times New Roman"/>
          <w:b/>
          <w:bCs/>
          <w:sz w:val="21"/>
          <w:szCs w:val="21"/>
        </w:rPr>
        <w:t>Sweden (1974)</w:t>
      </w:r>
      <w:r w:rsidRPr="006C6245">
        <w:rPr>
          <w:rFonts w:ascii="Times New Roman" w:hAnsi="Times New Roman" w:cs="Times New Roman"/>
          <w:sz w:val="21"/>
          <w:szCs w:val="21"/>
        </w:rPr>
        <w:t>: Sweden's pioneering reform eliminated all divorce requirements, allowing immediate divorce upon request. The graph shows an immediate 60% increase in divorces following the law, from approximately 15,000 to 25,000 annually. Most notably, unlike other countries that experienced continuous increases, Sweden's ratio quickly stabilized between 40-65% for decades, suggesting it reached its "natural" divorce level much earlier than other European nations. This pattern supports Sweden's reputation as the "future of European relationships," experiencing in the 1970s what other countries would discover decades later.</w:t>
      </w:r>
    </w:p>
    <w:p w14:paraId="73FFDAA1" w14:textId="77777777" w:rsidR="0086433E" w:rsidRDefault="0086433E" w:rsidP="006C6245">
      <w:pPr>
        <w:jc w:val="both"/>
      </w:pPr>
    </w:p>
    <w:p w14:paraId="71A25006" w14:textId="77777777" w:rsidR="006C6245" w:rsidRDefault="006C6245" w:rsidP="006C6245">
      <w:pPr>
        <w:jc w:val="both"/>
      </w:pPr>
    </w:p>
    <w:p w14:paraId="3DBE547C" w14:textId="77777777" w:rsidR="006C6245" w:rsidRDefault="006C6245" w:rsidP="006C6245">
      <w:pPr>
        <w:jc w:val="both"/>
      </w:pPr>
    </w:p>
    <w:p w14:paraId="4B3C364F" w14:textId="77777777" w:rsidR="006C6245" w:rsidRDefault="006C6245" w:rsidP="006C6245">
      <w:pPr>
        <w:jc w:val="both"/>
      </w:pPr>
    </w:p>
    <w:p w14:paraId="6C5B2171" w14:textId="77777777" w:rsidR="006C6245" w:rsidRDefault="006C6245" w:rsidP="006C6245">
      <w:pPr>
        <w:jc w:val="both"/>
      </w:pPr>
    </w:p>
    <w:p w14:paraId="5E60621F" w14:textId="77777777" w:rsidR="006C6245" w:rsidRDefault="006C6245" w:rsidP="006C6245">
      <w:pPr>
        <w:jc w:val="both"/>
      </w:pPr>
    </w:p>
    <w:p w14:paraId="4BF300CA" w14:textId="79968ABB" w:rsidR="00557922" w:rsidRPr="00557922" w:rsidRDefault="00557922" w:rsidP="00557922">
      <w:pPr>
        <w:jc w:val="center"/>
        <w:rPr>
          <w:rFonts w:ascii="Times New Roman" w:hAnsi="Times New Roman" w:cs="Times New Roman"/>
          <w:b/>
          <w:bCs/>
        </w:rPr>
      </w:pPr>
      <w:r w:rsidRPr="00557922">
        <w:rPr>
          <w:rFonts w:ascii="Times New Roman" w:hAnsi="Times New Roman" w:cs="Times New Roman"/>
          <w:b/>
          <w:bCs/>
        </w:rPr>
        <w:lastRenderedPageBreak/>
        <w:t>Tomorrow’s Relationships</w:t>
      </w:r>
    </w:p>
    <w:p w14:paraId="700A7A84" w14:textId="6817C29F" w:rsidR="00557922" w:rsidRPr="00557922" w:rsidRDefault="00557922" w:rsidP="00557922">
      <w:pPr>
        <w:jc w:val="both"/>
        <w:rPr>
          <w:rFonts w:ascii="Times New Roman" w:hAnsi="Times New Roman" w:cs="Times New Roman"/>
          <w:sz w:val="20"/>
          <w:szCs w:val="20"/>
        </w:rPr>
      </w:pPr>
      <w:r w:rsidRPr="00557922">
        <w:rPr>
          <w:rFonts w:ascii="Times New Roman" w:hAnsi="Times New Roman" w:cs="Times New Roman"/>
          <w:b/>
          <w:bCs/>
          <w:sz w:val="20"/>
          <w:szCs w:val="20"/>
        </w:rPr>
        <w:br/>
      </w:r>
      <w:r w:rsidRPr="00557922">
        <w:rPr>
          <w:rFonts w:ascii="Times New Roman" w:hAnsi="Times New Roman" w:cs="Times New Roman"/>
          <w:sz w:val="20"/>
          <w:szCs w:val="20"/>
        </w:rPr>
        <w:t xml:space="preserve">The projected divorce-to-marriage ratio graph for Europe shows a clear historical progression and future forecast from 1960 to 2050. The historical data (dark blue line) reveals three distinct phases: stability at around 0.1 (10 divorces per 100 marriages) from 1948 to 1968, followed by a steep increase from 1970 through 1995 as divorce reforms spread across Europe, then </w:t>
      </w:r>
      <w:r w:rsidRPr="00557922">
        <w:rPr>
          <w:rFonts w:ascii="Times New Roman" w:hAnsi="Times New Roman" w:cs="Times New Roman"/>
          <w:sz w:val="20"/>
          <w:szCs w:val="20"/>
        </w:rPr>
        <w:t>levelling</w:t>
      </w:r>
      <w:r w:rsidRPr="00557922">
        <w:rPr>
          <w:rFonts w:ascii="Times New Roman" w:hAnsi="Times New Roman" w:cs="Times New Roman"/>
          <w:sz w:val="20"/>
          <w:szCs w:val="20"/>
        </w:rPr>
        <w:t xml:space="preserve"> off around 0.38-0.40 between 1996 and 2019 with minor fluctuations. A notable spike occurs in 2020, reaching 0.4524559 according to the data point highlighted on the graph, likely reflecting pandemic disruptions. The ARIMA forecast (light blue dashed line) beginning in 2020 predicts continued volatility through the 2020s and 2030s but overall stabilization around 0.5 by 2050, suggesting Europe may have reached a natural equilibrium where roughly half of all marriages will end in divorce. This projection points to a future where divorce rates stabilize rather than continue to climb, despite ongoing declines in marriage rates throughout the continent.</w:t>
      </w:r>
    </w:p>
    <w:p w14:paraId="42CBC8B4" w14:textId="77777777" w:rsidR="00557922" w:rsidRDefault="00557922" w:rsidP="00557922">
      <w:pPr>
        <w:jc w:val="center"/>
        <w:rPr>
          <w:b/>
          <w:bCs/>
        </w:rPr>
      </w:pPr>
    </w:p>
    <w:p w14:paraId="7C57F28F" w14:textId="77777777" w:rsidR="00557922" w:rsidRDefault="00557922" w:rsidP="00557922">
      <w:pPr>
        <w:jc w:val="center"/>
        <w:rPr>
          <w:b/>
          <w:bCs/>
        </w:rPr>
      </w:pPr>
    </w:p>
    <w:p w14:paraId="2C21AA10" w14:textId="77777777" w:rsidR="00557922" w:rsidRDefault="00557922" w:rsidP="00557922">
      <w:pPr>
        <w:jc w:val="center"/>
        <w:rPr>
          <w:b/>
          <w:bCs/>
        </w:rPr>
      </w:pPr>
    </w:p>
    <w:p w14:paraId="7E41F1FF" w14:textId="3974919F" w:rsidR="00557922" w:rsidRDefault="00557922" w:rsidP="00557922">
      <w:pPr>
        <w:jc w:val="center"/>
        <w:rPr>
          <w:rFonts w:ascii="Times New Roman" w:hAnsi="Times New Roman" w:cs="Times New Roman"/>
          <w:b/>
          <w:bCs/>
        </w:rPr>
      </w:pPr>
      <w:r w:rsidRPr="00557922">
        <w:rPr>
          <w:rFonts w:ascii="Times New Roman" w:hAnsi="Times New Roman" w:cs="Times New Roman"/>
          <w:b/>
          <w:bCs/>
        </w:rPr>
        <w:t xml:space="preserve">Introduction for </w:t>
      </w:r>
      <w:r w:rsidRPr="00557922">
        <w:rPr>
          <w:rFonts w:ascii="Times New Roman" w:hAnsi="Times New Roman" w:cs="Times New Roman"/>
          <w:b/>
          <w:bCs/>
        </w:rPr>
        <w:t>Divorce Analysis</w:t>
      </w:r>
      <w:r w:rsidRPr="00557922">
        <w:rPr>
          <w:rFonts w:ascii="Times New Roman" w:hAnsi="Times New Roman" w:cs="Times New Roman"/>
          <w:b/>
          <w:bCs/>
        </w:rPr>
        <w:t xml:space="preserve"> in the UK</w:t>
      </w:r>
    </w:p>
    <w:p w14:paraId="4AE84B46" w14:textId="77777777" w:rsidR="00557922" w:rsidRPr="00557922" w:rsidRDefault="00557922" w:rsidP="00557922">
      <w:pPr>
        <w:jc w:val="center"/>
        <w:rPr>
          <w:rFonts w:ascii="Times New Roman" w:hAnsi="Times New Roman" w:cs="Times New Roman"/>
          <w:b/>
          <w:bCs/>
        </w:rPr>
      </w:pPr>
    </w:p>
    <w:p w14:paraId="42EDB35B" w14:textId="77777777" w:rsidR="00557922" w:rsidRPr="00557922" w:rsidRDefault="00557922" w:rsidP="00557922">
      <w:pPr>
        <w:jc w:val="both"/>
        <w:rPr>
          <w:rFonts w:ascii="Times New Roman" w:hAnsi="Times New Roman" w:cs="Times New Roman"/>
          <w:sz w:val="20"/>
          <w:szCs w:val="20"/>
        </w:rPr>
      </w:pPr>
      <w:r w:rsidRPr="00557922">
        <w:rPr>
          <w:rFonts w:ascii="Times New Roman" w:hAnsi="Times New Roman" w:cs="Times New Roman"/>
          <w:sz w:val="20"/>
          <w:szCs w:val="20"/>
        </w:rPr>
        <w:t>Our analysis of divorce patterns focuses specifically on the United Kingdom for several compelling reasons. The UK represents an ideal case study due to its exceptionally comprehensive demographic data collection spanning back to 1948, offering detailed records on marriage and divorce that few other European nations can match.</w:t>
      </w:r>
    </w:p>
    <w:p w14:paraId="34067D4E" w14:textId="23B532E9" w:rsidR="00557922" w:rsidRDefault="00557922" w:rsidP="00557922">
      <w:pPr>
        <w:jc w:val="both"/>
        <w:rPr>
          <w:rFonts w:ascii="Times New Roman" w:hAnsi="Times New Roman" w:cs="Times New Roman"/>
          <w:sz w:val="20"/>
          <w:szCs w:val="20"/>
        </w:rPr>
      </w:pPr>
      <w:r w:rsidRPr="00557922">
        <w:rPr>
          <w:rFonts w:ascii="Times New Roman" w:hAnsi="Times New Roman" w:cs="Times New Roman"/>
          <w:sz w:val="20"/>
          <w:szCs w:val="20"/>
        </w:rPr>
        <w:t xml:space="preserve">For this analysis, we merged multiple UK datasets encompassing age, gender, marriage, and divorce statistics to create a comprehensive view of relationship patterns. This rich tapestry of data reveals not just when relationships begin and </w:t>
      </w:r>
      <w:r w:rsidRPr="00557922">
        <w:rPr>
          <w:rFonts w:ascii="Times New Roman" w:hAnsi="Times New Roman" w:cs="Times New Roman"/>
          <w:sz w:val="20"/>
          <w:szCs w:val="20"/>
        </w:rPr>
        <w:t>end but</w:t>
      </w:r>
      <w:r w:rsidRPr="00557922">
        <w:rPr>
          <w:rFonts w:ascii="Times New Roman" w:hAnsi="Times New Roman" w:cs="Times New Roman"/>
          <w:sz w:val="20"/>
          <w:szCs w:val="20"/>
        </w:rPr>
        <w:t xml:space="preserve"> illuminates the "why" behind changing marital trends.</w:t>
      </w:r>
    </w:p>
    <w:p w14:paraId="2FAD9630" w14:textId="77777777" w:rsidR="00557922" w:rsidRPr="00557922" w:rsidRDefault="00557922" w:rsidP="00557922">
      <w:pPr>
        <w:jc w:val="both"/>
        <w:rPr>
          <w:rFonts w:ascii="Times New Roman" w:hAnsi="Times New Roman" w:cs="Times New Roman"/>
          <w:sz w:val="20"/>
          <w:szCs w:val="20"/>
        </w:rPr>
      </w:pPr>
    </w:p>
    <w:p w14:paraId="7801EB9B" w14:textId="77777777" w:rsidR="00557922" w:rsidRDefault="00557922" w:rsidP="00557922">
      <w:pPr>
        <w:jc w:val="both"/>
        <w:rPr>
          <w:rFonts w:ascii="Times New Roman" w:hAnsi="Times New Roman" w:cs="Times New Roman"/>
          <w:sz w:val="20"/>
          <w:szCs w:val="20"/>
        </w:rPr>
      </w:pPr>
      <w:r w:rsidRPr="00557922">
        <w:rPr>
          <w:rFonts w:ascii="Times New Roman" w:hAnsi="Times New Roman" w:cs="Times New Roman"/>
          <w:sz w:val="20"/>
          <w:szCs w:val="20"/>
        </w:rPr>
        <w:t>The UK's divorce landscape is particularly revealing as it reflects broader Western social transformations while displaying distinctive patterns worth examining. As part of Northern Europe, the UK exemplifies the region's higher divorce-to-marriage ratio (averaging 0.41 compared to Southern Europe's 0.21), making it a representative example of the "Pioneers of Parting" phenomenon observed across Scandinavian and Northern European countries.</w:t>
      </w:r>
    </w:p>
    <w:p w14:paraId="67A92CE6" w14:textId="77777777" w:rsidR="00557922" w:rsidRPr="00557922" w:rsidRDefault="00557922" w:rsidP="00557922">
      <w:pPr>
        <w:jc w:val="both"/>
        <w:rPr>
          <w:rFonts w:ascii="Times New Roman" w:hAnsi="Times New Roman" w:cs="Times New Roman"/>
          <w:sz w:val="20"/>
          <w:szCs w:val="20"/>
        </w:rPr>
      </w:pPr>
    </w:p>
    <w:p w14:paraId="7CB88414" w14:textId="77777777" w:rsidR="00557922" w:rsidRPr="00557922" w:rsidRDefault="00557922" w:rsidP="00557922">
      <w:pPr>
        <w:jc w:val="both"/>
        <w:rPr>
          <w:rFonts w:ascii="Times New Roman" w:hAnsi="Times New Roman" w:cs="Times New Roman"/>
          <w:sz w:val="20"/>
          <w:szCs w:val="20"/>
        </w:rPr>
      </w:pPr>
      <w:r w:rsidRPr="00557922">
        <w:rPr>
          <w:rFonts w:ascii="Times New Roman" w:hAnsi="Times New Roman" w:cs="Times New Roman"/>
          <w:sz w:val="20"/>
          <w:szCs w:val="20"/>
        </w:rPr>
        <w:t>With approximately 8 million people experiencing divorce and a current situation where divorces outnumber marriages, the UK exemplifies the evolving nature of traditional family structures in Western societies. This transition from "till death do us part" to "while it works for us both" provides a compelling narrative for understanding how relationships have transformed over the past seven decades.</w:t>
      </w:r>
    </w:p>
    <w:p w14:paraId="0681FD4E" w14:textId="77777777" w:rsidR="00557922" w:rsidRPr="00557922" w:rsidRDefault="00557922" w:rsidP="00557922">
      <w:pPr>
        <w:jc w:val="center"/>
        <w:rPr>
          <w:b/>
          <w:bCs/>
        </w:rPr>
      </w:pPr>
    </w:p>
    <w:p w14:paraId="29002CBF" w14:textId="74E33847" w:rsidR="006C6245" w:rsidRPr="006C6245" w:rsidRDefault="006C6245" w:rsidP="006C6245">
      <w:pPr>
        <w:jc w:val="center"/>
        <w:rPr>
          <w:b/>
          <w:bCs/>
        </w:rPr>
      </w:pPr>
      <w:r>
        <w:rPr>
          <w:b/>
          <w:bCs/>
        </w:rPr>
        <w:br/>
      </w:r>
    </w:p>
    <w:p w14:paraId="69BFC6F1" w14:textId="77777777" w:rsidR="006C6245" w:rsidRDefault="006C6245" w:rsidP="006C6245">
      <w:pPr>
        <w:jc w:val="both"/>
      </w:pPr>
    </w:p>
    <w:p w14:paraId="1B499139" w14:textId="77777777" w:rsidR="006C6245" w:rsidRDefault="006C6245" w:rsidP="006C6245">
      <w:pPr>
        <w:jc w:val="both"/>
      </w:pPr>
    </w:p>
    <w:p w14:paraId="0495BE56" w14:textId="77777777" w:rsidR="006C6245" w:rsidRDefault="006C6245" w:rsidP="006C6245">
      <w:pPr>
        <w:jc w:val="both"/>
      </w:pPr>
    </w:p>
    <w:p w14:paraId="29594777" w14:textId="77777777" w:rsidR="006C6245" w:rsidRDefault="006C6245" w:rsidP="006C6245">
      <w:pPr>
        <w:jc w:val="both"/>
      </w:pPr>
    </w:p>
    <w:p w14:paraId="59A4F963" w14:textId="77777777" w:rsidR="006C6245" w:rsidRDefault="006C6245" w:rsidP="006C6245">
      <w:pPr>
        <w:jc w:val="both"/>
      </w:pPr>
    </w:p>
    <w:sectPr w:rsidR="006C6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45"/>
    <w:rsid w:val="00557922"/>
    <w:rsid w:val="00691124"/>
    <w:rsid w:val="006C6245"/>
    <w:rsid w:val="007C0500"/>
    <w:rsid w:val="0086433E"/>
    <w:rsid w:val="00B71D79"/>
    <w:rsid w:val="00BD47CD"/>
    <w:rsid w:val="00D97251"/>
    <w:rsid w:val="00FF7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A5A36B"/>
  <w15:chartTrackingRefBased/>
  <w15:docId w15:val="{5064EDBD-E409-804C-AA36-BBD96ABC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6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2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2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2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2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6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245"/>
    <w:rPr>
      <w:rFonts w:eastAsiaTheme="majorEastAsia" w:cstheme="majorBidi"/>
      <w:color w:val="272727" w:themeColor="text1" w:themeTint="D8"/>
    </w:rPr>
  </w:style>
  <w:style w:type="paragraph" w:styleId="Title">
    <w:name w:val="Title"/>
    <w:basedOn w:val="Normal"/>
    <w:next w:val="Normal"/>
    <w:link w:val="TitleChar"/>
    <w:uiPriority w:val="10"/>
    <w:qFormat/>
    <w:rsid w:val="006C62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2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2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6245"/>
    <w:rPr>
      <w:i/>
      <w:iCs/>
      <w:color w:val="404040" w:themeColor="text1" w:themeTint="BF"/>
    </w:rPr>
  </w:style>
  <w:style w:type="paragraph" w:styleId="ListParagraph">
    <w:name w:val="List Paragraph"/>
    <w:basedOn w:val="Normal"/>
    <w:uiPriority w:val="34"/>
    <w:qFormat/>
    <w:rsid w:val="006C6245"/>
    <w:pPr>
      <w:ind w:left="720"/>
      <w:contextualSpacing/>
    </w:pPr>
  </w:style>
  <w:style w:type="character" w:styleId="IntenseEmphasis">
    <w:name w:val="Intense Emphasis"/>
    <w:basedOn w:val="DefaultParagraphFont"/>
    <w:uiPriority w:val="21"/>
    <w:qFormat/>
    <w:rsid w:val="006C6245"/>
    <w:rPr>
      <w:i/>
      <w:iCs/>
      <w:color w:val="0F4761" w:themeColor="accent1" w:themeShade="BF"/>
    </w:rPr>
  </w:style>
  <w:style w:type="paragraph" w:styleId="IntenseQuote">
    <w:name w:val="Intense Quote"/>
    <w:basedOn w:val="Normal"/>
    <w:next w:val="Normal"/>
    <w:link w:val="IntenseQuoteChar"/>
    <w:uiPriority w:val="30"/>
    <w:qFormat/>
    <w:rsid w:val="006C6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245"/>
    <w:rPr>
      <w:i/>
      <w:iCs/>
      <w:color w:val="0F4761" w:themeColor="accent1" w:themeShade="BF"/>
    </w:rPr>
  </w:style>
  <w:style w:type="character" w:styleId="IntenseReference">
    <w:name w:val="Intense Reference"/>
    <w:basedOn w:val="DefaultParagraphFont"/>
    <w:uiPriority w:val="32"/>
    <w:qFormat/>
    <w:rsid w:val="006C6245"/>
    <w:rPr>
      <w:b/>
      <w:bCs/>
      <w:smallCaps/>
      <w:color w:val="0F4761" w:themeColor="accent1" w:themeShade="BF"/>
      <w:spacing w:val="5"/>
    </w:rPr>
  </w:style>
  <w:style w:type="character" w:styleId="Hyperlink">
    <w:name w:val="Hyperlink"/>
    <w:basedOn w:val="DefaultParagraphFont"/>
    <w:uiPriority w:val="99"/>
    <w:unhideWhenUsed/>
    <w:rsid w:val="00557922"/>
    <w:rPr>
      <w:color w:val="467886" w:themeColor="hyperlink"/>
      <w:u w:val="single"/>
    </w:rPr>
  </w:style>
  <w:style w:type="character" w:styleId="UnresolvedMention">
    <w:name w:val="Unresolved Mention"/>
    <w:basedOn w:val="DefaultParagraphFont"/>
    <w:uiPriority w:val="99"/>
    <w:semiHidden/>
    <w:unhideWhenUsed/>
    <w:rsid w:val="0055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43496">
      <w:bodyDiv w:val="1"/>
      <w:marLeft w:val="0"/>
      <w:marRight w:val="0"/>
      <w:marTop w:val="0"/>
      <w:marBottom w:val="0"/>
      <w:divBdr>
        <w:top w:val="none" w:sz="0" w:space="0" w:color="auto"/>
        <w:left w:val="none" w:sz="0" w:space="0" w:color="auto"/>
        <w:bottom w:val="none" w:sz="0" w:space="0" w:color="auto"/>
        <w:right w:val="none" w:sz="0" w:space="0" w:color="auto"/>
      </w:divBdr>
    </w:div>
    <w:div w:id="167260473">
      <w:bodyDiv w:val="1"/>
      <w:marLeft w:val="0"/>
      <w:marRight w:val="0"/>
      <w:marTop w:val="0"/>
      <w:marBottom w:val="0"/>
      <w:divBdr>
        <w:top w:val="none" w:sz="0" w:space="0" w:color="auto"/>
        <w:left w:val="none" w:sz="0" w:space="0" w:color="auto"/>
        <w:bottom w:val="none" w:sz="0" w:space="0" w:color="auto"/>
        <w:right w:val="none" w:sz="0" w:space="0" w:color="auto"/>
      </w:divBdr>
    </w:div>
    <w:div w:id="256795418">
      <w:bodyDiv w:val="1"/>
      <w:marLeft w:val="0"/>
      <w:marRight w:val="0"/>
      <w:marTop w:val="0"/>
      <w:marBottom w:val="0"/>
      <w:divBdr>
        <w:top w:val="none" w:sz="0" w:space="0" w:color="auto"/>
        <w:left w:val="none" w:sz="0" w:space="0" w:color="auto"/>
        <w:bottom w:val="none" w:sz="0" w:space="0" w:color="auto"/>
        <w:right w:val="none" w:sz="0" w:space="0" w:color="auto"/>
      </w:divBdr>
      <w:divsChild>
        <w:div w:id="1482621854">
          <w:marLeft w:val="0"/>
          <w:marRight w:val="0"/>
          <w:marTop w:val="0"/>
          <w:marBottom w:val="0"/>
          <w:divBdr>
            <w:top w:val="single" w:sz="2" w:space="0" w:color="auto"/>
            <w:left w:val="single" w:sz="2" w:space="0" w:color="auto"/>
            <w:bottom w:val="single" w:sz="2" w:space="0" w:color="auto"/>
            <w:right w:val="single" w:sz="2" w:space="0" w:color="auto"/>
          </w:divBdr>
          <w:divsChild>
            <w:div w:id="2002809106">
              <w:marLeft w:val="0"/>
              <w:marRight w:val="0"/>
              <w:marTop w:val="0"/>
              <w:marBottom w:val="0"/>
              <w:divBdr>
                <w:top w:val="single" w:sz="2" w:space="0" w:color="auto"/>
                <w:left w:val="single" w:sz="2" w:space="0" w:color="auto"/>
                <w:bottom w:val="single" w:sz="2" w:space="0" w:color="auto"/>
                <w:right w:val="single" w:sz="2" w:space="0" w:color="auto"/>
              </w:divBdr>
              <w:divsChild>
                <w:div w:id="1977491952">
                  <w:marLeft w:val="0"/>
                  <w:marRight w:val="0"/>
                  <w:marTop w:val="0"/>
                  <w:marBottom w:val="0"/>
                  <w:divBdr>
                    <w:top w:val="single" w:sz="2" w:space="0" w:color="auto"/>
                    <w:left w:val="single" w:sz="2" w:space="0" w:color="auto"/>
                    <w:bottom w:val="single" w:sz="2" w:space="0" w:color="auto"/>
                    <w:right w:val="single" w:sz="2" w:space="0" w:color="auto"/>
                  </w:divBdr>
                  <w:divsChild>
                    <w:div w:id="695081996">
                      <w:marLeft w:val="0"/>
                      <w:marRight w:val="0"/>
                      <w:marTop w:val="0"/>
                      <w:marBottom w:val="0"/>
                      <w:divBdr>
                        <w:top w:val="single" w:sz="2" w:space="0" w:color="auto"/>
                        <w:left w:val="single" w:sz="2" w:space="0" w:color="auto"/>
                        <w:bottom w:val="single" w:sz="2" w:space="0" w:color="auto"/>
                        <w:right w:val="single" w:sz="2" w:space="0" w:color="auto"/>
                      </w:divBdr>
                      <w:divsChild>
                        <w:div w:id="1155800741">
                          <w:marLeft w:val="0"/>
                          <w:marRight w:val="0"/>
                          <w:marTop w:val="0"/>
                          <w:marBottom w:val="0"/>
                          <w:divBdr>
                            <w:top w:val="single" w:sz="2" w:space="0" w:color="auto"/>
                            <w:left w:val="single" w:sz="2" w:space="0" w:color="auto"/>
                            <w:bottom w:val="single" w:sz="2" w:space="0" w:color="auto"/>
                            <w:right w:val="single" w:sz="2" w:space="0" w:color="auto"/>
                          </w:divBdr>
                          <w:divsChild>
                            <w:div w:id="257062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016499">
                      <w:marLeft w:val="0"/>
                      <w:marRight w:val="0"/>
                      <w:marTop w:val="0"/>
                      <w:marBottom w:val="0"/>
                      <w:divBdr>
                        <w:top w:val="single" w:sz="2" w:space="0" w:color="auto"/>
                        <w:left w:val="single" w:sz="2" w:space="0" w:color="auto"/>
                        <w:bottom w:val="single" w:sz="2" w:space="0" w:color="auto"/>
                        <w:right w:val="single" w:sz="2" w:space="0" w:color="auto"/>
                      </w:divBdr>
                      <w:divsChild>
                        <w:div w:id="2080517554">
                          <w:marLeft w:val="0"/>
                          <w:marRight w:val="0"/>
                          <w:marTop w:val="0"/>
                          <w:marBottom w:val="0"/>
                          <w:divBdr>
                            <w:top w:val="single" w:sz="2" w:space="0" w:color="auto"/>
                            <w:left w:val="single" w:sz="2" w:space="0" w:color="auto"/>
                            <w:bottom w:val="single" w:sz="2" w:space="0" w:color="auto"/>
                            <w:right w:val="single" w:sz="2" w:space="0" w:color="auto"/>
                          </w:divBdr>
                          <w:divsChild>
                            <w:div w:id="1300309461">
                              <w:marLeft w:val="0"/>
                              <w:marRight w:val="0"/>
                              <w:marTop w:val="0"/>
                              <w:marBottom w:val="0"/>
                              <w:divBdr>
                                <w:top w:val="single" w:sz="2" w:space="0" w:color="auto"/>
                                <w:left w:val="single" w:sz="2" w:space="0" w:color="auto"/>
                                <w:bottom w:val="single" w:sz="2" w:space="0" w:color="auto"/>
                                <w:right w:val="single" w:sz="2" w:space="0" w:color="auto"/>
                              </w:divBdr>
                              <w:divsChild>
                                <w:div w:id="2068675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261603">
          <w:marLeft w:val="0"/>
          <w:marRight w:val="0"/>
          <w:marTop w:val="0"/>
          <w:marBottom w:val="0"/>
          <w:divBdr>
            <w:top w:val="single" w:sz="2" w:space="0" w:color="auto"/>
            <w:left w:val="single" w:sz="2" w:space="0" w:color="auto"/>
            <w:bottom w:val="single" w:sz="2" w:space="0" w:color="auto"/>
            <w:right w:val="single" w:sz="2" w:space="0" w:color="auto"/>
          </w:divBdr>
          <w:divsChild>
            <w:div w:id="180828003">
              <w:marLeft w:val="0"/>
              <w:marRight w:val="0"/>
              <w:marTop w:val="0"/>
              <w:marBottom w:val="0"/>
              <w:divBdr>
                <w:top w:val="single" w:sz="2" w:space="0" w:color="auto"/>
                <w:left w:val="single" w:sz="2" w:space="0" w:color="auto"/>
                <w:bottom w:val="single" w:sz="2" w:space="0" w:color="auto"/>
                <w:right w:val="single" w:sz="2" w:space="0" w:color="auto"/>
              </w:divBdr>
              <w:divsChild>
                <w:div w:id="1045711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7073465">
      <w:bodyDiv w:val="1"/>
      <w:marLeft w:val="0"/>
      <w:marRight w:val="0"/>
      <w:marTop w:val="0"/>
      <w:marBottom w:val="0"/>
      <w:divBdr>
        <w:top w:val="none" w:sz="0" w:space="0" w:color="auto"/>
        <w:left w:val="none" w:sz="0" w:space="0" w:color="auto"/>
        <w:bottom w:val="none" w:sz="0" w:space="0" w:color="auto"/>
        <w:right w:val="none" w:sz="0" w:space="0" w:color="auto"/>
      </w:divBdr>
    </w:div>
    <w:div w:id="411659186">
      <w:bodyDiv w:val="1"/>
      <w:marLeft w:val="0"/>
      <w:marRight w:val="0"/>
      <w:marTop w:val="0"/>
      <w:marBottom w:val="0"/>
      <w:divBdr>
        <w:top w:val="none" w:sz="0" w:space="0" w:color="auto"/>
        <w:left w:val="none" w:sz="0" w:space="0" w:color="auto"/>
        <w:bottom w:val="none" w:sz="0" w:space="0" w:color="auto"/>
        <w:right w:val="none" w:sz="0" w:space="0" w:color="auto"/>
      </w:divBdr>
    </w:div>
    <w:div w:id="1171263420">
      <w:bodyDiv w:val="1"/>
      <w:marLeft w:val="0"/>
      <w:marRight w:val="0"/>
      <w:marTop w:val="0"/>
      <w:marBottom w:val="0"/>
      <w:divBdr>
        <w:top w:val="none" w:sz="0" w:space="0" w:color="auto"/>
        <w:left w:val="none" w:sz="0" w:space="0" w:color="auto"/>
        <w:bottom w:val="none" w:sz="0" w:space="0" w:color="auto"/>
        <w:right w:val="none" w:sz="0" w:space="0" w:color="auto"/>
      </w:divBdr>
      <w:divsChild>
        <w:div w:id="1278949540">
          <w:marLeft w:val="0"/>
          <w:marRight w:val="0"/>
          <w:marTop w:val="0"/>
          <w:marBottom w:val="0"/>
          <w:divBdr>
            <w:top w:val="single" w:sz="2" w:space="0" w:color="auto"/>
            <w:left w:val="single" w:sz="2" w:space="0" w:color="auto"/>
            <w:bottom w:val="single" w:sz="2" w:space="0" w:color="auto"/>
            <w:right w:val="single" w:sz="2" w:space="0" w:color="auto"/>
          </w:divBdr>
          <w:divsChild>
            <w:div w:id="1753311151">
              <w:marLeft w:val="0"/>
              <w:marRight w:val="0"/>
              <w:marTop w:val="0"/>
              <w:marBottom w:val="0"/>
              <w:divBdr>
                <w:top w:val="single" w:sz="2" w:space="0" w:color="auto"/>
                <w:left w:val="single" w:sz="2" w:space="0" w:color="auto"/>
                <w:bottom w:val="single" w:sz="2" w:space="0" w:color="auto"/>
                <w:right w:val="single" w:sz="2" w:space="0" w:color="auto"/>
              </w:divBdr>
              <w:divsChild>
                <w:div w:id="459494825">
                  <w:marLeft w:val="0"/>
                  <w:marRight w:val="0"/>
                  <w:marTop w:val="0"/>
                  <w:marBottom w:val="0"/>
                  <w:divBdr>
                    <w:top w:val="single" w:sz="2" w:space="0" w:color="auto"/>
                    <w:left w:val="single" w:sz="2" w:space="0" w:color="auto"/>
                    <w:bottom w:val="single" w:sz="2" w:space="0" w:color="auto"/>
                    <w:right w:val="single" w:sz="2" w:space="0" w:color="auto"/>
                  </w:divBdr>
                  <w:divsChild>
                    <w:div w:id="803960555">
                      <w:marLeft w:val="0"/>
                      <w:marRight w:val="0"/>
                      <w:marTop w:val="0"/>
                      <w:marBottom w:val="0"/>
                      <w:divBdr>
                        <w:top w:val="single" w:sz="2" w:space="0" w:color="auto"/>
                        <w:left w:val="single" w:sz="2" w:space="0" w:color="auto"/>
                        <w:bottom w:val="single" w:sz="2" w:space="0" w:color="auto"/>
                        <w:right w:val="single" w:sz="2" w:space="0" w:color="auto"/>
                      </w:divBdr>
                      <w:divsChild>
                        <w:div w:id="796726531">
                          <w:marLeft w:val="0"/>
                          <w:marRight w:val="0"/>
                          <w:marTop w:val="0"/>
                          <w:marBottom w:val="0"/>
                          <w:divBdr>
                            <w:top w:val="single" w:sz="2" w:space="0" w:color="auto"/>
                            <w:left w:val="single" w:sz="2" w:space="0" w:color="auto"/>
                            <w:bottom w:val="single" w:sz="2" w:space="0" w:color="auto"/>
                            <w:right w:val="single" w:sz="2" w:space="0" w:color="auto"/>
                          </w:divBdr>
                          <w:divsChild>
                            <w:div w:id="493764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4576414">
                      <w:marLeft w:val="0"/>
                      <w:marRight w:val="0"/>
                      <w:marTop w:val="0"/>
                      <w:marBottom w:val="0"/>
                      <w:divBdr>
                        <w:top w:val="single" w:sz="2" w:space="0" w:color="auto"/>
                        <w:left w:val="single" w:sz="2" w:space="0" w:color="auto"/>
                        <w:bottom w:val="single" w:sz="2" w:space="0" w:color="auto"/>
                        <w:right w:val="single" w:sz="2" w:space="0" w:color="auto"/>
                      </w:divBdr>
                      <w:divsChild>
                        <w:div w:id="395473481">
                          <w:marLeft w:val="0"/>
                          <w:marRight w:val="0"/>
                          <w:marTop w:val="0"/>
                          <w:marBottom w:val="0"/>
                          <w:divBdr>
                            <w:top w:val="single" w:sz="2" w:space="0" w:color="auto"/>
                            <w:left w:val="single" w:sz="2" w:space="0" w:color="auto"/>
                            <w:bottom w:val="single" w:sz="2" w:space="0" w:color="auto"/>
                            <w:right w:val="single" w:sz="2" w:space="0" w:color="auto"/>
                          </w:divBdr>
                          <w:divsChild>
                            <w:div w:id="1117943733">
                              <w:marLeft w:val="0"/>
                              <w:marRight w:val="0"/>
                              <w:marTop w:val="0"/>
                              <w:marBottom w:val="0"/>
                              <w:divBdr>
                                <w:top w:val="single" w:sz="2" w:space="0" w:color="auto"/>
                                <w:left w:val="single" w:sz="2" w:space="0" w:color="auto"/>
                                <w:bottom w:val="single" w:sz="2" w:space="0" w:color="auto"/>
                                <w:right w:val="single" w:sz="2" w:space="0" w:color="auto"/>
                              </w:divBdr>
                              <w:divsChild>
                                <w:div w:id="797989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1056356">
          <w:marLeft w:val="0"/>
          <w:marRight w:val="0"/>
          <w:marTop w:val="0"/>
          <w:marBottom w:val="0"/>
          <w:divBdr>
            <w:top w:val="single" w:sz="2" w:space="0" w:color="auto"/>
            <w:left w:val="single" w:sz="2" w:space="0" w:color="auto"/>
            <w:bottom w:val="single" w:sz="2" w:space="0" w:color="auto"/>
            <w:right w:val="single" w:sz="2" w:space="0" w:color="auto"/>
          </w:divBdr>
          <w:divsChild>
            <w:div w:id="500436773">
              <w:marLeft w:val="0"/>
              <w:marRight w:val="0"/>
              <w:marTop w:val="0"/>
              <w:marBottom w:val="0"/>
              <w:divBdr>
                <w:top w:val="single" w:sz="2" w:space="0" w:color="auto"/>
                <w:left w:val="single" w:sz="2" w:space="0" w:color="auto"/>
                <w:bottom w:val="single" w:sz="2" w:space="0" w:color="auto"/>
                <w:right w:val="single" w:sz="2" w:space="0" w:color="auto"/>
              </w:divBdr>
              <w:divsChild>
                <w:div w:id="2132740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1644055">
      <w:bodyDiv w:val="1"/>
      <w:marLeft w:val="0"/>
      <w:marRight w:val="0"/>
      <w:marTop w:val="0"/>
      <w:marBottom w:val="0"/>
      <w:divBdr>
        <w:top w:val="none" w:sz="0" w:space="0" w:color="auto"/>
        <w:left w:val="none" w:sz="0" w:space="0" w:color="auto"/>
        <w:bottom w:val="none" w:sz="0" w:space="0" w:color="auto"/>
        <w:right w:val="none" w:sz="0" w:space="0" w:color="auto"/>
      </w:divBdr>
    </w:div>
    <w:div w:id="1499613583">
      <w:bodyDiv w:val="1"/>
      <w:marLeft w:val="0"/>
      <w:marRight w:val="0"/>
      <w:marTop w:val="0"/>
      <w:marBottom w:val="0"/>
      <w:divBdr>
        <w:top w:val="none" w:sz="0" w:space="0" w:color="auto"/>
        <w:left w:val="none" w:sz="0" w:space="0" w:color="auto"/>
        <w:bottom w:val="none" w:sz="0" w:space="0" w:color="auto"/>
        <w:right w:val="none" w:sz="0" w:space="0" w:color="auto"/>
      </w:divBdr>
    </w:div>
    <w:div w:id="1788960693">
      <w:bodyDiv w:val="1"/>
      <w:marLeft w:val="0"/>
      <w:marRight w:val="0"/>
      <w:marTop w:val="0"/>
      <w:marBottom w:val="0"/>
      <w:divBdr>
        <w:top w:val="none" w:sz="0" w:space="0" w:color="auto"/>
        <w:left w:val="none" w:sz="0" w:space="0" w:color="auto"/>
        <w:bottom w:val="none" w:sz="0" w:space="0" w:color="auto"/>
        <w:right w:val="none" w:sz="0" w:space="0" w:color="auto"/>
      </w:divBdr>
    </w:div>
    <w:div w:id="18381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Disha</dc:creator>
  <cp:keywords/>
  <dc:description/>
  <cp:lastModifiedBy>Kalra, Disha</cp:lastModifiedBy>
  <cp:revision>1</cp:revision>
  <dcterms:created xsi:type="dcterms:W3CDTF">2025-03-30T10:14:00Z</dcterms:created>
  <dcterms:modified xsi:type="dcterms:W3CDTF">2025-03-30T10:39:00Z</dcterms:modified>
</cp:coreProperties>
</file>