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Election Integrity, Redistricting &amp; Polling Oversight Report</w:t>
      </w:r>
    </w:p>
    <w:p w:rsidR="00000000" w:rsidDel="00000000" w:rsidP="00000000" w:rsidRDefault="00000000" w:rsidRPr="00000000" w14:paraId="00000002">
      <w:pPr>
        <w:rPr/>
      </w:pPr>
      <w:r w:rsidDel="00000000" w:rsidR="00000000" w:rsidRPr="00000000">
        <w:rPr>
          <w:rtl w:val="0"/>
        </w:rPr>
        <w:t xml:space="preserve">Liberty County, Texas — Comprehensive Review (2010–2025)</w:t>
      </w:r>
    </w:p>
    <w:p w:rsidR="00000000" w:rsidDel="00000000" w:rsidP="00000000" w:rsidRDefault="00000000" w:rsidRPr="00000000" w14:paraId="00000003">
      <w:pPr>
        <w:rPr/>
      </w:pPr>
      <w:r w:rsidDel="00000000" w:rsidR="00000000" w:rsidRPr="00000000">
        <w:rPr>
          <w:rtl w:val="0"/>
        </w:rPr>
        <w:t xml:space="preserve">Prepared: November 2025</w:t>
        <w:br w:type="textWrapping"/>
      </w:r>
    </w:p>
    <w:p w:rsidR="00000000" w:rsidDel="00000000" w:rsidP="00000000" w:rsidRDefault="00000000" w:rsidRPr="00000000" w14:paraId="00000004">
      <w:pPr>
        <w:pStyle w:val="Heading1"/>
        <w:rPr/>
      </w:pPr>
      <w:r w:rsidDel="00000000" w:rsidR="00000000" w:rsidRPr="00000000">
        <w:rPr>
          <w:rtl w:val="0"/>
        </w:rPr>
        <w:t xml:space="preserve">I. PURPOSE</w:t>
      </w:r>
    </w:p>
    <w:p w:rsidR="00000000" w:rsidDel="00000000" w:rsidP="00000000" w:rsidRDefault="00000000" w:rsidRPr="00000000" w14:paraId="00000005">
      <w:pPr>
        <w:rPr/>
      </w:pPr>
      <w:r w:rsidDel="00000000" w:rsidR="00000000" w:rsidRPr="00000000">
        <w:rPr>
          <w:rtl w:val="0"/>
        </w:rPr>
        <w:t xml:space="preserve">This report provides a full-scope analysis of Liberty County’s election-system procurement, precinct mapping, redistricting, and polling oversight between 2010 and 2025. It synthesizes judicial findings, administrative actions, vendor affiliations, and election outcomes to ensure transparency and accountability under Texas Election Code standards.</w:t>
      </w:r>
    </w:p>
    <w:p w:rsidR="00000000" w:rsidDel="00000000" w:rsidP="00000000" w:rsidRDefault="00000000" w:rsidRPr="00000000" w14:paraId="00000006">
      <w:pPr>
        <w:pStyle w:val="Heading1"/>
        <w:rPr/>
      </w:pPr>
      <w:r w:rsidDel="00000000" w:rsidR="00000000" w:rsidRPr="00000000">
        <w:rPr>
          <w:rtl w:val="0"/>
        </w:rPr>
        <w:t xml:space="preserve">II. TIMELINE OF VERIFIED EVENTS</w:t>
      </w:r>
    </w:p>
    <w:p w:rsidR="00000000" w:rsidDel="00000000" w:rsidP="00000000" w:rsidRDefault="00000000" w:rsidRPr="00000000" w14:paraId="00000007">
      <w:pPr>
        <w:rPr/>
      </w:pPr>
      <w:r w:rsidDel="00000000" w:rsidR="00000000" w:rsidRPr="00000000">
        <w:rPr>
          <w:rtl w:val="0"/>
        </w:rPr>
        <w:t xml:space="preserve">2011 – H.I.G. Capital acquires Hart InterCivic (vendor ownership change)</w:t>
        <w:br w:type="textWrapping"/>
        <w:t xml:space="preserve">2011–2012 – Texas statewide redistricting adopted</w:t>
        <w:br w:type="textWrapping"/>
        <w:t xml:space="preserve">2018–2020 – Liberty County upgrades to Hart Verity system &amp; KnowInk poll pads</w:t>
        <w:br w:type="textWrapping"/>
        <w:t xml:space="preserve">Mar 1 2022 – Wrong-precinct ballots (McNair v. Wilson Pct 4)</w:t>
        <w:br w:type="textWrapping"/>
        <w:t xml:space="preserve">Mar 11 2022 – DA confirms approx. 200 mis-assigned voters</w:t>
        <w:br w:type="textWrapping"/>
        <w:t xml:space="preserve">Mar 29 2023 – Elections Administrator indicted (Housing Authority case)</w:t>
        <w:br w:type="textWrapping"/>
        <w:t xml:space="preserve">Aug 22 2023 – Draft Plan A map adopted (31 precincts)</w:t>
        <w:br w:type="textWrapping"/>
        <w:t xml:space="preserve">Jul 30 2024 – Order of Polling Locations for Nov 5 2024 approved</w:t>
        <w:br w:type="textWrapping"/>
        <w:t xml:space="preserve">Nov 5 2024 – General election under new precinct plan</w:t>
        <w:br w:type="textWrapping"/>
        <w:t xml:space="preserve">2025 – Liberty County reassigned to U.S. House District 9</w:t>
      </w:r>
    </w:p>
    <w:p w:rsidR="00000000" w:rsidDel="00000000" w:rsidP="00000000" w:rsidRDefault="00000000" w:rsidRPr="00000000" w14:paraId="00000008">
      <w:pPr>
        <w:pStyle w:val="Heading1"/>
        <w:rPr/>
      </w:pPr>
      <w:r w:rsidDel="00000000" w:rsidR="00000000" w:rsidRPr="00000000">
        <w:rPr>
          <w:rtl w:val="0"/>
        </w:rPr>
        <w:t xml:space="preserve">III. POLLING-LOCATION ORDER 2024</w:t>
      </w:r>
    </w:p>
    <w:p w:rsidR="00000000" w:rsidDel="00000000" w:rsidP="00000000" w:rsidRDefault="00000000" w:rsidRPr="00000000" w14:paraId="00000009">
      <w:pPr>
        <w:rPr/>
      </w:pPr>
      <w:r w:rsidDel="00000000" w:rsidR="00000000" w:rsidRPr="00000000">
        <w:rPr>
          <w:rtl w:val="0"/>
        </w:rPr>
        <w:t xml:space="preserve">The Commissioners Court’s order (July 30, 2024) lists 31 polling sites consistent with the Draft Plan A map. Four early-voting sites—Jack Hartel Admin Building, Hardin City Hall, Santa Fe Admin Building (Cleveland), and Dayton Community Center—serve all voters under the vote-center model.</w:t>
      </w:r>
    </w:p>
    <w:p w:rsidR="00000000" w:rsidDel="00000000" w:rsidP="00000000" w:rsidRDefault="00000000" w:rsidRPr="00000000" w14:paraId="0000000A">
      <w:pPr>
        <w:pStyle w:val="Heading1"/>
        <w:rPr/>
      </w:pPr>
      <w:r w:rsidDel="00000000" w:rsidR="00000000" w:rsidRPr="00000000">
        <w:rPr>
          <w:rtl w:val="0"/>
        </w:rPr>
        <w:t xml:space="preserve">IV. PRECINCT ALIGNMENT VERIFICATION – 2024 IMPLEMENTATION</w:t>
      </w:r>
    </w:p>
    <w:p w:rsidR="00000000" w:rsidDel="00000000" w:rsidP="00000000" w:rsidRDefault="00000000" w:rsidRPr="00000000" w14:paraId="0000000B">
      <w:pPr>
        <w:rPr/>
      </w:pPr>
      <w:r w:rsidDel="00000000" w:rsidR="00000000" w:rsidRPr="00000000">
        <w:rPr>
          <w:rtl w:val="0"/>
        </w:rPr>
        <w:t xml:space="preserve">Cross-checks confirm precinct boundaries and polling locations are now properly aligned. The 2024 plan resolved the Precinct 7 and 20 mapping errors documented in McNair v. Wilson. Remaining procedural task: public posting of the logic-and-accuracy certification.</w:t>
      </w:r>
    </w:p>
    <w:p w:rsidR="00000000" w:rsidDel="00000000" w:rsidP="00000000" w:rsidRDefault="00000000" w:rsidRPr="00000000" w14:paraId="0000000C">
      <w:pPr>
        <w:pStyle w:val="Heading1"/>
        <w:rPr/>
      </w:pPr>
      <w:r w:rsidDel="00000000" w:rsidR="00000000" w:rsidRPr="00000000">
        <w:rPr>
          <w:rtl w:val="0"/>
        </w:rPr>
        <w:t xml:space="preserve">V. MAPPING FAILURE – MCNAIR v. WILSON (2022)</w:t>
      </w:r>
    </w:p>
    <w:p w:rsidR="00000000" w:rsidDel="00000000" w:rsidP="00000000" w:rsidRDefault="00000000" w:rsidRPr="00000000" w14:paraId="0000000D">
      <w:pPr>
        <w:rPr/>
      </w:pPr>
      <w:r w:rsidDel="00000000" w:rsidR="00000000" w:rsidRPr="00000000">
        <w:rPr>
          <w:rtl w:val="0"/>
        </w:rPr>
        <w:t xml:space="preserve">DA Jennifer L. Bergman testified she received a ballot for the wrong commissioner race, revealing county-wide mapping errors. Judge Mayes voided the race and ordered a new election. Bergman acted neutrally and had no personal or family stake.</w:t>
      </w:r>
    </w:p>
    <w:p w:rsidR="00000000" w:rsidDel="00000000" w:rsidP="00000000" w:rsidRDefault="00000000" w:rsidRPr="00000000" w14:paraId="0000000E">
      <w:pPr>
        <w:pStyle w:val="Heading1"/>
        <w:rPr/>
      </w:pPr>
      <w:r w:rsidDel="00000000" w:rsidR="00000000" w:rsidRPr="00000000">
        <w:rPr>
          <w:rtl w:val="0"/>
        </w:rPr>
        <w:t xml:space="preserve">VI. VOTE-TOTAL RECONCILIATION – GARDINER &amp; HUNTER RACES (2022)</w:t>
      </w:r>
    </w:p>
    <w:p w:rsidR="00000000" w:rsidDel="00000000" w:rsidP="00000000" w:rsidRDefault="00000000" w:rsidRPr="00000000" w14:paraId="0000000F">
      <w:pPr>
        <w:rPr/>
      </w:pPr>
      <w:r w:rsidDel="00000000" w:rsidR="00000000" w:rsidRPr="00000000">
        <w:rPr>
          <w:rtl w:val="0"/>
        </w:rPr>
        <w:t xml:space="preserve">Constable Precinct 5 race reconciles within acceptable variance:</w:t>
        <w:br w:type="textWrapping"/>
        <w:t xml:space="preserve">• David Hunter: 3,745 (county) vs 3,747 (SOS)</w:t>
        <w:br w:type="textWrapping"/>
        <w:t xml:space="preserve">• James Gardiner: 1,000 (county) vs 999 (SOS)</w:t>
        <w:br w:type="textWrapping"/>
        <w:t xml:space="preserve">Variance &lt;0.1%; certified and consistent.</w:t>
      </w:r>
    </w:p>
    <w:p w:rsidR="00000000" w:rsidDel="00000000" w:rsidP="00000000" w:rsidRDefault="00000000" w:rsidRPr="00000000" w14:paraId="00000010">
      <w:pPr>
        <w:pStyle w:val="Heading1"/>
        <w:rPr/>
      </w:pPr>
      <w:r w:rsidDel="00000000" w:rsidR="00000000" w:rsidRPr="00000000">
        <w:rPr>
          <w:rtl w:val="0"/>
        </w:rPr>
        <w:t xml:space="preserve">VII. DAYTON ISD / COLONY RIDGE MAPPING ANOMALY (2024)</w:t>
      </w:r>
    </w:p>
    <w:p w:rsidR="00000000" w:rsidDel="00000000" w:rsidP="00000000" w:rsidRDefault="00000000" w:rsidRPr="00000000" w14:paraId="00000011">
      <w:pPr>
        <w:rPr/>
      </w:pPr>
      <w:r w:rsidDel="00000000" w:rsidR="00000000" w:rsidRPr="00000000">
        <w:rPr>
          <w:rtl w:val="0"/>
        </w:rPr>
        <w:t xml:space="preserve">Preliminary findings indicate a possible cross-assignment of Dayton ISD and Colony Ridge voters to incorrect ballot styles. Discrepancies appear between vote-center check-ins and precinct totals. Full audit pending release of pollbook and ballot-style data.</w:t>
      </w:r>
    </w:p>
    <w:p w:rsidR="00000000" w:rsidDel="00000000" w:rsidP="00000000" w:rsidRDefault="00000000" w:rsidRPr="00000000" w14:paraId="00000012">
      <w:pPr>
        <w:pStyle w:val="Heading1"/>
        <w:rPr/>
      </w:pPr>
      <w:r w:rsidDel="00000000" w:rsidR="00000000" w:rsidRPr="00000000">
        <w:rPr>
          <w:rtl w:val="0"/>
        </w:rPr>
        <w:t xml:space="preserve">VIII. TISD VS. CONSTABLE PRECINCT 5 CLARIFICATION</w:t>
      </w:r>
    </w:p>
    <w:p w:rsidR="00000000" w:rsidDel="00000000" w:rsidP="00000000" w:rsidRDefault="00000000" w:rsidRPr="00000000" w14:paraId="00000013">
      <w:pPr>
        <w:rPr/>
      </w:pPr>
      <w:r w:rsidDel="00000000" w:rsidR="00000000" w:rsidRPr="00000000">
        <w:rPr>
          <w:rtl w:val="0"/>
        </w:rPr>
        <w:t xml:space="preserve">Tarkington ISD and Constable Precinct 5 are distinct jurisdictions. The 2024 mapping update separated ISD and constable precincts, but Dayton ISD overlaps with Colony Ridge expansion areas requiring further audit.</w:t>
      </w:r>
    </w:p>
    <w:p w:rsidR="00000000" w:rsidDel="00000000" w:rsidP="00000000" w:rsidRDefault="00000000" w:rsidRPr="00000000" w14:paraId="00000014">
      <w:pPr>
        <w:pStyle w:val="Heading1"/>
        <w:rPr/>
      </w:pPr>
      <w:r w:rsidDel="00000000" w:rsidR="00000000" w:rsidRPr="00000000">
        <w:rPr>
          <w:rtl w:val="0"/>
        </w:rPr>
        <w:t xml:space="preserve">IX. OVERSIGHT AND TRANSPARENCY</w:t>
      </w:r>
    </w:p>
    <w:p w:rsidR="00000000" w:rsidDel="00000000" w:rsidP="00000000" w:rsidRDefault="00000000" w:rsidRPr="00000000" w14:paraId="00000015">
      <w:pPr>
        <w:rPr/>
      </w:pPr>
      <w:r w:rsidDel="00000000" w:rsidR="00000000" w:rsidRPr="00000000">
        <w:rPr>
          <w:rtl w:val="0"/>
        </w:rPr>
        <w:t xml:space="preserve">Judicial, administrative, and chamber oversight improved but remains incomplete. The Commissioners Court has not held a public review session addressing prior mapping errors.</w:t>
      </w:r>
    </w:p>
    <w:p w:rsidR="00000000" w:rsidDel="00000000" w:rsidP="00000000" w:rsidRDefault="00000000" w:rsidRPr="00000000" w14:paraId="00000016">
      <w:pPr>
        <w:pStyle w:val="Heading1"/>
        <w:rPr/>
      </w:pPr>
      <w:r w:rsidDel="00000000" w:rsidR="00000000" w:rsidRPr="00000000">
        <w:rPr>
          <w:rtl w:val="0"/>
        </w:rPr>
        <w:t xml:space="preserve">X. FINDINGS &amp; RECOMMENDATIONS</w:t>
      </w:r>
    </w:p>
    <w:p w:rsidR="00000000" w:rsidDel="00000000" w:rsidP="00000000" w:rsidRDefault="00000000" w:rsidRPr="00000000" w14:paraId="00000017">
      <w:pPr>
        <w:rPr/>
      </w:pPr>
      <w:r w:rsidDel="00000000" w:rsidR="00000000" w:rsidRPr="00000000">
        <w:rPr>
          <w:rtl w:val="0"/>
        </w:rPr>
        <w:t xml:space="preserve">1. Hold public hearings following redistricting or equipment upgrades.</w:t>
        <w:br w:type="textWrapping"/>
        <w:t xml:space="preserve">2. Publish all election-procurement and mapping records.</w:t>
        <w:br w:type="textWrapping"/>
        <w:t xml:space="preserve">3. Conduct independent GIS and L&amp;A audits each election.</w:t>
        <w:br w:type="textWrapping"/>
        <w:t xml:space="preserve">4. Release check-in totals alongside canvass data.</w:t>
        <w:br w:type="textWrapping"/>
        <w:t xml:space="preserve">5. Produce an annual transparency report.</w:t>
      </w:r>
    </w:p>
    <w:p w:rsidR="00000000" w:rsidDel="00000000" w:rsidP="00000000" w:rsidRDefault="00000000" w:rsidRPr="00000000" w14:paraId="00000018">
      <w:pPr>
        <w:pStyle w:val="Heading1"/>
        <w:rPr/>
      </w:pPr>
      <w:r w:rsidDel="00000000" w:rsidR="00000000" w:rsidRPr="00000000">
        <w:rPr>
          <w:rtl w:val="0"/>
        </w:rPr>
        <w:t xml:space="preserve">XI. APPENDICES</w:t>
      </w:r>
    </w:p>
    <w:p w:rsidR="00000000" w:rsidDel="00000000" w:rsidP="00000000" w:rsidRDefault="00000000" w:rsidRPr="00000000" w14:paraId="00000019">
      <w:pPr>
        <w:rPr/>
      </w:pPr>
      <w:r w:rsidDel="00000000" w:rsidR="00000000" w:rsidRPr="00000000">
        <w:rPr>
          <w:rtl w:val="0"/>
        </w:rPr>
        <w:t xml:space="preserve">A. July 30 2024 Polling Order</w:t>
        <w:br w:type="textWrapping"/>
        <w:t xml:space="preserve">B. 2023 Draft Plan A Map</w:t>
        <w:br w:type="textWrapping"/>
        <w:t xml:space="preserve">C. McNair v. Wilson Transcript Excerpts</w:t>
        <w:br w:type="textWrapping"/>
        <w:t xml:space="preserve">D. Dayton ISD / Colony Ridge Reconciliation Data</w:t>
        <w:br w:type="textWrapping"/>
        <w:t xml:space="preserve">E. SOS &amp; Derian Sones Correspondence (Pending)</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