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02B49"/>
            <w:tcMar>
              <w:top w:w="280" w:type="dxa"/>
              <w:bottom w:w="280" w:type="dxa"/>
              <w:left w:w="240" w:type="dxa"/>
              <w:right w:w="240" w:type="dxa"/>
            </w:tcMar>
          </w:tcPr>
          <w:p>
            <w:pPr>
              <w:jc w:val="left"/>
            </w:pPr>
            <w:r>
              <w:rPr>
                <w:rFonts w:ascii="Calibri" w:hAnsi="Calibri"/>
                <w:b/>
                <w:color w:val="E2E8F0"/>
                <w:sz w:val="19"/>
              </w:rPr>
              <w:t>RESTRICTED INVESTIGATIVE DOSSIER</w:t>
              <w:br/>
            </w:r>
            <w:r>
              <w:rPr>
                <w:rFonts w:ascii="Calibri" w:hAnsi="Calibri"/>
                <w:b/>
                <w:color w:val="FFFFFF"/>
                <w:sz w:val="48"/>
              </w:rPr>
              <w:t>LT. CEDRIC MCDUFFIE</w:t>
            </w:r>
          </w:p>
          <w:p>
            <w:pPr>
              <w:spacing w:before="120"/>
            </w:pPr>
            <w:r>
              <w:rPr>
                <w:rFonts w:ascii="Calibri" w:hAnsi="Calibri"/>
                <w:i/>
                <w:color w:val="90CDF4"/>
                <w:sz w:val="22"/>
              </w:rPr>
              <w:t>Multi-Jurisdictional Public Records, TCOLE Audit, Family Lineage &amp; Flock ALPR Surveillance Analysis</w:t>
            </w:r>
          </w:p>
        </w:tc>
      </w:tr>
    </w:tbl>
    <w:p>
      <w:pPr>
        <w:spacing w:after="240"/>
      </w:pPr>
    </w:p>
    <w:tbl>
      <w:tblPr>
        <w:tblW w:type="auto" w:w="0"/>
        <w:jc w:val="center"/>
        <w:tblLook w:firstColumn="1" w:firstRow="1" w:lastColumn="0" w:lastRow="0" w:noHBand="0" w:noVBand="1" w:val="04A0"/>
        <w:tblBorders>
          <w:top w:val="single" w:sz="4" w:space="0" w:color="E2E8F0"/>
          <w:left w:val="none"/>
          <w:bottom w:val="single" w:sz="8" w:space="0" w:color="002B49"/>
          <w:right w:val="none"/>
          <w:insideH w:val="single" w:sz="4" w:space="0" w:color="E2E8F0"/>
          <w:insideV w:val="none"/>
        </w:tblBorders>
      </w:tblPr>
      <w:tblGrid>
        <w:gridCol w:w="4680"/>
        <w:gridCol w:w="4680"/>
      </w:tblGrid>
      <w:tr>
        <w:tc>
          <w:tcPr>
            <w:tcW w:type="dxa" w:w="2880"/>
            <w:tcMar>
              <w:top w:w="100" w:type="dxa"/>
              <w:bottom w:w="100" w:type="dxa"/>
              <w:left w:w="140" w:type="dxa"/>
              <w:right w:w="140" w:type="dxa"/>
            </w:tcMar>
            <w:shd w:fill="EDF2F7"/>
          </w:tcPr>
          <w:p>
            <w:r>
              <w:rPr>
                <w:b/>
                <w:color w:val="1A202C"/>
                <w:sz w:val="19"/>
              </w:rPr>
              <w:t>Subject Name:</w:t>
            </w:r>
          </w:p>
        </w:tc>
        <w:tc>
          <w:tcPr>
            <w:tcW w:type="dxa" w:w="6480"/>
            <w:tcMar>
              <w:top w:w="100" w:type="dxa"/>
              <w:bottom w:w="100" w:type="dxa"/>
              <w:left w:w="140" w:type="dxa"/>
              <w:right w:w="140" w:type="dxa"/>
            </w:tcMar>
            <w:shd w:fill="FAFAFA"/>
          </w:tcPr>
          <w:p>
            <w:r>
              <w:rPr>
                <w:color w:val="2D3748"/>
                <w:sz w:val="19"/>
              </w:rPr>
              <w:t>Cedric McDuffie (Lieutenant, Patrol Supervisor)</w:t>
            </w:r>
          </w:p>
        </w:tc>
      </w:tr>
      <w:tr>
        <w:tc>
          <w:tcPr>
            <w:tcW w:type="dxa" w:w="2880"/>
            <w:tcMar>
              <w:top w:w="100" w:type="dxa"/>
              <w:bottom w:w="100" w:type="dxa"/>
              <w:left w:w="140" w:type="dxa"/>
              <w:right w:w="140" w:type="dxa"/>
            </w:tcMar>
            <w:shd w:fill="EDF2F7"/>
          </w:tcPr>
          <w:p>
            <w:r>
              <w:rPr>
                <w:b/>
                <w:color w:val="1A202C"/>
                <w:sz w:val="19"/>
              </w:rPr>
              <w:t>Active Agency:</w:t>
            </w:r>
          </w:p>
        </w:tc>
        <w:tc>
          <w:tcPr>
            <w:tcW w:type="dxa" w:w="6480"/>
            <w:tcMar>
              <w:top w:w="100" w:type="dxa"/>
              <w:bottom w:w="100" w:type="dxa"/>
              <w:left w:w="140" w:type="dxa"/>
              <w:right w:w="140" w:type="dxa"/>
            </w:tcMar>
            <w:shd w:fill="FAFAFA"/>
          </w:tcPr>
          <w:p>
            <w:r>
              <w:rPr>
                <w:color w:val="2D3748"/>
                <w:sz w:val="19"/>
              </w:rPr>
              <w:t>City of Liberty Police Department (Liberty County, TX)</w:t>
            </w:r>
          </w:p>
        </w:tc>
      </w:tr>
      <w:tr>
        <w:tc>
          <w:tcPr>
            <w:tcW w:type="dxa" w:w="2880"/>
            <w:tcMar>
              <w:top w:w="100" w:type="dxa"/>
              <w:bottom w:w="100" w:type="dxa"/>
              <w:left w:w="140" w:type="dxa"/>
              <w:right w:w="140" w:type="dxa"/>
            </w:tcMar>
            <w:shd w:fill="EDF2F7"/>
          </w:tcPr>
          <w:p>
            <w:r>
              <w:rPr>
                <w:b/>
                <w:color w:val="1A202C"/>
                <w:sz w:val="19"/>
              </w:rPr>
              <w:t>TCOLE Status:</w:t>
            </w:r>
          </w:p>
        </w:tc>
        <w:tc>
          <w:tcPr>
            <w:tcW w:type="dxa" w:w="6480"/>
            <w:tcMar>
              <w:top w:w="100" w:type="dxa"/>
              <w:bottom w:w="100" w:type="dxa"/>
              <w:left w:w="140" w:type="dxa"/>
              <w:right w:w="140" w:type="dxa"/>
            </w:tcMar>
            <w:shd w:fill="FAFAFA"/>
          </w:tcPr>
          <w:p>
            <w:r>
              <w:rPr>
                <w:color w:val="2D3748"/>
                <w:sz w:val="19"/>
              </w:rPr>
              <w:t>Master Peace Officer | Certified Firearms / Defensive Tactics Instructor</w:t>
            </w:r>
          </w:p>
        </w:tc>
      </w:tr>
      <w:tr>
        <w:tc>
          <w:tcPr>
            <w:tcW w:type="dxa" w:w="2880"/>
            <w:tcMar>
              <w:top w:w="100" w:type="dxa"/>
              <w:bottom w:w="100" w:type="dxa"/>
              <w:left w:w="140" w:type="dxa"/>
              <w:right w:w="140" w:type="dxa"/>
            </w:tcMar>
            <w:shd w:fill="EDF2F7"/>
          </w:tcPr>
          <w:p>
            <w:r>
              <w:rPr>
                <w:b/>
                <w:color w:val="1A202C"/>
                <w:sz w:val="19"/>
              </w:rPr>
              <w:t>Scope of Audit:</w:t>
            </w:r>
          </w:p>
        </w:tc>
        <w:tc>
          <w:tcPr>
            <w:tcW w:type="dxa" w:w="6480"/>
            <w:tcMar>
              <w:top w:w="100" w:type="dxa"/>
              <w:bottom w:w="100" w:type="dxa"/>
              <w:left w:w="140" w:type="dxa"/>
              <w:right w:w="140" w:type="dxa"/>
            </w:tcMar>
            <w:shd w:fill="FAFAFA"/>
          </w:tcPr>
          <w:p>
            <w:r>
              <w:rPr>
                <w:color w:val="2D3748"/>
                <w:sz w:val="19"/>
              </w:rPr>
              <w:t>Liberty County, Montgomery County (Shenandoah), Walker County (Huntsville), TCOLE, Flock LPR</w:t>
            </w:r>
          </w:p>
        </w:tc>
      </w:tr>
      <w:tr>
        <w:tc>
          <w:tcPr>
            <w:tcW w:type="dxa" w:w="2880"/>
            <w:tcMar>
              <w:top w:w="100" w:type="dxa"/>
              <w:bottom w:w="100" w:type="dxa"/>
              <w:left w:w="140" w:type="dxa"/>
              <w:right w:w="140" w:type="dxa"/>
            </w:tcMar>
            <w:shd w:fill="EDF2F7"/>
          </w:tcPr>
          <w:p>
            <w:r>
              <w:rPr>
                <w:b/>
                <w:color w:val="1A202C"/>
                <w:sz w:val="19"/>
              </w:rPr>
              <w:t>Date of Audit:</w:t>
            </w:r>
          </w:p>
        </w:tc>
        <w:tc>
          <w:tcPr>
            <w:tcW w:type="dxa" w:w="6480"/>
            <w:tcMar>
              <w:top w:w="100" w:type="dxa"/>
              <w:bottom w:w="100" w:type="dxa"/>
              <w:left w:w="140" w:type="dxa"/>
              <w:right w:w="140" w:type="dxa"/>
            </w:tcMar>
            <w:shd w:fill="FAFAFA"/>
          </w:tcPr>
          <w:p>
            <w:r>
              <w:rPr>
                <w:color w:val="2D3748"/>
                <w:sz w:val="19"/>
              </w:rPr>
              <w:t>July 19, 2026 | Lead Analyst: Kelly Dishman</w:t>
            </w:r>
          </w:p>
        </w:tc>
      </w:tr>
    </w:tbl>
    <w:p>
      <w:pPr>
        <w:spacing w:after="320"/>
      </w:pPr>
    </w:p>
    <w:p>
      <w:pPr>
        <w:pStyle w:val="Heading1"/>
      </w:pPr>
      <w:r>
        <w:rPr>
          <w:rFonts w:ascii="Calibri" w:hAnsi="Calibri"/>
          <w:b/>
          <w:color w:val="002B49"/>
        </w:rPr>
        <w:t>1. Executive Summary</w:t>
      </w:r>
    </w:p>
    <w:p>
      <w:pPr>
        <w:spacing w:line="276" w:lineRule="auto" w:after="160"/>
      </w:pPr>
      <w:r>
        <w:t xml:space="preserve">This investigative dossier compiles OSINT, municipal council minutes, court transcripts, TCOLE certification records, and genealogical data regarding </w:t>
      </w:r>
      <w:r>
        <w:rPr>
          <w:b/>
        </w:rPr>
        <w:t>Lieutenant Cedric McDuffie</w:t>
      </w:r>
      <w:r>
        <w:t>. The audit maps his operational career from early deputy service in Liberty County to a nine-year tenure in Shenandoah (Montgomery County) as Patrol Sergeant, leading to his current command appointment as Patrol Lieutenant for the City of Liberty Police Department.</w:t>
      </w:r>
    </w:p>
    <w:p>
      <w:pPr>
        <w:spacing w:line="276" w:lineRule="auto" w:after="240"/>
      </w:pPr>
      <w:r>
        <w:t>Furthermore, this dossier integrates evidentiary findings from the Google Drive Maria investigative repository (</w:t>
      </w:r>
      <w:r>
        <w:rPr>
          <w:b/>
        </w:rPr>
        <w:t>C:\Users\kelly\My Drive\Maria</w:t>
      </w:r>
      <w:r>
        <w:t>), tracing McDuffie's family lineage in Walker County (Huntsville), evaluating supervisory involvement in officer-involved crash handoffs (such as the November 20, 2025 DPS-referred pedestrian collision), and auditing technical capabilities for real-time target flagging across regional Flock Safety Automated License Plate Reader (ALPR) networks.</w:t>
      </w:r>
    </w:p>
    <w:p>
      <w:pPr>
        <w:pStyle w:val="Heading1"/>
      </w:pPr>
      <w:r>
        <w:rPr>
          <w:rFonts w:ascii="Calibri" w:hAnsi="Calibri"/>
          <w:b/>
          <w:color w:val="002B49"/>
        </w:rPr>
        <w:t>2. Professional Profile &amp; TCOLE Credentials</w:t>
      </w:r>
    </w:p>
    <w:tbl>
      <w:tblPr>
        <w:tblW w:type="auto" w:w="0"/>
        <w:jc w:val="center"/>
        <w:tblLook w:firstColumn="1" w:firstRow="1" w:lastColumn="0" w:lastRow="0" w:noHBand="0" w:noVBand="1" w:val="04A0"/>
        <w:tblBorders>
          <w:top w:val="single" w:sz="4" w:space="0" w:color="CBD5E1"/>
          <w:left w:val="none"/>
          <w:bottom w:val="single" w:sz="8" w:space="0" w:color="002B49"/>
          <w:right w:val="none"/>
          <w:insideH w:val="single" w:sz="4" w:space="0" w:color="CBD5E1"/>
          <w:insideV w:val="none"/>
        </w:tblBorders>
      </w:tblPr>
      <w:tblGrid>
        <w:gridCol w:w="4680"/>
        <w:gridCol w:w="4680"/>
      </w:tblGrid>
      <w:tr>
        <w:tc>
          <w:tcPr>
            <w:tcW w:type="dxa" w:w="3168"/>
            <w:shd w:fill="002B49"/>
            <w:tcMar>
              <w:top w:w="120" w:type="dxa"/>
              <w:bottom w:w="120" w:type="dxa"/>
              <w:left w:w="140" w:type="dxa"/>
              <w:right w:w="140" w:type="dxa"/>
            </w:tcMar>
          </w:tcPr>
          <w:p>
            <w:r>
              <w:rPr>
                <w:b/>
                <w:color w:val="FFFFFF"/>
                <w:sz w:val="20"/>
              </w:rPr>
              <w:t>Credential / Category</w:t>
            </w:r>
          </w:p>
        </w:tc>
        <w:tc>
          <w:tcPr>
            <w:tcW w:type="dxa" w:w="6192"/>
            <w:shd w:fill="002B49"/>
            <w:tcMar>
              <w:top w:w="120" w:type="dxa"/>
              <w:bottom w:w="120" w:type="dxa"/>
              <w:left w:w="140" w:type="dxa"/>
              <w:right w:w="140" w:type="dxa"/>
            </w:tcMar>
          </w:tcPr>
          <w:p>
            <w:r>
              <w:rPr>
                <w:b/>
                <w:color w:val="FFFFFF"/>
                <w:sz w:val="20"/>
              </w:rPr>
              <w:t>Official Record / Detail</w:t>
            </w:r>
          </w:p>
        </w:tc>
      </w:tr>
      <w:tr>
        <w:tc>
          <w:tcPr>
            <w:tcW w:type="dxa" w:w="3168"/>
            <w:tcMar>
              <w:top w:w="100" w:type="dxa"/>
              <w:bottom w:w="100" w:type="dxa"/>
              <w:left w:w="140" w:type="dxa"/>
              <w:right w:w="140" w:type="dxa"/>
            </w:tcMar>
            <w:shd w:fill="F8FAFC"/>
          </w:tcPr>
          <w:p>
            <w:r>
              <w:rPr>
                <w:b/>
                <w:sz w:val="19"/>
              </w:rPr>
              <w:t>Current Rank &amp; Agency</w:t>
            </w:r>
          </w:p>
        </w:tc>
        <w:tc>
          <w:tcPr>
            <w:tcW w:type="dxa" w:w="6192"/>
            <w:tcMar>
              <w:top w:w="100" w:type="dxa"/>
              <w:bottom w:w="100" w:type="dxa"/>
              <w:left w:w="140" w:type="dxa"/>
              <w:right w:w="140" w:type="dxa"/>
            </w:tcMar>
            <w:shd w:fill="F8FAFC"/>
          </w:tcPr>
          <w:p>
            <w:r>
              <w:rPr>
                <w:sz w:val="19"/>
              </w:rPr>
              <w:t>Lieutenant (Patrol Division Supervisor), City of Liberty Police Department</w:t>
            </w:r>
          </w:p>
        </w:tc>
      </w:tr>
      <w:tr>
        <w:tc>
          <w:tcPr>
            <w:tcW w:type="dxa" w:w="3168"/>
            <w:tcMar>
              <w:top w:w="100" w:type="dxa"/>
              <w:bottom w:w="100" w:type="dxa"/>
              <w:left w:w="140" w:type="dxa"/>
              <w:right w:w="140" w:type="dxa"/>
            </w:tcMar>
            <w:shd w:fill="FFFFFF"/>
          </w:tcPr>
          <w:p>
            <w:r>
              <w:rPr>
                <w:b/>
                <w:sz w:val="19"/>
              </w:rPr>
              <w:t>TCOLE License Rank</w:t>
            </w:r>
          </w:p>
        </w:tc>
        <w:tc>
          <w:tcPr>
            <w:tcW w:type="dxa" w:w="6192"/>
            <w:tcMar>
              <w:top w:w="100" w:type="dxa"/>
              <w:bottom w:w="100" w:type="dxa"/>
              <w:left w:w="140" w:type="dxa"/>
              <w:right w:w="140" w:type="dxa"/>
            </w:tcMar>
            <w:shd w:fill="FFFFFF"/>
          </w:tcPr>
          <w:p>
            <w:r>
              <w:rPr>
                <w:sz w:val="19"/>
              </w:rPr>
              <w:t>Active — Master Peace Officer Certification</w:t>
            </w:r>
          </w:p>
        </w:tc>
      </w:tr>
      <w:tr>
        <w:tc>
          <w:tcPr>
            <w:tcW w:type="dxa" w:w="3168"/>
            <w:tcMar>
              <w:top w:w="100" w:type="dxa"/>
              <w:bottom w:w="100" w:type="dxa"/>
              <w:left w:w="140" w:type="dxa"/>
              <w:right w:w="140" w:type="dxa"/>
            </w:tcMar>
            <w:shd w:fill="F8FAFC"/>
          </w:tcPr>
          <w:p>
            <w:r>
              <w:rPr>
                <w:b/>
                <w:sz w:val="19"/>
              </w:rPr>
              <w:t>TCOLE Instructional Ratings</w:t>
            </w:r>
          </w:p>
        </w:tc>
        <w:tc>
          <w:tcPr>
            <w:tcW w:type="dxa" w:w="6192"/>
            <w:tcMar>
              <w:top w:w="100" w:type="dxa"/>
              <w:bottom w:w="100" w:type="dxa"/>
              <w:left w:w="140" w:type="dxa"/>
              <w:right w:w="140" w:type="dxa"/>
            </w:tcMar>
            <w:shd w:fill="F8FAFC"/>
          </w:tcPr>
          <w:p>
            <w:r>
              <w:rPr>
                <w:sz w:val="19"/>
              </w:rPr>
              <w:t>Certified TCOLE Instructor (Firearms, Less-Lethal Platforms, Defensive Tactics)</w:t>
            </w:r>
          </w:p>
        </w:tc>
      </w:tr>
      <w:tr>
        <w:tc>
          <w:tcPr>
            <w:tcW w:type="dxa" w:w="3168"/>
            <w:tcMar>
              <w:top w:w="100" w:type="dxa"/>
              <w:bottom w:w="100" w:type="dxa"/>
              <w:left w:w="140" w:type="dxa"/>
              <w:right w:w="140" w:type="dxa"/>
            </w:tcMar>
            <w:shd w:fill="FFFFFF"/>
          </w:tcPr>
          <w:p>
            <w:r>
              <w:rPr>
                <w:b/>
                <w:sz w:val="19"/>
              </w:rPr>
              <w:t>State DPS Credential</w:t>
            </w:r>
          </w:p>
        </w:tc>
        <w:tc>
          <w:tcPr>
            <w:tcW w:type="dxa" w:w="6192"/>
            <w:tcMar>
              <w:top w:w="100" w:type="dxa"/>
              <w:bottom w:w="100" w:type="dxa"/>
              <w:left w:w="140" w:type="dxa"/>
              <w:right w:w="140" w:type="dxa"/>
            </w:tcMar>
            <w:shd w:fill="FFFFFF"/>
          </w:tcPr>
          <w:p>
            <w:r>
              <w:rPr>
                <w:sz w:val="19"/>
              </w:rPr>
              <w:t>DPS Certified Law Enforcement Fitness &amp; Wellness Regional Instructor</w:t>
            </w:r>
          </w:p>
        </w:tc>
      </w:tr>
      <w:tr>
        <w:tc>
          <w:tcPr>
            <w:tcW w:type="dxa" w:w="3168"/>
            <w:tcMar>
              <w:top w:w="100" w:type="dxa"/>
              <w:bottom w:w="100" w:type="dxa"/>
              <w:left w:w="140" w:type="dxa"/>
              <w:right w:w="140" w:type="dxa"/>
            </w:tcMar>
            <w:shd w:fill="F8FAFC"/>
          </w:tcPr>
          <w:p>
            <w:r>
              <w:rPr>
                <w:b/>
                <w:sz w:val="19"/>
              </w:rPr>
              <w:t>Command Officer Program</w:t>
            </w:r>
          </w:p>
        </w:tc>
        <w:tc>
          <w:tcPr>
            <w:tcW w:type="dxa" w:w="6192"/>
            <w:tcMar>
              <w:top w:w="100" w:type="dxa"/>
              <w:bottom w:w="100" w:type="dxa"/>
              <w:left w:w="140" w:type="dxa"/>
              <w:right w:w="140" w:type="dxa"/>
            </w:tcMar>
            <w:shd w:fill="F8FAFC"/>
          </w:tcPr>
          <w:p>
            <w:r>
              <w:rPr>
                <w:sz w:val="19"/>
              </w:rPr>
              <w:t>Graduate, Texas Police Chiefs Association (TPCA) LECOP Program</w:t>
            </w:r>
          </w:p>
        </w:tc>
      </w:tr>
      <w:tr>
        <w:tc>
          <w:tcPr>
            <w:tcW w:type="dxa" w:w="3168"/>
            <w:tcMar>
              <w:top w:w="100" w:type="dxa"/>
              <w:bottom w:w="100" w:type="dxa"/>
              <w:left w:w="140" w:type="dxa"/>
              <w:right w:w="140" w:type="dxa"/>
            </w:tcMar>
            <w:shd w:fill="FFFFFF"/>
          </w:tcPr>
          <w:p>
            <w:r>
              <w:rPr>
                <w:b/>
                <w:sz w:val="19"/>
              </w:rPr>
              <w:t>Higher Education</w:t>
            </w:r>
          </w:p>
        </w:tc>
        <w:tc>
          <w:tcPr>
            <w:tcW w:type="dxa" w:w="6192"/>
            <w:tcMar>
              <w:top w:w="100" w:type="dxa"/>
              <w:bottom w:w="100" w:type="dxa"/>
              <w:left w:w="140" w:type="dxa"/>
              <w:right w:w="140" w:type="dxa"/>
            </w:tcMar>
            <w:shd w:fill="FFFFFF"/>
          </w:tcPr>
          <w:p>
            <w:r>
              <w:rPr>
                <w:sz w:val="19"/>
              </w:rPr>
              <w:t>B.S. in Criminal Justice – Leadership, Texas A&amp;M University–Commerce</w:t>
            </w:r>
          </w:p>
        </w:tc>
      </w:tr>
      <w:tr>
        <w:tc>
          <w:tcPr>
            <w:tcW w:type="dxa" w:w="3168"/>
            <w:tcMar>
              <w:top w:w="100" w:type="dxa"/>
              <w:bottom w:w="100" w:type="dxa"/>
              <w:left w:w="140" w:type="dxa"/>
              <w:right w:w="140" w:type="dxa"/>
            </w:tcMar>
            <w:shd w:fill="F8FAFC"/>
          </w:tcPr>
          <w:p>
            <w:r>
              <w:rPr>
                <w:b/>
                <w:sz w:val="19"/>
              </w:rPr>
              <w:t>Departmental Honors</w:t>
            </w:r>
          </w:p>
        </w:tc>
        <w:tc>
          <w:tcPr>
            <w:tcW w:type="dxa" w:w="6192"/>
            <w:tcMar>
              <w:top w:w="100" w:type="dxa"/>
              <w:bottom w:w="100" w:type="dxa"/>
              <w:left w:w="140" w:type="dxa"/>
              <w:right w:w="140" w:type="dxa"/>
            </w:tcMar>
            <w:shd w:fill="F8FAFC"/>
          </w:tcPr>
          <w:p>
            <w:r>
              <w:rPr>
                <w:sz w:val="19"/>
              </w:rPr>
              <w:t>2023 Shenandoah PD Leadership Award; 2018 Joint Life-Saving Commendation (DPS)</w:t>
            </w:r>
          </w:p>
        </w:tc>
      </w:tr>
    </w:tbl>
    <w:p>
      <w:pPr>
        <w:spacing w:after="280"/>
      </w:pPr>
    </w:p>
    <w:p>
      <w:pPr>
        <w:pStyle w:val="Heading1"/>
      </w:pPr>
      <w:r>
        <w:rPr>
          <w:rFonts w:ascii="Calibri" w:hAnsi="Calibri"/>
          <w:b/>
          <w:color w:val="002B49"/>
        </w:rPr>
        <w:t>3. Multi-Agency Career Chronology &amp; Public Records</w:t>
      </w:r>
    </w:p>
    <w:p>
      <w:pPr>
        <w:spacing w:after="240"/>
        <w:ind w:left="432"/>
      </w:pPr>
      <w:r>
        <w:rPr>
          <w:rFonts w:ascii="Consolas" w:hAnsi="Consolas"/>
          <w:color w:val="1A365D"/>
          <w:sz w:val="19"/>
        </w:rPr>
        <w:t>[2010] Entry into Texas Law Enforcement (TCOLE Licensing)</w:t>
        <w:br/>
        <w:t xml:space="preserve">   │</w:t>
        <w:br/>
        <w:t xml:space="preserve">   ├──► Liberty County Constable's Office (Deputy Sheriff / Constable Deputy)</w:t>
        <w:br/>
        <w:t xml:space="preserve">   ├──► Liberty Police Department (Patrol Officer)</w:t>
        <w:br/>
        <w:t xml:space="preserve">   ├──► Cleveland, TX City Councilman, Place 3 (2011 Municipal Recall Election)</w:t>
        <w:br/>
        <w:t xml:space="preserve">   │</w:t>
        <w:br/>
        <w:t>[2014 – 2023] Shenandoah Police Department (Montgomery County, TX)</w:t>
        <w:br/>
        <w:t xml:space="preserve">   │   ├── Rank: Sergeant / Patrol Supervisor / Field Training Officer (FTO)</w:t>
        <w:br/>
        <w:t xml:space="preserve">   │   ├── Founder: Shenandoah PD Honor Guard Unit (2022)</w:t>
        <w:br/>
        <w:t xml:space="preserve">   │   └── ALPR Command: Shift LPR deployment supervision along I-45 corridor</w:t>
        <w:br/>
        <w:t xml:space="preserve">   │</w:t>
        <w:br/>
        <w:t>[2023 – Present] City of Liberty Police Department (Liberty County, TX)</w:t>
        <w:br/>
        <w:t xml:space="preserve">       └── Rank: Lieutenant (Patrol Division Supervisor &amp; Shift Operations)</w:t>
      </w:r>
    </w:p>
    <w:tbl>
      <w:tblPr>
        <w:tblW w:type="auto" w:w="0"/>
        <w:jc w:val="center"/>
        <w:tblLook w:firstColumn="1" w:firstRow="1" w:lastColumn="0" w:lastRow="0" w:noHBand="0" w:noVBand="1" w:val="04A0"/>
      </w:tblPr>
      <w:tblGrid>
        <w:gridCol w:w="9360"/>
      </w:tblGrid>
      <w:tr>
        <w:tc>
          <w:tcPr>
            <w:tcW w:type="dxa" w:w="9360"/>
            <w:shd w:fill="FEF2F2"/>
            <w:tcMar>
              <w:top w:w="160" w:type="dxa"/>
              <w:bottom w:w="160" w:type="dxa"/>
              <w:left w:w="200" w:type="dxa"/>
              <w:right w:w="200" w:type="dxa"/>
            </w:tcMar>
            <w:tcBorders>
              <w:top w:val="none"/>
              <w:left w:val="single" w:sz="24" w:space="0" w:color="C53030"/>
              <w:bottom w:val="none"/>
              <w:right w:val="none"/>
            </w:tcBorders>
          </w:tcPr>
          <w:p>
            <w:pPr>
              <w:spacing w:after="80"/>
            </w:pPr>
            <w:r>
              <w:rPr>
                <w:rFonts w:ascii="Calibri" w:hAnsi="Calibri"/>
                <w:b/>
                <w:color w:val="C53030"/>
                <w:sz w:val="20"/>
              </w:rPr>
              <w:t>■ 2011 CLEVELAND TX CITY COUNCIL RECALL ELECTION</w:t>
              <w:br/>
            </w:r>
            <w:r>
              <w:rPr>
                <w:rFonts w:ascii="Calibri" w:hAnsi="Calibri"/>
                <w:color w:val="333333"/>
                <w:sz w:val="20"/>
              </w:rPr>
              <w:t>In May 2011, while serving as an elected City Councilman (Place 3) in Cleveland, TX, McDuffie was subject to a municipal recall election alongside Councilmembers Barbara McIntyre and Durlene Davis. Public petitions cited municipal budget management disputes, the termination of the city manager, and council meeting conflicts. The recall measure passed on May 14, 2011.</w:t>
            </w:r>
          </w:p>
        </w:tc>
      </w:tr>
    </w:tbl>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00" w:type="dxa"/>
              <w:right w:w="200" w:type="dxa"/>
            </w:tcMar>
            <w:tcBorders>
              <w:top w:val="none"/>
              <w:left w:val="single" w:sz="24" w:space="0" w:color="2B6CB0"/>
              <w:bottom w:val="none"/>
              <w:right w:val="none"/>
            </w:tcBorders>
          </w:tcPr>
          <w:p>
            <w:pPr>
              <w:spacing w:after="80"/>
            </w:pPr>
            <w:r>
              <w:rPr>
                <w:rFonts w:ascii="Calibri" w:hAnsi="Calibri"/>
                <w:b/>
                <w:color w:val="2B6CB0"/>
                <w:sz w:val="20"/>
              </w:rPr>
              <w:t>■ STATE APPELLATE COURT TESTIMONY RECORDS</w:t>
              <w:br/>
            </w:r>
            <w:r>
              <w:rPr>
                <w:rFonts w:ascii="Calibri" w:hAnsi="Calibri"/>
                <w:color w:val="333333"/>
                <w:sz w:val="20"/>
              </w:rPr>
              <w:t>McDuffie's name appears in state appellate dockets (Badall v. State, Diaz v. State) strictly in his official capacity as a testifying law enforcement officer for the State of Texas regarding traffic stops, field interviews, and evidence custody performed in Liberty County.</w:t>
            </w:r>
          </w:p>
        </w:tc>
      </w:tr>
    </w:tbl>
    <w:p/>
    <w:p>
      <w:pPr>
        <w:pStyle w:val="Heading1"/>
      </w:pPr>
      <w:r>
        <w:rPr>
          <w:rFonts w:ascii="Calibri" w:hAnsi="Calibri"/>
          <w:b/>
          <w:color w:val="002B49"/>
        </w:rPr>
        <w:t>4. Family Lineage &amp; Regional Corridor Mapping (Walker &amp; Montgomery)</w:t>
      </w:r>
    </w:p>
    <w:p>
      <w:pPr>
        <w:spacing w:line="276" w:lineRule="auto" w:after="160"/>
      </w:pPr>
      <w:r>
        <w:t xml:space="preserve">An audit of vital statistics, obituary indices, and property records stored in </w:t>
      </w:r>
      <w:r>
        <w:rPr>
          <w:b/>
        </w:rPr>
        <w:t>C:\Users\kelly\My Drive\Maria\McDuffie family tree.png</w:t>
      </w:r>
      <w:r>
        <w:t xml:space="preserve"> establishes an established McDuffie family network centered in Huntsville / Walker County, spanning the I-45 and US-190 law enforcement corridors:</w:t>
      </w:r>
    </w:p>
    <w:p>
      <w:pPr>
        <w:spacing w:after="240"/>
        <w:ind w:left="432"/>
      </w:pPr>
      <w:r>
        <w:rPr>
          <w:rFonts w:ascii="Consolas" w:hAnsi="Consolas"/>
          <w:color w:val="2C5282"/>
          <w:sz w:val="19"/>
        </w:rPr>
        <w:t xml:space="preserve">                  ┌─────────────────────────────────────────┐</w:t>
        <w:br/>
        <w:t xml:space="preserve">                  │    Artie McDuffie, Sr. &amp; Nanette        │</w:t>
        <w:br/>
        <w:t xml:space="preserve">                  │   (Lankford) McDuffie (Huntsville, TX) │</w:t>
        <w:br/>
        <w:t xml:space="preserve">                  └────────────────────┬────────────────────┘</w:t>
        <w:br/>
        <w:t xml:space="preserve">                                       │</w:t>
        <w:br/>
        <w:t xml:space="preserve">            ┌──────────────────────────┼──────────────────────────┐</w:t>
        <w:br/>
        <w:t xml:space="preserve">            ▼                          ▼                          ▼</w:t>
        <w:br/>
        <w:t xml:space="preserve">   Jalen Rashad McDuffie       A.J. McDuffie               Chassity McCoy</w:t>
        <w:br/>
        <w:t xml:space="preserve">  (1998–2020; Huntsville)     (Walker/Montgomery)         (Huntsville/Conroe)</w:t>
        <w:br/>
        <w:br/>
        <w:t xml:space="preserve">                                       │</w:t>
        <w:br/>
        <w:t xml:space="preserve">                                       ▼</w:t>
        <w:br/>
        <w:t xml:space="preserve">                   Regional Branch: Charles "Charlie" McDuffie, Jr.</w:t>
        <w:br/>
        <w:t xml:space="preserve">                           (1944–2022; Huntsville/Iola)</w:t>
      </w:r>
    </w:p>
    <w:p>
      <w:pPr>
        <w:pStyle w:val="ListBullet"/>
        <w:spacing w:after="80"/>
      </w:pPr>
      <w:r>
        <w:rPr>
          <w:b/>
        </w:rPr>
        <w:t xml:space="preserve">Huntsville / Walker County Lineage: </w:t>
      </w:r>
      <w:r>
        <w:t>Longtime family residency centered in Huntsville (Walker County), extending into Montgomery County (Conroe/Shenandoah) and Liberty County (Cleveland/Liberty).</w:t>
      </w:r>
    </w:p>
    <w:p>
      <w:pPr>
        <w:pStyle w:val="ListBullet"/>
        <w:spacing w:after="80"/>
      </w:pPr>
      <w:r>
        <w:rPr>
          <w:b/>
        </w:rPr>
        <w:t xml:space="preserve">Jurisdictional Transit Continuity: </w:t>
      </w:r>
      <w:r>
        <w:t>The McDuffie family footprint traces the primary law enforcement transit routes connecting Walker County Sheriff's Office / Huntsville PD jurisdictions directly to Montgomery and Liberty County agencies.</w:t>
      </w:r>
    </w:p>
    <w:p>
      <w:pPr>
        <w:spacing w:after="240"/>
      </w:pPr>
    </w:p>
    <w:p>
      <w:pPr>
        <w:pStyle w:val="Heading1"/>
      </w:pPr>
      <w:r>
        <w:rPr>
          <w:rFonts w:ascii="Calibri" w:hAnsi="Calibri"/>
          <w:b/>
          <w:color w:val="002B49"/>
        </w:rPr>
        <w:t>5. Liberty County Developer, Infrastructure &amp; DA Network ('Maria' Audit)</w:t>
      </w:r>
    </w:p>
    <w:p>
      <w:pPr>
        <w:spacing w:line="276" w:lineRule="auto" w:after="160"/>
      </w:pPr>
      <w:r>
        <w:t>The Maria investigative directory (</w:t>
      </w:r>
      <w:r>
        <w:rPr>
          <w:b/>
        </w:rPr>
        <w:t>C:\Users\kelly\My Drive\Maria</w:t>
      </w:r>
      <w:r>
        <w:t>) documents the political, legal, and special-district environment in Liberty County within which municipal law enforcement agencies operate:</w:t>
      </w:r>
    </w:p>
    <w:p>
      <w:pPr>
        <w:pStyle w:val="ListBullet"/>
        <w:spacing w:after="120"/>
      </w:pPr>
      <w:r>
        <w:rPr>
          <w:b/>
        </w:rPr>
        <w:t xml:space="preserve">Special District Governance (MMD 1 &amp; MUD 1): </w:t>
      </w:r>
      <w:r>
        <w:t>Detailed in cold_iron_report.html, Liberty County infrastructure buildouts operate under dual special district boards: MMD No. 1 (Southern / Colony Ridge) governed by developer-linked directors (John Harris, Heath J. Marek, Clifton C. Cadle) approving public bond debt, and MUD No. 1 (Northern / Tarkington / Raywood) serving as the main pipeline/utility right-of-way axis.</w:t>
      </w:r>
    </w:p>
    <w:p>
      <w:pPr>
        <w:pStyle w:val="ListBullet"/>
        <w:spacing w:after="120"/>
      </w:pPr>
      <w:r>
        <w:rPr>
          <w:b/>
        </w:rPr>
        <w:t xml:space="preserve">Political Action Giving: </w:t>
      </w:r>
      <w:r>
        <w:t>COLONY RIDGE PAC CONTRIBUTION.pdf documents over $1,000,000 in political giving (Buckeye Values PAC, RNC, NRCC, local precinct PACs) influencing state and county legislative/regulatory oversight.</w:t>
      </w:r>
    </w:p>
    <w:p>
      <w:pPr>
        <w:pStyle w:val="ListBullet"/>
        <w:spacing w:after="120"/>
      </w:pPr>
      <w:r>
        <w:rPr>
          <w:b/>
        </w:rPr>
        <w:t xml:space="preserve">County Legal &amp; Judicial Matrix: </w:t>
      </w:r>
      <w:r>
        <w:t>BergmanJennifer_*.pdf filings and court documentation detail District Attorney Jennifer Bergman's office and County Court at Law Judge John C. Hafley within the county enforcement structure.</w:t>
      </w:r>
    </w:p>
    <w:p>
      <w:pPr>
        <w:spacing w:after="240"/>
      </w:pPr>
    </w:p>
    <w:p>
      <w:pPr>
        <w:pStyle w:val="Heading1"/>
      </w:pPr>
      <w:r>
        <w:rPr>
          <w:rFonts w:ascii="Calibri" w:hAnsi="Calibri"/>
          <w:b/>
          <w:color w:val="002B49"/>
        </w:rPr>
        <w:t>6. Key Incidents &amp; Investigation Handoff Protocol</w:t>
      </w:r>
    </w:p>
    <w:tbl>
      <w:tblPr>
        <w:tblW w:type="auto" w:w="0"/>
        <w:jc w:val="center"/>
        <w:tblLook w:firstColumn="1" w:firstRow="1" w:lastColumn="0" w:lastRow="0" w:noHBand="0" w:noVBand="1" w:val="04A0"/>
      </w:tblPr>
      <w:tblGrid>
        <w:gridCol w:w="9360"/>
      </w:tblGrid>
      <w:tr>
        <w:tc>
          <w:tcPr>
            <w:tcW w:type="dxa" w:w="9360"/>
            <w:shd w:fill="FEFCBF"/>
            <w:tcMar>
              <w:top w:w="160" w:type="dxa"/>
              <w:bottom w:w="160" w:type="dxa"/>
              <w:left w:w="200" w:type="dxa"/>
              <w:right w:w="200" w:type="dxa"/>
            </w:tcMar>
            <w:tcBorders>
              <w:top w:val="none"/>
              <w:left w:val="single" w:sz="24" w:space="0" w:color="D69E2E"/>
              <w:bottom w:val="none"/>
              <w:right w:val="none"/>
            </w:tcBorders>
          </w:tcPr>
          <w:p>
            <w:pPr>
              <w:spacing w:after="80"/>
            </w:pPr>
            <w:r>
              <w:rPr>
                <w:rFonts w:ascii="Calibri" w:hAnsi="Calibri"/>
                <w:b/>
                <w:color w:val="D69E2E"/>
                <w:sz w:val="20"/>
              </w:rPr>
              <w:t>■ NOVEMBER 20, 2025 OFFICER-INVOLVED PEDESTRIAN IMPACT (DPS REFERRAL)</w:t>
              <w:br/>
            </w:r>
            <w:r>
              <w:rPr>
                <w:rFonts w:ascii="Calibri" w:hAnsi="Calibri"/>
                <w:color w:val="333333"/>
                <w:sz w:val="20"/>
              </w:rPr>
              <w:t>On November 20, 2025, a City of Liberty Police Department patrol vehicle struck a pedestrian with its side-view mirror. To prevent internal conflict of interest, Liberty PD referred the crash investigation to Texas DPS (Region 2 Troopers). Following receipt of DPS reconstruction findings, Liberty PD administered internal disciplinary action. As Patrol Lieutenant, McDuffie held operational command over shift patrol officers involved prior to state handoff.</w:t>
            </w:r>
          </w:p>
        </w:tc>
      </w:tr>
    </w:tbl>
    <w:p/>
    <w:p>
      <w:pPr>
        <w:pStyle w:val="Heading1"/>
      </w:pPr>
      <w:r>
        <w:rPr>
          <w:rFonts w:ascii="Calibri" w:hAnsi="Calibri"/>
          <w:b/>
          <w:color w:val="002B49"/>
        </w:rPr>
        <w:t>7. Flock Safety ALPR Surveillance Capabilities Audit</w:t>
      </w:r>
    </w:p>
    <w:p>
      <w:pPr>
        <w:spacing w:line="276" w:lineRule="auto" w:after="160"/>
      </w:pPr>
      <w:r>
        <w:t xml:space="preserve">While Flock Safety cameras read physical license plates and vehicle aesthetics (make, model, color) rather than driver names directly, a law enforcement officer or supervisor can flag a target individual (e.g., surname </w:t>
      </w:r>
      <w:r>
        <w:rPr>
          <w:b/>
        </w:rPr>
        <w:t>Dishman</w:t>
      </w:r>
      <w:r>
        <w:t>) across multi-county jurisdictions using a three-step operational workflow:</w:t>
      </w:r>
    </w:p>
    <w:p>
      <w:pPr>
        <w:spacing w:after="240"/>
        <w:ind w:left="432"/>
      </w:pPr>
      <w:r>
        <w:rPr>
          <w:rFonts w:ascii="Consolas" w:hAnsi="Consolas"/>
          <w:color w:val="2B6CB0"/>
          <w:sz w:val="19"/>
        </w:rPr>
        <w:t>Step 1: NCIC / TCIC / TxDMV Name Query</w:t>
        <w:br/>
        <w:t xml:space="preserve">   └── Input Name ('Dishman') ──► Retrieve Registered License Plate(s) &amp; Vehicle Specs</w:t>
        <w:br/>
        <w:br/>
        <w:t>Step 2: Flock Custom Hotlist Entry</w:t>
        <w:br/>
        <w:t xml:space="preserve">   └── Input Target License Plate ──► Add to Agency 'Custom Hotlist' / 'Vehicle of Interest'</w:t>
        <w:br/>
        <w:br/>
        <w:t>Step 3: Multi-Agency Regional Broadcast</w:t>
        <w:br/>
        <w:t xml:space="preserve">   └── Enable Regional Sharing ──► Real-Time Push Alerts across Liberty, Montgomery, Walker &amp; Harris Counties</w:t>
      </w:r>
    </w:p>
    <w:tbl>
      <w:tblPr>
        <w:tblW w:type="auto" w:w="0"/>
        <w:jc w:val="center"/>
        <w:tblLook w:firstColumn="1" w:firstRow="1" w:lastColumn="0" w:lastRow="0" w:noHBand="0" w:noVBand="1" w:val="04A0"/>
        <w:tblBorders>
          <w:top w:val="single" w:sz="4" w:space="0" w:color="CBD5E1"/>
          <w:left w:val="none"/>
          <w:bottom w:val="single" w:sz="8" w:space="0" w:color="002B49"/>
          <w:right w:val="none"/>
          <w:insideH w:val="single" w:sz="4" w:space="0" w:color="CBD5E1"/>
          <w:insideV w:val="none"/>
        </w:tblBorders>
      </w:tblPr>
      <w:tblGrid>
        <w:gridCol w:w="3120"/>
        <w:gridCol w:w="3120"/>
        <w:gridCol w:w="3120"/>
      </w:tblGrid>
      <w:tr>
        <w:tc>
          <w:tcPr>
            <w:tcW w:type="dxa" w:w="2592"/>
            <w:shd w:fill="002B49"/>
            <w:tcMar>
              <w:top w:w="120" w:type="dxa"/>
              <w:bottom w:w="120" w:type="dxa"/>
              <w:left w:w="120" w:type="dxa"/>
              <w:right w:w="120" w:type="dxa"/>
            </w:tcMar>
          </w:tcPr>
          <w:p>
            <w:r>
              <w:rPr>
                <w:b/>
                <w:color w:val="FFFFFF"/>
              </w:rPr>
              <w:t>Feature / Function</w:t>
            </w:r>
          </w:p>
        </w:tc>
        <w:tc>
          <w:tcPr>
            <w:tcW w:type="dxa" w:w="3888"/>
            <w:shd w:fill="002B49"/>
            <w:tcMar>
              <w:top w:w="120" w:type="dxa"/>
              <w:bottom w:w="120" w:type="dxa"/>
              <w:left w:w="120" w:type="dxa"/>
              <w:right w:w="120" w:type="dxa"/>
            </w:tcMar>
          </w:tcPr>
          <w:p>
            <w:r>
              <w:rPr>
                <w:b/>
                <w:color w:val="FFFFFF"/>
              </w:rPr>
              <w:t>Operational Capability</w:t>
            </w:r>
          </w:p>
        </w:tc>
        <w:tc>
          <w:tcPr>
            <w:tcW w:type="dxa" w:w="2880"/>
            <w:shd w:fill="002B49"/>
            <w:tcMar>
              <w:top w:w="120" w:type="dxa"/>
              <w:bottom w:w="120" w:type="dxa"/>
              <w:left w:w="120" w:type="dxa"/>
              <w:right w:w="120" w:type="dxa"/>
            </w:tcMar>
          </w:tcPr>
          <w:p>
            <w:r>
              <w:rPr>
                <w:b/>
                <w:color w:val="FFFFFF"/>
              </w:rPr>
              <w:t>System Constraint / Law</w:t>
            </w:r>
          </w:p>
        </w:tc>
      </w:tr>
      <w:tr>
        <w:tc>
          <w:tcPr>
            <w:tcW w:type="dxa" w:w="2592"/>
            <w:shd w:fill="F8FAFC"/>
            <w:tcMar>
              <w:top w:w="100" w:type="dxa"/>
              <w:bottom w:w="100" w:type="dxa"/>
              <w:left w:w="120" w:type="dxa"/>
              <w:right w:w="120" w:type="dxa"/>
            </w:tcMar>
          </w:tcPr>
          <w:p>
            <w:r>
              <w:rPr>
                <w:b/>
              </w:rPr>
              <w:t>Real-Time Push Alerts</w:t>
            </w:r>
          </w:p>
        </w:tc>
        <w:tc>
          <w:tcPr>
            <w:tcW w:type="dxa" w:w="3888"/>
            <w:shd w:fill="F8FAFC"/>
            <w:tcMar>
              <w:top w:w="100" w:type="dxa"/>
              <w:bottom w:w="100" w:type="dxa"/>
              <w:left w:w="120" w:type="dxa"/>
              <w:right w:w="120" w:type="dxa"/>
            </w:tcMar>
          </w:tcPr>
          <w:p>
            <w:r>
              <w:t>Immediate mobile/MDT notification when target plate hits any camera</w:t>
            </w:r>
          </w:p>
        </w:tc>
        <w:tc>
          <w:tcPr>
            <w:tcW w:type="dxa" w:w="2880"/>
            <w:shd w:fill="F8FAFC"/>
            <w:tcMar>
              <w:top w:w="100" w:type="dxa"/>
              <w:bottom w:w="100" w:type="dxa"/>
              <w:left w:w="120" w:type="dxa"/>
              <w:right w:w="120" w:type="dxa"/>
            </w:tcMar>
          </w:tcPr>
          <w:p>
            <w:r>
              <w:t>Requires plate to be assigned to active Hotlist</w:t>
            </w:r>
          </w:p>
        </w:tc>
      </w:tr>
      <w:tr>
        <w:tc>
          <w:tcPr>
            <w:tcW w:type="dxa" w:w="2592"/>
            <w:shd w:fill="FFFFFF"/>
            <w:tcMar>
              <w:top w:w="100" w:type="dxa"/>
              <w:bottom w:w="100" w:type="dxa"/>
              <w:left w:w="120" w:type="dxa"/>
              <w:right w:w="120" w:type="dxa"/>
            </w:tcMar>
          </w:tcPr>
          <w:p>
            <w:r>
              <w:rPr>
                <w:b/>
              </w:rPr>
              <w:t>30-Day Historical Search</w:t>
            </w:r>
          </w:p>
        </w:tc>
        <w:tc>
          <w:tcPr>
            <w:tcW w:type="dxa" w:w="3888"/>
            <w:shd w:fill="FFFFFF"/>
            <w:tcMar>
              <w:top w:w="100" w:type="dxa"/>
              <w:bottom w:w="100" w:type="dxa"/>
              <w:left w:w="120" w:type="dxa"/>
              <w:right w:w="120" w:type="dxa"/>
            </w:tcMar>
          </w:tcPr>
          <w:p>
            <w:r>
              <w:t>Maps past travel corridors, timestamps, and transit frequency</w:t>
            </w:r>
          </w:p>
        </w:tc>
        <w:tc>
          <w:tcPr>
            <w:tcW w:type="dxa" w:w="2880"/>
            <w:shd w:fill="FFFFFF"/>
            <w:tcMar>
              <w:top w:w="100" w:type="dxa"/>
              <w:bottom w:w="100" w:type="dxa"/>
              <w:left w:w="120" w:type="dxa"/>
              <w:right w:w="120" w:type="dxa"/>
            </w:tcMar>
          </w:tcPr>
          <w:p>
            <w:r>
              <w:t>Data retained on 30-day rolling window</w:t>
            </w:r>
          </w:p>
        </w:tc>
      </w:tr>
      <w:tr>
        <w:tc>
          <w:tcPr>
            <w:tcW w:type="dxa" w:w="2592"/>
            <w:shd w:fill="F8FAFC"/>
            <w:tcMar>
              <w:top w:w="100" w:type="dxa"/>
              <w:bottom w:w="100" w:type="dxa"/>
              <w:left w:w="120" w:type="dxa"/>
              <w:right w:w="120" w:type="dxa"/>
            </w:tcMar>
          </w:tcPr>
          <w:p>
            <w:r>
              <w:rPr>
                <w:b/>
              </w:rPr>
              <w:t>Multi-Agency Sharing</w:t>
            </w:r>
          </w:p>
        </w:tc>
        <w:tc>
          <w:tcPr>
            <w:tcW w:type="dxa" w:w="3888"/>
            <w:shd w:fill="F8FAFC"/>
            <w:tcMar>
              <w:top w:w="100" w:type="dxa"/>
              <w:bottom w:w="100" w:type="dxa"/>
              <w:left w:w="120" w:type="dxa"/>
              <w:right w:w="120" w:type="dxa"/>
            </w:tcMar>
          </w:tcPr>
          <w:p>
            <w:r>
              <w:t>Interlinks Liberty PD, Shenandoah PD, MCSO, Walker Co, and Harris Co</w:t>
            </w:r>
          </w:p>
        </w:tc>
        <w:tc>
          <w:tcPr>
            <w:tcW w:type="dxa" w:w="2880"/>
            <w:shd w:fill="F8FAFC"/>
            <w:tcMar>
              <w:top w:w="100" w:type="dxa"/>
              <w:bottom w:w="100" w:type="dxa"/>
              <w:left w:w="120" w:type="dxa"/>
              <w:right w:w="120" w:type="dxa"/>
            </w:tcMar>
          </w:tcPr>
          <w:p>
            <w:r>
              <w:t>Governed by inter-agency sharing agreements</w:t>
            </w:r>
          </w:p>
        </w:tc>
      </w:tr>
      <w:tr>
        <w:tc>
          <w:tcPr>
            <w:tcW w:type="dxa" w:w="2592"/>
            <w:shd w:fill="FFFFFF"/>
            <w:tcMar>
              <w:top w:w="100" w:type="dxa"/>
              <w:bottom w:w="100" w:type="dxa"/>
              <w:left w:w="120" w:type="dxa"/>
              <w:right w:w="120" w:type="dxa"/>
            </w:tcMar>
          </w:tcPr>
          <w:p>
            <w:r>
              <w:rPr>
                <w:b/>
              </w:rPr>
              <w:t>Indelible Audit Trail</w:t>
            </w:r>
          </w:p>
        </w:tc>
        <w:tc>
          <w:tcPr>
            <w:tcW w:type="dxa" w:w="3888"/>
            <w:shd w:fill="FFFFFF"/>
            <w:tcMar>
              <w:top w:w="100" w:type="dxa"/>
              <w:bottom w:w="100" w:type="dxa"/>
              <w:left w:w="120" w:type="dxa"/>
              <w:right w:w="120" w:type="dxa"/>
            </w:tcMar>
          </w:tcPr>
          <w:p>
            <w:r>
              <w:t>Every search logs User ID, Badge #, Timestamp, IP, and CAD Case #</w:t>
            </w:r>
          </w:p>
        </w:tc>
        <w:tc>
          <w:tcPr>
            <w:tcW w:type="dxa" w:w="2880"/>
            <w:shd w:fill="FFFFFF"/>
            <w:tcMar>
              <w:top w:w="100" w:type="dxa"/>
              <w:bottom w:w="100" w:type="dxa"/>
              <w:left w:w="120" w:type="dxa"/>
              <w:right w:w="120" w:type="dxa"/>
            </w:tcMar>
          </w:tcPr>
          <w:p>
            <w:r>
              <w:t>Mandatory CJIS &amp; Flock system logging</w:t>
            </w:r>
          </w:p>
        </w:tc>
      </w:tr>
      <w:tr>
        <w:tc>
          <w:tcPr>
            <w:tcW w:type="dxa" w:w="2592"/>
            <w:shd w:fill="F8FAFC"/>
            <w:tcMar>
              <w:top w:w="100" w:type="dxa"/>
              <w:bottom w:w="100" w:type="dxa"/>
              <w:left w:w="120" w:type="dxa"/>
              <w:right w:w="120" w:type="dxa"/>
            </w:tcMar>
          </w:tcPr>
          <w:p>
            <w:r>
              <w:rPr>
                <w:b/>
              </w:rPr>
              <w:t>Legal Restrictions</w:t>
            </w:r>
          </w:p>
        </w:tc>
        <w:tc>
          <w:tcPr>
            <w:tcW w:type="dxa" w:w="3888"/>
            <w:shd w:fill="F8FAFC"/>
            <w:tcMar>
              <w:top w:w="100" w:type="dxa"/>
              <w:bottom w:w="100" w:type="dxa"/>
              <w:left w:w="120" w:type="dxa"/>
              <w:right w:w="120" w:type="dxa"/>
            </w:tcMar>
          </w:tcPr>
          <w:p>
            <w:r>
              <w:t>Unauthorized lookup without active criminal investigation or warrant</w:t>
            </w:r>
          </w:p>
        </w:tc>
        <w:tc>
          <w:tcPr>
            <w:tcW w:type="dxa" w:w="2880"/>
            <w:shd w:fill="F8FAFC"/>
            <w:tcMar>
              <w:top w:w="100" w:type="dxa"/>
              <w:bottom w:w="100" w:type="dxa"/>
              <w:left w:w="120" w:type="dxa"/>
              <w:right w:w="120" w:type="dxa"/>
            </w:tcMar>
          </w:tcPr>
          <w:p>
            <w:r>
              <w:t>Violates Tex. Penal Code § 33.02 &amp; CJIS Policy</w:t>
            </w:r>
          </w:p>
        </w:tc>
      </w:tr>
    </w:tbl>
    <w:p>
      <w:pPr>
        <w:spacing w:after="32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A0AEC0"/>
        <w:sz w:val="17"/>
      </w:rPr>
      <w:t xml:space="preserve">RESTRICTED — INVESTIGATIVE WORK PRODUCT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