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8.png" ContentType="image/png"/>
  <Override PartName="/word/media/rId28.png" ContentType="image/png"/>
  <Override PartName="/word/media/rId33.png" ContentType="image/png"/>
  <Override PartName="/word/media/rId38.png" ContentType="image/png"/>
  <Override PartName="/word/media/rId43.png" ContentType="image/png"/>
  <Override PartName="/word/media/rId48.png" ContentType="image/png"/>
  <Override PartName="/word/media/rId53.png" ContentType="image/png"/>
  <Override PartName="/word/media/rId58.png" ContentType="image/png"/>
  <Override PartName="/word/media/rId6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№4</w:t>
      </w:r>
    </w:p>
    <w:p>
      <w:pPr>
        <w:pStyle w:val="Subtitle"/>
      </w:pPr>
      <w:r>
        <w:t xml:space="preserve">Модель гармонических колебаний</w:t>
      </w:r>
    </w:p>
    <w:p>
      <w:pPr>
        <w:pStyle w:val="Author"/>
      </w:pPr>
      <w:r>
        <w:t xml:space="preserve">Шубнякова Дарья НКНбд-01-22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Ознакомиться с задачей гармонических колебаний. Реализовать даннуб модель на языке Julia, а так же в среде OMEdit.</w:t>
      </w:r>
    </w:p>
    <w:bookmarkEnd w:id="20"/>
    <w:bookmarkStart w:id="21" w:name="задание"/>
    <w:p>
      <w:pPr>
        <w:pStyle w:val="Heading1"/>
      </w:pPr>
      <w:r>
        <w:t xml:space="preserve">2. Задание</w:t>
      </w:r>
    </w:p>
    <w:p>
      <w:pPr>
        <w:pStyle w:val="FirstParagraph"/>
      </w:pPr>
      <w:r>
        <w:t xml:space="preserve">Постройте фазовый портрет гармонического осциллятора и решение уравнения</w:t>
      </w:r>
      <w:r>
        <w:t xml:space="preserve"> </w:t>
      </w:r>
      <w:r>
        <w:t xml:space="preserve">гармонического осциллятора для следующих случаев. Наш вариант 13.</w:t>
      </w:r>
    </w:p>
    <w:bookmarkEnd w:id="21"/>
    <w:bookmarkStart w:id="22" w:name="теоретическое-введение"/>
    <w:p>
      <w:pPr>
        <w:pStyle w:val="Heading1"/>
      </w:pPr>
      <w:r>
        <w:t xml:space="preserve">3. Теоретическое введение</w:t>
      </w:r>
    </w:p>
    <w:p>
      <w:pPr>
        <w:pStyle w:val="FirstParagraph"/>
      </w:pPr>
      <w:r>
        <w:t xml:space="preserve">Движение грузика на пружинке, маятника, заряда в электрическом контуре, а</w:t>
      </w:r>
      <w:r>
        <w:t xml:space="preserve"> </w:t>
      </w:r>
      <w:r>
        <w:t xml:space="preserve">также эволюция во времени многих систем в физике, химии, биологии и других</w:t>
      </w:r>
      <w:r>
        <w:t xml:space="preserve"> </w:t>
      </w:r>
      <w:r>
        <w:t xml:space="preserve">науках при определенных предположениях можно описать одним и тем же</w:t>
      </w:r>
      <w:r>
        <w:t xml:space="preserve"> </w:t>
      </w:r>
      <w:r>
        <w:t xml:space="preserve">дифференциальным уравнением, которое в теории колебаний выступает в качестве</w:t>
      </w:r>
      <w:r>
        <w:t xml:space="preserve"> </w:t>
      </w:r>
      <w:r>
        <w:t xml:space="preserve">основной модели. Эта модель называется линейным гармоническим осциллятором.</w:t>
      </w:r>
    </w:p>
    <w:bookmarkEnd w:id="22"/>
    <w:bookmarkStart w:id="73" w:name="выполнение-лабораторной-работы"/>
    <w:p>
      <w:pPr>
        <w:pStyle w:val="Heading1"/>
      </w:pPr>
      <w:r>
        <w:t xml:space="preserve">4. Выполнение лабораторной работы</w:t>
      </w:r>
    </w:p>
    <w:p>
      <w:pPr>
        <w:pStyle w:val="FirstParagraph"/>
      </w:pPr>
      <w:r>
        <w:t xml:space="preserve">Прописываем наш код на языке Julia в JupiterNotebook(</w:t>
      </w:r>
      <w:hyperlink w:anchor="fig-001">
        <w:r>
          <w:rPr>
            <w:rStyle w:val="Hyperlink"/>
          </w:rPr>
          <w:t xml:space="preserve">рис. 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7" w:name="fig-001"/>
          <w:p>
            <w:pPr>
              <w:pStyle w:val="Compact"/>
              <w:jc w:val="center"/>
            </w:pPr>
            <w:bookmarkStart w:id="26" w:name="fig-001"/>
            <w:r>
              <w:drawing>
                <wp:inline>
                  <wp:extent cx="3733800" cy="4049407"/>
                  <wp:effectExtent b="0" l="0" r="0" t="0"/>
                  <wp:docPr descr="" title="" id="24" name="Picture"/>
                  <a:graphic>
                    <a:graphicData uri="http://schemas.openxmlformats.org/drawingml/2006/picture">
                      <pic:pic>
                        <pic:nvPicPr>
                          <pic:cNvPr descr="image/1.png" id="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0494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26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</w:t>
            </w:r>
          </w:p>
          <w:bookmarkEnd w:id="27"/>
        </w:tc>
      </w:tr>
    </w:tbl>
    <w:p>
      <w:pPr>
        <w:pStyle w:val="BodyText"/>
      </w:pPr>
      <w:r>
        <w:t xml:space="preserve">Продолжение кода(</w:t>
      </w:r>
      <w:hyperlink w:anchor="fig-002">
        <w:r>
          <w:rPr>
            <w:rStyle w:val="Hyperlink"/>
          </w:rPr>
          <w:t xml:space="preserve">рис. 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2" w:name="fig-002"/>
          <w:p>
            <w:pPr>
              <w:pStyle w:val="Compact"/>
              <w:jc w:val="center"/>
            </w:pPr>
            <w:bookmarkStart w:id="31" w:name="fig-002"/>
            <w:r>
              <w:drawing>
                <wp:inline>
                  <wp:extent cx="3733800" cy="3594519"/>
                  <wp:effectExtent b="0" l="0" r="0" t="0"/>
                  <wp:docPr descr="" title="" id="29" name="Picture"/>
                  <a:graphic>
                    <a:graphicData uri="http://schemas.openxmlformats.org/drawingml/2006/picture">
                      <pic:pic>
                        <pic:nvPicPr>
                          <pic:cNvPr descr="image/2.png" id="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5945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31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2</w:t>
            </w:r>
          </w:p>
          <w:bookmarkEnd w:id="32"/>
        </w:tc>
      </w:tr>
    </w:tbl>
    <w:p>
      <w:pPr>
        <w:pStyle w:val="BodyText"/>
      </w:pPr>
      <w:r>
        <w:t xml:space="preserve">Получаем первые две модели: Случай без затухания, без внешней силы и Случай с затуханием, но без внешней силы(</w:t>
      </w:r>
      <w:hyperlink w:anchor="fig-003">
        <w:r>
          <w:rPr>
            <w:rStyle w:val="Hyperlink"/>
          </w:rPr>
          <w:t xml:space="preserve">рис. 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7" w:name="fig-003"/>
          <w:p>
            <w:pPr>
              <w:pStyle w:val="Compact"/>
              <w:jc w:val="center"/>
            </w:pPr>
            <w:bookmarkStart w:id="36" w:name="fig-003"/>
            <w:r>
              <w:drawing>
                <wp:inline>
                  <wp:extent cx="3733800" cy="3285743"/>
                  <wp:effectExtent b="0" l="0" r="0" t="0"/>
                  <wp:docPr descr="" title="" id="34" name="Picture"/>
                  <a:graphic>
                    <a:graphicData uri="http://schemas.openxmlformats.org/drawingml/2006/picture">
                      <pic:pic>
                        <pic:nvPicPr>
                          <pic:cNvPr descr="image/3.png" id="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2857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36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3</w:t>
            </w:r>
          </w:p>
          <w:bookmarkEnd w:id="37"/>
        </w:tc>
      </w:tr>
    </w:tbl>
    <w:p>
      <w:pPr>
        <w:pStyle w:val="BodyText"/>
      </w:pPr>
      <w:r>
        <w:t xml:space="preserve">Получаем третий случай: с затуханием и внешней силой, а также фазовые портреты для всех трех случаев(</w:t>
      </w:r>
      <w:hyperlink w:anchor="fig-004">
        <w:r>
          <w:rPr>
            <w:rStyle w:val="Hyperlink"/>
          </w:rPr>
          <w:t xml:space="preserve">рис. 4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2" w:name="fig-004"/>
          <w:p>
            <w:pPr>
              <w:pStyle w:val="Compact"/>
              <w:jc w:val="center"/>
            </w:pPr>
            <w:bookmarkStart w:id="41" w:name="fig-004"/>
            <w:r>
              <w:drawing>
                <wp:inline>
                  <wp:extent cx="3733800" cy="2901082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image/4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9010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41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4</w:t>
            </w:r>
          </w:p>
          <w:bookmarkEnd w:id="42"/>
        </w:tc>
      </w:tr>
    </w:tbl>
    <w:p>
      <w:pPr>
        <w:pStyle w:val="BodyText"/>
      </w:pPr>
      <w:r>
        <w:t xml:space="preserve">Прописываем код в реде OpenModelica для первого случая: без затухания и без внешней силы(</w:t>
      </w:r>
      <w:hyperlink w:anchor="fig-005">
        <w:r>
          <w:rPr>
            <w:rStyle w:val="Hyperlink"/>
          </w:rPr>
          <w:t xml:space="preserve">рис. 5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7" w:name="fig-005"/>
          <w:p>
            <w:pPr>
              <w:pStyle w:val="Compact"/>
              <w:jc w:val="center"/>
            </w:pPr>
            <w:bookmarkStart w:id="46" w:name="fig-005"/>
            <w:r>
              <w:drawing>
                <wp:inline>
                  <wp:extent cx="3733800" cy="1441115"/>
                  <wp:effectExtent b="0" l="0" r="0" t="0"/>
                  <wp:docPr descr="" title="" id="44" name="Picture"/>
                  <a:graphic>
                    <a:graphicData uri="http://schemas.openxmlformats.org/drawingml/2006/picture">
                      <pic:pic>
                        <pic:nvPicPr>
                          <pic:cNvPr descr="image/5.png" id="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441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46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5</w:t>
            </w:r>
          </w:p>
          <w:bookmarkEnd w:id="47"/>
        </w:tc>
      </w:tr>
    </w:tbl>
    <w:p>
      <w:pPr>
        <w:pStyle w:val="BodyText"/>
      </w:pPr>
      <w:r>
        <w:t xml:space="preserve">Получаем такой график(</w:t>
      </w:r>
      <w:hyperlink w:anchor="fig-006">
        <w:r>
          <w:rPr>
            <w:rStyle w:val="Hyperlink"/>
          </w:rPr>
          <w:t xml:space="preserve">рис. 6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2" w:name="fig-006"/>
          <w:p>
            <w:pPr>
              <w:pStyle w:val="Compact"/>
              <w:jc w:val="center"/>
            </w:pPr>
            <w:bookmarkStart w:id="51" w:name="fig-006"/>
            <w:r>
              <w:drawing>
                <wp:inline>
                  <wp:extent cx="3733800" cy="1458378"/>
                  <wp:effectExtent b="0" l="0" r="0" t="0"/>
                  <wp:docPr descr="" title="" id="49" name="Picture"/>
                  <a:graphic>
                    <a:graphicData uri="http://schemas.openxmlformats.org/drawingml/2006/picture">
                      <pic:pic>
                        <pic:nvPicPr>
                          <pic:cNvPr descr="image/6.png" id="5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4583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51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6</w:t>
            </w:r>
          </w:p>
          <w:bookmarkEnd w:id="52"/>
        </w:tc>
      </w:tr>
    </w:tbl>
    <w:p>
      <w:pPr>
        <w:pStyle w:val="BodyText"/>
      </w:pPr>
      <w:r>
        <w:t xml:space="preserve">Прописываем код в реде OpenModelica для второго случая: без затухания, но с внешней силой(</w:t>
      </w:r>
      <w:hyperlink w:anchor="fig-007">
        <w:r>
          <w:rPr>
            <w:rStyle w:val="Hyperlink"/>
          </w:rPr>
          <w:t xml:space="preserve">рис. 7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7" w:name="fig-007"/>
          <w:p>
            <w:pPr>
              <w:pStyle w:val="Compact"/>
              <w:jc w:val="center"/>
            </w:pPr>
            <w:bookmarkStart w:id="56" w:name="fig-007"/>
            <w:r>
              <w:drawing>
                <wp:inline>
                  <wp:extent cx="3733800" cy="1427268"/>
                  <wp:effectExtent b="0" l="0" r="0" t="0"/>
                  <wp:docPr descr="" title="" id="54" name="Picture"/>
                  <a:graphic>
                    <a:graphicData uri="http://schemas.openxmlformats.org/drawingml/2006/picture">
                      <pic:pic>
                        <pic:nvPicPr>
                          <pic:cNvPr descr="image/7.png" id="5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4272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56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7</w:t>
            </w:r>
          </w:p>
          <w:bookmarkEnd w:id="57"/>
        </w:tc>
      </w:tr>
    </w:tbl>
    <w:p>
      <w:pPr>
        <w:pStyle w:val="BodyText"/>
      </w:pPr>
      <w:r>
        <w:t xml:space="preserve">Получаем такой график(</w:t>
      </w:r>
      <w:hyperlink w:anchor="fig-008">
        <w:r>
          <w:rPr>
            <w:rStyle w:val="Hyperlink"/>
          </w:rPr>
          <w:t xml:space="preserve">рис. 8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2" w:name="fig-008"/>
          <w:p>
            <w:pPr>
              <w:pStyle w:val="Compact"/>
              <w:jc w:val="center"/>
            </w:pPr>
            <w:bookmarkStart w:id="61" w:name="fig-008"/>
            <w:r>
              <w:drawing>
                <wp:inline>
                  <wp:extent cx="3733800" cy="1418402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image/8.pn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4184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61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8</w:t>
            </w:r>
          </w:p>
          <w:bookmarkEnd w:id="62"/>
        </w:tc>
      </w:tr>
    </w:tbl>
    <w:p>
      <w:pPr>
        <w:pStyle w:val="BodyText"/>
      </w:pPr>
      <w:r>
        <w:t xml:space="preserve">Прописываем код в реде OpenModelica для третьего случая: с затуханием и с внешней силой(</w:t>
      </w:r>
      <w:hyperlink w:anchor="fig-009">
        <w:r>
          <w:rPr>
            <w:rStyle w:val="Hyperlink"/>
          </w:rPr>
          <w:t xml:space="preserve">рис. 9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7" w:name="fig-009"/>
          <w:p>
            <w:pPr>
              <w:pStyle w:val="Compact"/>
              <w:jc w:val="center"/>
            </w:pPr>
            <w:bookmarkStart w:id="66" w:name="fig-009"/>
            <w:r>
              <w:drawing>
                <wp:inline>
                  <wp:extent cx="3733800" cy="1414441"/>
                  <wp:effectExtent b="0" l="0" r="0" t="0"/>
                  <wp:docPr descr="" title="" id="64" name="Picture"/>
                  <a:graphic>
                    <a:graphicData uri="http://schemas.openxmlformats.org/drawingml/2006/picture">
                      <pic:pic>
                        <pic:nvPicPr>
                          <pic:cNvPr descr="image/9.png" id="6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4144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66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9</w:t>
            </w:r>
          </w:p>
          <w:bookmarkEnd w:id="67"/>
        </w:tc>
      </w:tr>
    </w:tbl>
    <w:p>
      <w:pPr>
        <w:pStyle w:val="BodyText"/>
      </w:pPr>
      <w:r>
        <w:t xml:space="preserve">Получаем такой график(</w:t>
      </w:r>
      <w:hyperlink w:anchor="fig-010">
        <w:r>
          <w:rPr>
            <w:rStyle w:val="Hyperlink"/>
          </w:rPr>
          <w:t xml:space="preserve">рис. 10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2" w:name="fig-010"/>
          <w:p>
            <w:pPr>
              <w:pStyle w:val="Compact"/>
              <w:jc w:val="center"/>
            </w:pPr>
            <w:bookmarkStart w:id="71" w:name="fig-010"/>
            <w:r>
              <w:drawing>
                <wp:inline>
                  <wp:extent cx="3733800" cy="1433042"/>
                  <wp:effectExtent b="0" l="0" r="0" t="0"/>
                  <wp:docPr descr="" title="" id="69" name="Picture"/>
                  <a:graphic>
                    <a:graphicData uri="http://schemas.openxmlformats.org/drawingml/2006/picture">
                      <pic:pic>
                        <pic:nvPicPr>
                          <pic:cNvPr descr="image/10.png" id="7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4330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71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10</w:t>
            </w:r>
          </w:p>
          <w:bookmarkEnd w:id="72"/>
        </w:tc>
      </w:tr>
    </w:tbl>
    <w:bookmarkEnd w:id="73"/>
    <w:bookmarkStart w:id="74" w:name="выводы"/>
    <w:p>
      <w:pPr>
        <w:pStyle w:val="Heading1"/>
      </w:pPr>
      <w:r>
        <w:t xml:space="preserve">5. Выводы</w:t>
      </w:r>
    </w:p>
    <w:p>
      <w:pPr>
        <w:pStyle w:val="FirstParagraph"/>
      </w:pPr>
      <w:r>
        <w:t xml:space="preserve">Мы реализовали модель в трех ее видах в OpenModelica и на языке Julia. На выходе получили две картинки: harmonic_oscillators_phase.png и harmonic_oscillators_time.png. Итоговый файл lab4.ibybn с кодом на языке Julia в JupiterNotebook. А также три файла для симуляции в OpenModelica: HarmonicOscillator1.mo, HarmonicOscillator2.mo, HarmonicOscillator3.mo</w:t>
      </w:r>
    </w:p>
    <w:bookmarkEnd w:id="7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8" Target="media/rId68.png" /><Relationship Type="http://schemas.openxmlformats.org/officeDocument/2006/relationships/image" Id="rId28" Target="media/rId28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3" Target="media/rId43.png" /><Relationship Type="http://schemas.openxmlformats.org/officeDocument/2006/relationships/image" Id="rId48" Target="media/rId48.png" /><Relationship Type="http://schemas.openxmlformats.org/officeDocument/2006/relationships/image" Id="rId53" Target="media/rId53.png" /><Relationship Type="http://schemas.openxmlformats.org/officeDocument/2006/relationships/image" Id="rId58" Target="media/rId58.png" /><Relationship Type="http://schemas.openxmlformats.org/officeDocument/2006/relationships/image" Id="rId63" Target="media/rId6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Шубнякова Дарья НКНбд-01-22</dc:creator>
  <dc:language>ru-RU</dc:language>
  <cp:keywords/>
  <dcterms:created xsi:type="dcterms:W3CDTF">2025-09-15T02:01:37Z</dcterms:created>
  <dcterms:modified xsi:type="dcterms:W3CDTF">2025-09-15T02:01:37Z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y-affiliation">
    <vt:lpwstr/>
  </property>
  <property fmtid="{D5CDD505-2E9C-101B-9397-08002B2CF9AE}" pid="6" name="by-author">
    <vt:lpwstr/>
  </property>
  <property fmtid="{D5CDD505-2E9C-101B-9397-08002B2CF9AE}" pid="7" name="header-includes">
    <vt:lpwstr/>
  </property>
  <property fmtid="{D5CDD505-2E9C-101B-9397-08002B2CF9AE}" pid="8" name="include-after">
    <vt:lpwstr/>
  </property>
  <property fmtid="{D5CDD505-2E9C-101B-9397-08002B2CF9AE}" pid="9" name="include-before">
    <vt:lpwstr/>
  </property>
  <property fmtid="{D5CDD505-2E9C-101B-9397-08002B2CF9AE}" pid="10" name="labels">
    <vt:lpwstr/>
  </property>
  <property fmtid="{D5CDD505-2E9C-101B-9397-08002B2CF9AE}" pid="11" name="license">
    <vt:lpwstr/>
  </property>
  <property fmtid="{D5CDD505-2E9C-101B-9397-08002B2CF9AE}" pid="12" name="subtitle">
    <vt:lpwstr>Модель гармонических колебаний</vt:lpwstr>
  </property>
  <property fmtid="{D5CDD505-2E9C-101B-9397-08002B2CF9AE}" pid="13" name="toc-title">
    <vt:lpwstr>Содержание</vt:lpwstr>
  </property>
</Properties>
</file>