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8.png" ContentType="image/png"/>
  <Override PartName="/word/media/rId73.png" ContentType="image/png"/>
  <Override PartName="/word/media/rId78.png" ContentType="image/png"/>
  <Override PartName="/word/media/rId83.png" ContentType="image/png"/>
  <Override PartName="/word/media/rId28.png" ContentType="image/png"/>
  <Override PartName="/word/media/rId33.png" ContentType="image/png"/>
  <Override PartName="/word/media/rId38.png" ContentType="image/png"/>
  <Override PartName="/word/media/rId43.png" ContentType="image/png"/>
  <Override PartName="/word/media/rId48.png" ContentType="image/png"/>
  <Override PartName="/word/media/rId53.png" ContentType="image/png"/>
  <Override PartName="/word/media/rId58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№8</w:t>
      </w:r>
    </w:p>
    <w:p>
      <w:pPr>
        <w:pStyle w:val="Subtitle"/>
      </w:pPr>
      <w:r>
        <w:t xml:space="preserve">Модель конкуренции двух фирм</w:t>
      </w:r>
    </w:p>
    <w:p>
      <w:pPr>
        <w:pStyle w:val="Author"/>
      </w:pPr>
      <w:r>
        <w:t xml:space="preserve">Шубнякова Дарья НКНбд-01-22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Для построения модели конкуренции хотя бы двух фирм необходимо</w:t>
      </w:r>
      <w:r>
        <w:t xml:space="preserve"> </w:t>
      </w:r>
      <w:r>
        <w:t xml:space="preserve">рассмотреть модель одной фирмы. Вначале рассмотрим модель фирмы,</w:t>
      </w:r>
      <w:r>
        <w:t xml:space="preserve"> </w:t>
      </w:r>
      <w:r>
        <w:t xml:space="preserve">производящей продукт долговременного пользования, когда цена его определяется</w:t>
      </w:r>
      <w:r>
        <w:t xml:space="preserve"> </w:t>
      </w:r>
      <w:r>
        <w:t xml:space="preserve">балансом спроса и предложения. Примем, что этот продукт занимает</w:t>
      </w:r>
      <w:r>
        <w:t xml:space="preserve"> </w:t>
      </w:r>
      <w:r>
        <w:t xml:space="preserve">определенную нишу рынка и конкуренты в ней отсутствуют.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FirstParagraph"/>
      </w:pPr>
      <w:r>
        <w:t xml:space="preserve">Построить необходимые нам графики c помощью языка Julia и в OpenModelica.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Обозначим:</w:t>
      </w:r>
      <w:r>
        <w:t xml:space="preserve"> </w:t>
      </w:r>
      <w:r>
        <w:t xml:space="preserve">N – число потребителей производимого продукта.</w:t>
      </w:r>
      <w:r>
        <w:t xml:space="preserve"> </w:t>
      </w:r>
      <w:r>
        <w:t xml:space="preserve">S – доходы потребителей данного продукта. Считаем, что доходы всех</w:t>
      </w:r>
      <w:r>
        <w:t xml:space="preserve"> </w:t>
      </w:r>
      <w:r>
        <w:t xml:space="preserve">потребителей одинаковы. Это предположение справедливо, если речь идет об</w:t>
      </w:r>
      <w:r>
        <w:t xml:space="preserve"> </w:t>
      </w:r>
      <w:r>
        <w:t xml:space="preserve">одной рыночной нише, т.е. производимый продукт ориентирован на определенный</w:t>
      </w:r>
      <w:r>
        <w:t xml:space="preserve"> </w:t>
      </w:r>
      <w:r>
        <w:t xml:space="preserve">слой населения.</w:t>
      </w:r>
      <w:r>
        <w:t xml:space="preserve"> </w:t>
      </w:r>
      <w:r>
        <w:t xml:space="preserve">M – оборотные средства предприятия</w:t>
      </w:r>
      <w:r>
        <w:t xml:space="preserve"> </w:t>
      </w:r>
      <w:r>
        <w:t xml:space="preserve">τ – длительность производственного цикла</w:t>
      </w:r>
      <w:r>
        <w:t xml:space="preserve"> </w:t>
      </w:r>
      <w:r>
        <w:t xml:space="preserve">p – рыночная цена товара</w:t>
      </w:r>
      <w:r>
        <w:t xml:space="preserve"> </w:t>
      </w:r>
      <w:r>
        <w:t xml:space="preserve">p̃ – себестоимость продукта, то есть переменные издержки на производство</w:t>
      </w:r>
      <w:r>
        <w:t xml:space="preserve"> </w:t>
      </w:r>
      <w:r>
        <w:t xml:space="preserve">единицы продукции.</w:t>
      </w:r>
      <w:r>
        <w:t xml:space="preserve"> </w:t>
      </w:r>
      <w:r>
        <w:t xml:space="preserve">δ – доля оборотных средств, идущая на покрытие переменных издержек.</w:t>
      </w:r>
      <w:r>
        <w:t xml:space="preserve"> </w:t>
      </w:r>
      <w:r>
        <w:t xml:space="preserve">κ – постоянные издержки, которые не зависят от количества выпускаемой</w:t>
      </w:r>
      <w:r>
        <w:t xml:space="preserve"> </w:t>
      </w:r>
      <w:r>
        <w:t xml:space="preserve">продукции.</w:t>
      </w:r>
      <w:r>
        <w:t xml:space="preserve"> </w:t>
      </w:r>
      <w:r>
        <w:t xml:space="preserve">Q(S/p) – функция спроса, зависящая от отношения дохода S к цене p. Она</w:t>
      </w:r>
      <w:r>
        <w:t xml:space="preserve"> </w:t>
      </w:r>
      <w:r>
        <w:t xml:space="preserve">равна кол</w:t>
      </w:r>
    </w:p>
    <w:bookmarkEnd w:id="22"/>
    <w:bookmarkStart w:id="88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Прописываем код на языке Julia(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001"/>
          <w:p>
            <w:pPr>
              <w:pStyle w:val="Compact"/>
              <w:jc w:val="center"/>
            </w:pPr>
            <w:bookmarkStart w:id="26" w:name="fig-001"/>
            <w:r>
              <w:drawing>
                <wp:inline>
                  <wp:extent cx="3733800" cy="3443393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4433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</w:t>
            </w:r>
          </w:p>
          <w:bookmarkEnd w:id="27"/>
        </w:tc>
      </w:tr>
    </w:tbl>
    <w:p>
      <w:pPr>
        <w:pStyle w:val="BodyText"/>
      </w:pPr>
      <w:r>
        <w:t xml:space="preserve">Продолжение кода(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002"/>
          <w:p>
            <w:pPr>
              <w:pStyle w:val="Compact"/>
              <w:jc w:val="center"/>
            </w:pPr>
            <w:bookmarkStart w:id="31" w:name="fig-002"/>
            <w:r>
              <w:drawing>
                <wp:inline>
                  <wp:extent cx="3733800" cy="3210884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image/2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2108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2</w:t>
            </w:r>
          </w:p>
          <w:bookmarkEnd w:id="32"/>
        </w:tc>
      </w:tr>
    </w:tbl>
    <w:p>
      <w:pPr>
        <w:pStyle w:val="BodyText"/>
      </w:pPr>
      <w:r>
        <w:t xml:space="preserve">Продолжение кода(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003"/>
          <w:p>
            <w:pPr>
              <w:pStyle w:val="Compact"/>
              <w:jc w:val="center"/>
            </w:pPr>
            <w:bookmarkStart w:id="36" w:name="fig-003"/>
            <w:r>
              <w:drawing>
                <wp:inline>
                  <wp:extent cx="3733800" cy="2442233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422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3</w:t>
            </w:r>
          </w:p>
          <w:bookmarkEnd w:id="37"/>
        </w:tc>
      </w:tr>
    </w:tbl>
    <w:p>
      <w:pPr>
        <w:pStyle w:val="BodyText"/>
      </w:pPr>
      <w:r>
        <w:t xml:space="preserve">Получаем отчет о работе модели(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4"/>
          <w:p>
            <w:pPr>
              <w:pStyle w:val="Compact"/>
              <w:jc w:val="center"/>
            </w:pPr>
            <w:bookmarkStart w:id="41" w:name="fig-004"/>
            <w:r>
              <w:drawing>
                <wp:inline>
                  <wp:extent cx="3733800" cy="1459186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image/4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459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4</w:t>
            </w:r>
          </w:p>
          <w:bookmarkEnd w:id="42"/>
        </w:tc>
      </w:tr>
    </w:tbl>
    <w:p>
      <w:pPr>
        <w:pStyle w:val="BodyText"/>
      </w:pPr>
      <w:r>
        <w:t xml:space="preserve">Получаем соответствующий график в первом слчае: Только рыночная конкуренция(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005"/>
          <w:p>
            <w:pPr>
              <w:pStyle w:val="Compact"/>
              <w:jc w:val="center"/>
            </w:pPr>
            <w:bookmarkStart w:id="46" w:name="fig-005"/>
            <w:r>
              <w:drawing>
                <wp:inline>
                  <wp:extent cx="3733800" cy="3079630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079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5</w:t>
            </w:r>
          </w:p>
          <w:bookmarkEnd w:id="47"/>
        </w:tc>
      </w:tr>
    </w:tbl>
    <w:p>
      <w:pPr>
        <w:pStyle w:val="BodyText"/>
      </w:pPr>
      <w:r>
        <w:t xml:space="preserve">И получаем второй график для второго случая: С социально-психолгическими факторами(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2" w:name="fig-006"/>
          <w:p>
            <w:pPr>
              <w:pStyle w:val="Compact"/>
              <w:jc w:val="center"/>
            </w:pPr>
            <w:bookmarkStart w:id="51" w:name="fig-006"/>
            <w:r>
              <w:drawing>
                <wp:inline>
                  <wp:extent cx="3733800" cy="3154531"/>
                  <wp:effectExtent b="0" l="0" r="0" t="0"/>
                  <wp:docPr descr="" title="" id="49" name="Picture"/>
                  <a:graphic>
                    <a:graphicData uri="http://schemas.openxmlformats.org/drawingml/2006/picture">
                      <pic:pic>
                        <pic:nvPicPr>
                          <pic:cNvPr descr="image/6.pn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154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6</w:t>
            </w:r>
          </w:p>
          <w:bookmarkEnd w:id="52"/>
        </w:tc>
      </w:tr>
    </w:tbl>
    <w:p>
      <w:pPr>
        <w:pStyle w:val="BodyText"/>
      </w:pPr>
      <w:r>
        <w:t xml:space="preserve">Прописываем код на OpenModelica(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007"/>
          <w:p>
            <w:pPr>
              <w:pStyle w:val="Compact"/>
              <w:jc w:val="center"/>
            </w:pPr>
            <w:bookmarkStart w:id="56" w:name="fig-007"/>
            <w:r>
              <w:drawing>
                <wp:inline>
                  <wp:extent cx="3733800" cy="1194240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/7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194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7</w:t>
            </w:r>
          </w:p>
          <w:bookmarkEnd w:id="57"/>
        </w:tc>
      </w:tr>
    </w:tbl>
    <w:p>
      <w:pPr>
        <w:pStyle w:val="BodyText"/>
      </w:pPr>
      <w:r>
        <w:t xml:space="preserve">Продолжение кода(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2" w:name="fig-008"/>
          <w:p>
            <w:pPr>
              <w:pStyle w:val="Compact"/>
              <w:jc w:val="center"/>
            </w:pPr>
            <w:bookmarkStart w:id="61" w:name="fig-008"/>
            <w:r>
              <w:drawing>
                <wp:inline>
                  <wp:extent cx="3733800" cy="983712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image/8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83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6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8</w:t>
            </w:r>
          </w:p>
          <w:bookmarkEnd w:id="62"/>
        </w:tc>
      </w:tr>
    </w:tbl>
    <w:p>
      <w:pPr>
        <w:pStyle w:val="BodyText"/>
      </w:pPr>
      <w:r>
        <w:t xml:space="preserve">Продолжение кода(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009"/>
          <w:p>
            <w:pPr>
              <w:pStyle w:val="Compact"/>
              <w:jc w:val="center"/>
            </w:pPr>
            <w:bookmarkStart w:id="66" w:name="fig-009"/>
            <w:r>
              <w:drawing>
                <wp:inline>
                  <wp:extent cx="3733800" cy="1136059"/>
                  <wp:effectExtent b="0" l="0" r="0" t="0"/>
                  <wp:docPr descr="" title="" id="64" name="Picture"/>
                  <a:graphic>
                    <a:graphicData uri="http://schemas.openxmlformats.org/drawingml/2006/picture">
                      <pic:pic>
                        <pic:nvPicPr>
                          <pic:cNvPr descr="image/9.pn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136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6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9</w:t>
            </w:r>
          </w:p>
          <w:bookmarkEnd w:id="67"/>
        </w:tc>
      </w:tr>
    </w:tbl>
    <w:p>
      <w:pPr>
        <w:pStyle w:val="BodyText"/>
      </w:pPr>
      <w:r>
        <w:t xml:space="preserve">Продолжение кода(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2" w:name="fig-010"/>
          <w:p>
            <w:pPr>
              <w:pStyle w:val="Compact"/>
              <w:jc w:val="center"/>
            </w:pPr>
            <w:bookmarkStart w:id="71" w:name="fig-010"/>
            <w:r>
              <w:drawing>
                <wp:inline>
                  <wp:extent cx="3733800" cy="966819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66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7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10</w:t>
            </w:r>
          </w:p>
          <w:bookmarkEnd w:id="72"/>
        </w:tc>
      </w:tr>
    </w:tbl>
    <w:p>
      <w:pPr>
        <w:pStyle w:val="BodyText"/>
      </w:pPr>
      <w:r>
        <w:t xml:space="preserve">Продолжение кода(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7" w:name="fig-011"/>
          <w:p>
            <w:pPr>
              <w:pStyle w:val="Compact"/>
              <w:jc w:val="center"/>
            </w:pPr>
            <w:bookmarkStart w:id="76" w:name="fig-011"/>
            <w:r>
              <w:drawing>
                <wp:inline>
                  <wp:extent cx="3733800" cy="954073"/>
                  <wp:effectExtent b="0" l="0" r="0" t="0"/>
                  <wp:docPr descr="" title="" id="74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7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540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7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11</w:t>
            </w:r>
          </w:p>
          <w:bookmarkEnd w:id="77"/>
        </w:tc>
      </w:tr>
    </w:tbl>
    <w:p>
      <w:pPr>
        <w:pStyle w:val="BodyText"/>
      </w:pPr>
      <w:r>
        <w:t xml:space="preserve">Получаем график для первого случая: Только рыночная конкуренция(</w:t>
      </w:r>
      <w:hyperlink w:anchor="fig-012">
        <w:r>
          <w:rPr>
            <w:rStyle w:val="Hyperlink"/>
          </w:rPr>
          <w:t xml:space="preserve">рис. 12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2" w:name="fig-012"/>
          <w:p>
            <w:pPr>
              <w:pStyle w:val="Compact"/>
              <w:jc w:val="center"/>
            </w:pPr>
            <w:bookmarkStart w:id="81" w:name="fig-012"/>
            <w:r>
              <w:drawing>
                <wp:inline>
                  <wp:extent cx="3733800" cy="1415658"/>
                  <wp:effectExtent b="0" l="0" r="0" t="0"/>
                  <wp:docPr descr="" title="" id="79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4156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8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12</w:t>
            </w:r>
          </w:p>
          <w:bookmarkEnd w:id="82"/>
        </w:tc>
      </w:tr>
    </w:tbl>
    <w:p>
      <w:pPr>
        <w:pStyle w:val="BodyText"/>
      </w:pPr>
      <w:r>
        <w:t xml:space="preserve">И получаем второй график для второго случая: С социально-психолгическими факторами(</w:t>
      </w:r>
      <w:hyperlink w:anchor="fig-013">
        <w:r>
          <w:rPr>
            <w:rStyle w:val="Hyperlink"/>
          </w:rPr>
          <w:t xml:space="preserve">рис. 13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7" w:name="fig-013"/>
          <w:p>
            <w:pPr>
              <w:pStyle w:val="Compact"/>
              <w:jc w:val="center"/>
            </w:pPr>
            <w:bookmarkStart w:id="86" w:name="fig-013"/>
            <w:r>
              <w:drawing>
                <wp:inline>
                  <wp:extent cx="3733800" cy="1611429"/>
                  <wp:effectExtent b="0" l="0" r="0" t="0"/>
                  <wp:docPr descr="" title="" id="84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114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8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13</w:t>
            </w:r>
          </w:p>
          <w:bookmarkEnd w:id="87"/>
        </w:tc>
      </w:tr>
    </w:tbl>
    <w:bookmarkEnd w:id="88"/>
    <w:bookmarkStart w:id="89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Мы реализовали модель конкуренции двух фирм. На графиках ознакомились с двумя случаями:</w:t>
      </w:r>
    </w:p>
    <w:p>
      <w:pPr>
        <w:numPr>
          <w:ilvl w:val="0"/>
          <w:numId w:val="1001"/>
        </w:numPr>
      </w:pPr>
      <w:r>
        <w:t xml:space="preserve">Только рыночная конкуренция</w:t>
      </w:r>
    </w:p>
    <w:p>
      <w:pPr>
        <w:numPr>
          <w:ilvl w:val="0"/>
          <w:numId w:val="1001"/>
        </w:numPr>
      </w:pPr>
      <w:r>
        <w:t xml:space="preserve">С социально-психолгическими факторам</w:t>
      </w:r>
    </w:p>
    <w:bookmarkEnd w:id="8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3" Target="media/rId6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Шубнякова Дарья НКНбд-01-22</dc:creator>
  <dc:language>ru-RU</dc:language>
  <cp:keywords/>
  <dcterms:created xsi:type="dcterms:W3CDTF">2025-09-15T03:55:28Z</dcterms:created>
  <dcterms:modified xsi:type="dcterms:W3CDTF">2025-09-15T03:55:28Z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y-affiliation">
    <vt:lpwstr/>
  </property>
  <property fmtid="{D5CDD505-2E9C-101B-9397-08002B2CF9AE}" pid="6" name="by-author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license">
    <vt:lpwstr/>
  </property>
  <property fmtid="{D5CDD505-2E9C-101B-9397-08002B2CF9AE}" pid="12" name="subtitle">
    <vt:lpwstr>Модель конкуренции двух фирм</vt:lpwstr>
  </property>
  <property fmtid="{D5CDD505-2E9C-101B-9397-08002B2CF9AE}" pid="13" name="toc-title">
    <vt:lpwstr>Содержание</vt:lpwstr>
  </property>
</Properties>
</file>