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8.png" ContentType="image/png"/>
  <Override PartName="/word/media/rId73.png" ContentType="image/png"/>
  <Override PartName="/word/media/rId78.png" ContentType="image/png"/>
  <Override PartName="/word/media/rId83.png" ContentType="image/png"/>
  <Override PartName="/word/media/rId88.png" ContentType="image/png"/>
  <Override PartName="/word/media/rId93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58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Модель эпидемии (SIR)</w:t>
      </w:r>
    </w:p>
    <w:p>
      <w:pPr>
        <w:pStyle w:val="Author"/>
      </w:pPr>
      <w:r>
        <w:t xml:space="preserve">Шубнякова Дарья НКНбд-01-22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Ознакомиться с моделью SIR и ее реализациями в xcos и с помощью языка Modelica.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Требуется:</w:t>
      </w:r>
      <w:r>
        <w:t xml:space="preserve"> </w:t>
      </w:r>
      <w:r>
        <w:t xml:space="preserve">– реализовать модель SIR с учётом процесса рождения / гибели особей в xcos (в том числе и с использованием блока Modelica);</w:t>
      </w:r>
      <w:r>
        <w:t xml:space="preserve"> </w:t>
      </w:r>
      <w:r>
        <w:t xml:space="preserve">– построить графики эпидемического порога при различных значениях параметров модели (в частности изменяя параметр μ);</w:t>
      </w:r>
      <w:r>
        <w:t xml:space="preserve"> </w:t>
      </w:r>
      <w:r>
        <w:t xml:space="preserve">– сделать анализ полученных графиков в зависимости от выбранных значений параметров модели.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Модель SIR предложена в 1927 г. (W. O. Kermack, A. G. McKendrick). С описанием модели можно ознакомиться, например в [1].</w:t>
      </w:r>
      <w:r>
        <w:t xml:space="preserve"> </w:t>
      </w:r>
      <w:r>
        <w:t xml:space="preserve">Предполагается, что особи популяции размера N могут находиться в трёх различных состояниях:</w:t>
      </w:r>
      <w:r>
        <w:t xml:space="preserve"> </w:t>
      </w:r>
      <w:r>
        <w:t xml:space="preserve">– S (susceptible, уязвимые) — здоровые особи, которые находятся в группе риска и могут подхватить инфекцию;</w:t>
      </w:r>
      <w:r>
        <w:t xml:space="preserve"> </w:t>
      </w:r>
      <w:r>
        <w:t xml:space="preserve">– I (infective, заражённые, распространяющие заболевание) — заразившиеся пере- носчики болезни;</w:t>
      </w:r>
      <w:r>
        <w:t xml:space="preserve"> </w:t>
      </w:r>
      <w:r>
        <w:t xml:space="preserve">– R (recovered/removed, вылечившиеся) — те, кто выздоровел и перестал распро- странять болезнь (в эту категорию относят, например, приобретших иммунитет или умерших).</w:t>
      </w:r>
      <w:r>
        <w:t xml:space="preserve"> </w:t>
      </w:r>
      <w:r>
        <w:t xml:space="preserve">Внутри каждой из выделенных групп особи считаются неразличимыми по свойствам.</w:t>
      </w:r>
    </w:p>
    <w:bookmarkEnd w:id="22"/>
    <w:bookmarkStart w:id="9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Устанавливаем контекст среды выполнения(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bookmarkStart w:id="26" w:name="fig-001"/>
            <w:r>
              <w:drawing>
                <wp:inline>
                  <wp:extent cx="3733800" cy="266851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85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7"/>
        </w:tc>
      </w:tr>
    </w:tbl>
    <w:p>
      <w:pPr>
        <w:pStyle w:val="BodyText"/>
      </w:pPr>
      <w:r>
        <w:t xml:space="preserve">Строим модель в xcos с помощью предложенных блоков и ориентируясь на модель в лабораторной работе(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bookmarkStart w:id="31" w:name="fig-002"/>
            <w:r>
              <w:drawing>
                <wp:inline>
                  <wp:extent cx="3733800" cy="2641839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18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2"/>
        </w:tc>
      </w:tr>
    </w:tbl>
    <w:p>
      <w:pPr>
        <w:pStyle w:val="BodyText"/>
      </w:pPr>
      <w:r>
        <w:t xml:space="preserve">В параметрах вергнего блока устанавливаем верхний предел интегрирования s(0)=0.999(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3"/>
          <w:p>
            <w:pPr>
              <w:pStyle w:val="Compact"/>
              <w:jc w:val="center"/>
            </w:pPr>
            <w:bookmarkStart w:id="36" w:name="fig-003"/>
            <w:r>
              <w:drawing>
                <wp:inline>
                  <wp:extent cx="3733800" cy="3523954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239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7"/>
        </w:tc>
      </w:tr>
    </w:tbl>
    <w:p>
      <w:pPr>
        <w:pStyle w:val="BodyText"/>
      </w:pPr>
      <w:r>
        <w:t xml:space="preserve">В среднем блоке устанавливаем параметр нижнего предела интегрирования i(0)=0.001(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4"/>
          <w:p>
            <w:pPr>
              <w:pStyle w:val="Compact"/>
              <w:jc w:val="center"/>
            </w:pPr>
            <w:bookmarkStart w:id="41" w:name="fig-004"/>
            <w:r>
              <w:drawing>
                <wp:inline>
                  <wp:extent cx="3733800" cy="2908433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084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2"/>
        </w:tc>
      </w:tr>
    </w:tbl>
    <w:p>
      <w:pPr>
        <w:pStyle w:val="BodyText"/>
      </w:pPr>
      <w:r>
        <w:t xml:space="preserve">В параметрах моделирования задаем конечное время интегрирования, иначе наш график будет строится бесконечно(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5"/>
          <w:p>
            <w:pPr>
              <w:pStyle w:val="Compact"/>
              <w:jc w:val="center"/>
            </w:pPr>
            <w:bookmarkStart w:id="46" w:name="fig-005"/>
            <w:r>
              <w:drawing>
                <wp:inline>
                  <wp:extent cx="3733800" cy="2027077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70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7"/>
        </w:tc>
      </w:tr>
    </w:tbl>
    <w:p>
      <w:pPr>
        <w:pStyle w:val="BodyText"/>
      </w:pPr>
      <w:r>
        <w:t xml:space="preserve">Получаем модель, сравниваем ее с рисунком в лабораторной работе, все аналогично. Зеленая линия определяет i(t) — динамику численности заражённых особей. Красная линия отвечает за r(t) — динамику численности выздоровевших особей, черная – за s(t) (динамика численности уязвимых к болезни особей)(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6"/>
          <w:p>
            <w:pPr>
              <w:pStyle w:val="Compact"/>
              <w:jc w:val="center"/>
            </w:pPr>
            <w:bookmarkStart w:id="51" w:name="fig-006"/>
            <w:r>
              <w:drawing>
                <wp:inline>
                  <wp:extent cx="3733800" cy="308353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835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2"/>
        </w:tc>
      </w:tr>
    </w:tbl>
    <w:p>
      <w:pPr>
        <w:pStyle w:val="BodyText"/>
      </w:pPr>
      <w:r>
        <w:t xml:space="preserve">Прописываем код для блока Modelica(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7"/>
          <w:p>
            <w:pPr>
              <w:pStyle w:val="Compact"/>
              <w:jc w:val="center"/>
            </w:pPr>
            <w:bookmarkStart w:id="56" w:name="fig-007"/>
            <w:r>
              <w:drawing>
                <wp:inline>
                  <wp:extent cx="3733800" cy="337861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786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57"/>
        </w:tc>
      </w:tr>
    </w:tbl>
    <w:p>
      <w:pPr>
        <w:pStyle w:val="BodyText"/>
      </w:pPr>
      <w:r>
        <w:t xml:space="preserve">Задаем параметры как в лабораторной работе(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08"/>
          <w:p>
            <w:pPr>
              <w:pStyle w:val="Compact"/>
              <w:jc w:val="center"/>
            </w:pPr>
            <w:bookmarkStart w:id="61" w:name="fig-008"/>
            <w:r>
              <w:drawing>
                <wp:inline>
                  <wp:extent cx="3733800" cy="3510886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108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</w:t>
            </w:r>
          </w:p>
          <w:bookmarkEnd w:id="62"/>
        </w:tc>
      </w:tr>
    </w:tbl>
    <w:p>
      <w:pPr>
        <w:pStyle w:val="BodyText"/>
      </w:pPr>
      <w:r>
        <w:t xml:space="preserve">Так выглядит модель на блоковой схеме(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09"/>
          <w:p>
            <w:pPr>
              <w:pStyle w:val="Compact"/>
              <w:jc w:val="center"/>
            </w:pPr>
            <w:bookmarkStart w:id="66" w:name="fig-009"/>
            <w:r>
              <w:drawing>
                <wp:inline>
                  <wp:extent cx="3733800" cy="3077307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773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</w:t>
            </w:r>
          </w:p>
          <w:bookmarkEnd w:id="67"/>
        </w:tc>
      </w:tr>
    </w:tbl>
    <w:p>
      <w:pPr>
        <w:pStyle w:val="BodyText"/>
      </w:pPr>
      <w:r>
        <w:t xml:space="preserve">Получаем аналогичный результат(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0"/>
          <w:p>
            <w:pPr>
              <w:pStyle w:val="Compact"/>
              <w:jc w:val="center"/>
            </w:pPr>
            <w:bookmarkStart w:id="71" w:name="fig-010"/>
            <w:r>
              <w:drawing>
                <wp:inline>
                  <wp:extent cx="3733800" cy="2766211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662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</w:t>
            </w:r>
          </w:p>
          <w:bookmarkEnd w:id="72"/>
        </w:tc>
      </w:tr>
    </w:tbl>
    <w:p>
      <w:pPr>
        <w:pStyle w:val="BodyText"/>
      </w:pPr>
      <w:r>
        <w:t xml:space="preserve">Задаем контекст среды выполнения для самостоятельной работы и строим блоковую схему по предложенным нам уравнениям, в которых учитываются демографические процессы, в частности, что смертность в популяции полностью уравновешивает рождаемость, а все рожденные индивидуу- мы появляются на свет абсолютно здоровыми(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1"/>
          <w:p>
            <w:pPr>
              <w:pStyle w:val="Compact"/>
              <w:jc w:val="center"/>
            </w:pPr>
            <w:bookmarkStart w:id="76" w:name="fig-011"/>
            <w:r>
              <w:drawing>
                <wp:inline>
                  <wp:extent cx="3733800" cy="4200525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0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</w:t>
            </w:r>
          </w:p>
          <w:bookmarkEnd w:id="77"/>
        </w:tc>
      </w:tr>
    </w:tbl>
    <w:p>
      <w:pPr>
        <w:pStyle w:val="BodyText"/>
      </w:pPr>
      <w:r>
        <w:t xml:space="preserve">Затем делаем то же самое с помощью блока OpenModelica(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2"/>
          <w:p>
            <w:pPr>
              <w:pStyle w:val="Compact"/>
              <w:jc w:val="center"/>
            </w:pPr>
            <w:bookmarkStart w:id="81" w:name="fig-012"/>
            <w:r>
              <w:drawing>
                <wp:inline>
                  <wp:extent cx="3733800" cy="4446402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464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</w:t>
            </w:r>
          </w:p>
          <w:bookmarkEnd w:id="82"/>
        </w:tc>
      </w:tr>
    </w:tbl>
    <w:p>
      <w:pPr>
        <w:pStyle w:val="BodyText"/>
      </w:pPr>
      <w:r>
        <w:t xml:space="preserve">Теперь задаем различные μ, где μ — константа, которая равна коэффициенту смертности и рождаемости. Здечь она равна 0.1(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3"/>
          <w:p>
            <w:pPr>
              <w:pStyle w:val="Compact"/>
              <w:jc w:val="center"/>
            </w:pPr>
            <w:bookmarkStart w:id="86" w:name="fig-013"/>
            <w:r>
              <w:drawing>
                <wp:inline>
                  <wp:extent cx="3733800" cy="25580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8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</w:t>
            </w:r>
          </w:p>
          <w:bookmarkEnd w:id="87"/>
        </w:tc>
      </w:tr>
    </w:tbl>
    <w:p>
      <w:pPr>
        <w:pStyle w:val="BodyText"/>
      </w:pPr>
      <w:r>
        <w:t xml:space="preserve">Здесь μ=0.3(</w:t>
      </w:r>
      <w:hyperlink w:anchor="fig-014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4"/>
          <w:p>
            <w:pPr>
              <w:pStyle w:val="Compact"/>
              <w:jc w:val="center"/>
            </w:pPr>
            <w:bookmarkStart w:id="91" w:name="fig-014"/>
            <w:r>
              <w:drawing>
                <wp:inline>
                  <wp:extent cx="3733800" cy="2542287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42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</w:t>
            </w:r>
          </w:p>
          <w:bookmarkEnd w:id="92"/>
        </w:tc>
      </w:tr>
    </w:tbl>
    <w:p>
      <w:pPr>
        <w:pStyle w:val="BodyText"/>
      </w:pPr>
      <w:r>
        <w:t xml:space="preserve">Здесь μ=0.5(</w:t>
      </w:r>
      <w:hyperlink w:anchor="fig-014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4"/>
          <w:p>
            <w:pPr>
              <w:pStyle w:val="Compact"/>
              <w:jc w:val="center"/>
            </w:pPr>
            <w:bookmarkStart w:id="96" w:name="fig-014"/>
            <w:r>
              <w:drawing>
                <wp:inline>
                  <wp:extent cx="3733800" cy="2510759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07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</w:t>
            </w:r>
          </w:p>
          <w:bookmarkEnd w:id="97"/>
        </w:tc>
      </w:tr>
    </w:tbl>
    <w:bookmarkEnd w:id="98"/>
    <w:bookmarkStart w:id="9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Мы ознакомились с тем, как строить блоковые схемы в xcos и реализовывать модели на языке Modelica. Получили такие выводы на графике: чем больше μ, которая равна коэффициенту смертности и рождаемости, то есть чем больше детей у нас рождается и чем меньше людей умирает, тем меньше пик динамика численности зараженных, динамика численности выздовевших так же имеет меньший максимум, а количество особей, уязвых к болези, наоборот, не достигает такого большого минимума, т.е. заражается меньше людей.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Шубнякова Дарья НКНбд-01-22</dc:creator>
  <dc:language>ru-RU</dc:language>
  <cp:keywords/>
  <dcterms:created xsi:type="dcterms:W3CDTF">2025-09-11T14:38:09Z</dcterms:created>
  <dcterms:modified xsi:type="dcterms:W3CDTF">2025-09-11T14:38:09Z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cense">
    <vt:lpwstr/>
  </property>
  <property fmtid="{D5CDD505-2E9C-101B-9397-08002B2CF9AE}" pid="12" name="subtitle">
    <vt:lpwstr>Модель эпидемии (SIR)</vt:lpwstr>
  </property>
  <property fmtid="{D5CDD505-2E9C-101B-9397-08002B2CF9AE}" pid="13" name="toc-title">
    <vt:lpwstr>Содержание</vt:lpwstr>
  </property>
</Properties>
</file>