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№15</w:t>
      </w:r>
    </w:p>
    <w:p>
      <w:pPr>
        <w:pStyle w:val="Subtitle"/>
      </w:pPr>
      <w:r>
        <w:t xml:space="preserve">Модели обслуживания с приоритетами</w:t>
      </w:r>
    </w:p>
    <w:p>
      <w:pPr>
        <w:pStyle w:val="Author"/>
      </w:pPr>
      <w:r>
        <w:t xml:space="preserve">Шубнякова Дарья НКНбд-01-22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Ознакомится с двумя моделями обслуживания с приоритетами:</w:t>
      </w:r>
    </w:p>
    <w:p>
      <w:pPr>
        <w:numPr>
          <w:ilvl w:val="0"/>
          <w:numId w:val="1001"/>
        </w:numPr>
      </w:pPr>
      <w:r>
        <w:t xml:space="preserve">Модель обслуживания механиков на складе</w:t>
      </w:r>
    </w:p>
    <w:p>
      <w:pPr>
        <w:numPr>
          <w:ilvl w:val="0"/>
          <w:numId w:val="1001"/>
        </w:numPr>
      </w:pPr>
      <w:r>
        <w:t xml:space="preserve">Модель обслуживания в порту судов двух типов</w:t>
      </w:r>
    </w:p>
    <w:bookmarkEnd w:id="20"/>
    <w:bookmarkStart w:id="21" w:name="задание"/>
    <w:p>
      <w:pPr>
        <w:pStyle w:val="Heading1"/>
      </w:pPr>
      <w:r>
        <w:t xml:space="preserve">2. Задание</w:t>
      </w:r>
    </w:p>
    <w:p>
      <w:pPr>
        <w:pStyle w:val="FirstParagraph"/>
      </w:pPr>
      <w:r>
        <w:t xml:space="preserve">Получить и проанализировать два отчета по обеим задачам</w:t>
      </w:r>
    </w:p>
    <w:bookmarkEnd w:id="21"/>
    <w:bookmarkStart w:id="22" w:name="теоретическое-введение"/>
    <w:p>
      <w:pPr>
        <w:pStyle w:val="Heading1"/>
      </w:pPr>
      <w:r>
        <w:t xml:space="preserve">3. Теоретическое введение</w:t>
      </w:r>
    </w:p>
    <w:p>
      <w:pPr>
        <w:pStyle w:val="FirstParagraph"/>
      </w:pPr>
      <w:r>
        <w:t xml:space="preserve">В данной лабораторной работе мы знакомимся с двумя задачами по моделям с приоритетами.</w:t>
      </w:r>
    </w:p>
    <w:bookmarkEnd w:id="22"/>
    <w:bookmarkStart w:id="45" w:name="выполнение-лабораторной-работы"/>
    <w:p>
      <w:pPr>
        <w:pStyle w:val="Heading1"/>
      </w:pPr>
      <w:r>
        <w:t xml:space="preserve">4. Выполнение лабораторной работы</w:t>
      </w:r>
    </w:p>
    <w:bookmarkStart w:id="33" w:name="задача-1"/>
    <w:p>
      <w:pPr>
        <w:pStyle w:val="Heading2"/>
      </w:pPr>
      <w:r>
        <w:t xml:space="preserve">4.1 Задача №1</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 проса, зависит от типа запасной части. Запросы бывают двух категорий. Для первой категории интервалы времени прихода механиков 420 ± 360 сек., время обслужива- ния — 300 ± 90 сек. Для второй категории интервалы времени прихода механиков 360 ± 240 сек., время обслуживания — 100 ± 30 сек.</w:t>
      </w:r>
      <w:r>
        <w:t xml:space="preserve"> </w:t>
      </w:r>
      <w:r>
        <w:t xml:space="preserve">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 «первым пришел – первым обслужился». Необходимо создать модель работы кладовой, моделирование выполнять в течение восьмичасового рабочего дня.</w:t>
      </w:r>
    </w:p>
    <w:p>
      <w:pPr>
        <w:pStyle w:val="BodyText"/>
      </w:pPr>
      <w:r>
        <w:t xml:space="preserve">Вводим код для первой задачи, предоставленный в лабораторной работе, знакомимся с отчетом. Результаты работы модели:</w:t>
      </w:r>
      <w:r>
        <w:t xml:space="preserve"> </w:t>
      </w:r>
      <w:r>
        <w:t xml:space="preserve">– модельное время в начале моделирования: START TIME=0.0;</w:t>
      </w:r>
      <w:r>
        <w:t xml:space="preserve"> </w:t>
      </w:r>
      <w:r>
        <w:t xml:space="preserve">– абсолютное время или момент, когда счетчик завершений принял значение 0:</w:t>
      </w:r>
      <w:r>
        <w:t xml:space="preserve"> </w:t>
      </w:r>
      <w:r>
        <w:t xml:space="preserve">END TIME=28800.0;</w:t>
      </w:r>
      <w:r>
        <w:t xml:space="preserve"> </w:t>
      </w:r>
      <w:r>
        <w:t xml:space="preserve">– количество блоков, использованных в текущей модели, к моменту завершения</w:t>
      </w:r>
      <w:r>
        <w:t xml:space="preserve"> </w:t>
      </w:r>
      <w:r>
        <w:t xml:space="preserve">моделирования: BLOCKS=16;</w:t>
      </w:r>
      <w:r>
        <w:t xml:space="preserve"> </w:t>
      </w:r>
      <w:r>
        <w:t xml:space="preserve">– количество одноканальных устройств, использованных в модели к моменту за-</w:t>
      </w:r>
      <w:r>
        <w:t xml:space="preserve"> </w:t>
      </w:r>
      <w:r>
        <w:t xml:space="preserve">вершения моделирования: FACILITIES=1;</w:t>
      </w:r>
      <w:r>
        <w:t xml:space="preserve"> </w:t>
      </w:r>
      <w:r>
        <w:t xml:space="preserve">– количество многоканальных устройств, использованных в текущей модели к мо-</w:t>
      </w:r>
      <w:r>
        <w:t xml:space="preserve"> </w:t>
      </w:r>
      <w:r>
        <w:t xml:space="preserve">менту завершения моделирования: STORAGES=0.</w:t>
      </w:r>
    </w:p>
    <w:p>
      <w:pPr>
        <w:pStyle w:val="BodyText"/>
      </w:pPr>
      <w:r>
        <w:t xml:space="preserve">Затем идёт информация об одноканальном устройстве FACILITY, откуда видим, что попал 141 запрос (значение поля OWNER=141), но пять заказов не успели принять в обработку до окончания рабочего времени (значение поля ENTRIES=146). Полезность работы составила 0, 967. При этом среднее время занятости составило 190,733 мин.</w:t>
      </w:r>
    </w:p>
    <w:p>
      <w:pPr>
        <w:pStyle w:val="BodyText"/>
      </w:pPr>
      <w:r>
        <w:t xml:space="preserve">Далее информация об очереди:</w:t>
      </w:r>
      <w:r>
        <w:t xml:space="preserve"> </w:t>
      </w:r>
      <w:r>
        <w:t xml:space="preserve">QUEUE=QS2, QS1 — имена объекта типа «очередь»;</w:t>
      </w:r>
    </w:p>
    <w:p>
      <w:pPr>
        <w:pStyle w:val="BodyText"/>
      </w:pPr>
      <w:r>
        <w:t xml:space="preserve">Для QS2: MAX=3 — в очереди находилось не более трех заказов; CONT=2 — на момент завершения моделирования очередь состояла из двух заказов; ENTRIES=83 — общее число заказов, прошедших через очередь в течение периода моделирования;</w:t>
      </w:r>
      <w:r>
        <w:t xml:space="preserve"> </w:t>
      </w:r>
      <w:r>
        <w:t xml:space="preserve">ENTRIES(O)=2 — число заказов, попавших к оператору без ожидания в очереди;</w:t>
      </w:r>
      <w:r>
        <w:t xml:space="preserve"> </w:t>
      </w:r>
      <w:r>
        <w:t xml:space="preserve">AVE.CONT=0.439 заказов в среднем были в очереди; AVE.TIME=152.399 минут в среднем заказы провели в очереди (с учётом всех входов в очередь);</w:t>
      </w:r>
      <w:r>
        <w:t xml:space="preserve"> </w:t>
      </w:r>
      <w:r>
        <w:t xml:space="preserve">AVE.(–0)=156.162 минут в среднем заказы провели в очереди (без учета «нулевых» входов в очередь).</w:t>
      </w:r>
    </w:p>
    <w:p>
      <w:pPr>
        <w:pStyle w:val="BodyText"/>
      </w:pPr>
      <w:r>
        <w:t xml:space="preserve">Для QS1: MAX=8 — в очереди находилось не более трех заказов; CONT=6 — на момент завершения моделирования очередь состояла из двух заказов; ENTRIES=71 — общее число заказов, прошедших через очередь в течение периода моделирования;</w:t>
      </w:r>
      <w:r>
        <w:t xml:space="preserve"> </w:t>
      </w:r>
      <w:r>
        <w:t xml:space="preserve">ENTRIES(O)=4 — число заказов, попавших к оператору без ожидания в очереди;</w:t>
      </w:r>
      <w:r>
        <w:t xml:space="preserve"> </w:t>
      </w:r>
      <w:r>
        <w:t xml:space="preserve">AVE.CONT=2.177 заказов в среднем были в очереди; AVE.TIME=883.029 минут в среднем заказы провели в очереди (с учётом всех входов в очередь);</w:t>
      </w:r>
      <w:r>
        <w:t xml:space="preserve"> </w:t>
      </w:r>
      <w:r>
        <w:t xml:space="preserve">AVE.(–0)=935.747 минут в среднем заказы провели в очереди (без учета «нулевых» входов в очередь).</w:t>
      </w:r>
    </w:p>
    <w:p>
      <w:pPr>
        <w:pStyle w:val="BodyText"/>
      </w:pPr>
      <w:r>
        <w:t xml:space="preserve">В конце отчёта идёт информация о будущих событиях:</w:t>
      </w:r>
      <w:r>
        <w:t xml:space="preserve"> </w:t>
      </w:r>
      <w:r>
        <w:t xml:space="preserve">XN=141,157,155,158 — порядковый номер заказа, ожидающей поступления для оформления;</w:t>
      </w:r>
      <w:r>
        <w:t xml:space="preserve"> </w:t>
      </w:r>
      <w:r>
        <w:t xml:space="preserve">PRI=1,2,1,0 — приоретет в очереди;</w:t>
      </w:r>
      <w:r>
        <w:t xml:space="preserve"> </w:t>
      </w:r>
      <w:r>
        <w:t xml:space="preserve">BDT=~28815,29012,29012,57600 — время назначенного события, связанного с данным транзактом; ASSEM=141,157,155,158 — номер семейства транзактов;</w:t>
      </w:r>
      <w:r>
        <w:t xml:space="preserve"> </w:t>
      </w:r>
      <w:r>
        <w:t xml:space="preserve">CURRENT=5,0,0,0 — номера блоков, в которых находится транзакт;</w:t>
      </w:r>
      <w:r>
        <w:t xml:space="preserve"> </w:t>
      </w:r>
      <w:r>
        <w:t xml:space="preserve">NEXT=6,8,1,15 — номера блоков, в которые должен войти транзакт(</w:t>
      </w:r>
      <w:hyperlink w:anchor="fig-001">
        <w:r>
          <w:rPr>
            <w:rStyle w:val="Hyperlink"/>
          </w:rPr>
          <w:t xml:space="preserve">рис. 1</w:t>
        </w:r>
      </w:hyperlink>
      <w:r>
        <w:t xml:space="preserve">)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001"/>
          <w:p>
            <w:pPr>
              <w:pStyle w:val="Compact"/>
              <w:jc w:val="center"/>
            </w:pPr>
            <w:bookmarkStart w:id="26" w:name="fig-001"/>
            <w:r>
              <w:drawing>
                <wp:inline>
                  <wp:extent cx="3733800" cy="2257743"/>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257743"/>
                          </a:xfrm>
                          <a:prstGeom prst="rect">
                            <a:avLst/>
                          </a:prstGeom>
                          <a:noFill/>
                          <a:ln w="9525">
                            <a:noFill/>
                            <a:headEnd/>
                            <a:tailEnd/>
                          </a:ln>
                        </pic:spPr>
                      </pic:pic>
                    </a:graphicData>
                  </a:graphic>
                </wp:inline>
              </w:drawing>
            </w:r>
            <w:bookmarkEnd w:id="26"/>
          </w:p>
          <w:p>
            <w:pPr>
              <w:jc w:val="center"/>
            </w:pPr>
            <w:pPr>
              <w:jc w:val="start"/>
              <w:spacing w:before="200"/>
              <w:pStyle w:val="ImageCaption"/>
            </w:pPr>
            <w:r>
              <w:t xml:space="preserve">Рисунок 1</w:t>
            </w:r>
          </w:p>
          <w:bookmarkEnd w:id="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 w:name="fig-002"/>
          <w:p>
            <w:pPr>
              <w:pStyle w:val="Compact"/>
              <w:jc w:val="center"/>
            </w:pPr>
            <w:bookmarkStart w:id="31" w:name="fig-002"/>
            <w:r>
              <w:drawing>
                <wp:inline>
                  <wp:extent cx="3733800" cy="821023"/>
                  <wp:effectExtent b="0" l="0" r="0" t="0"/>
                  <wp:docPr descr=""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821023"/>
                          </a:xfrm>
                          <a:prstGeom prst="rect">
                            <a:avLst/>
                          </a:prstGeom>
                          <a:noFill/>
                          <a:ln w="9525">
                            <a:noFill/>
                            <a:headEnd/>
                            <a:tailEnd/>
                          </a:ln>
                        </pic:spPr>
                      </pic:pic>
                    </a:graphicData>
                  </a:graphic>
                </wp:inline>
              </w:drawing>
            </w:r>
            <w:bookmarkEnd w:id="31"/>
          </w:p>
          <w:p>
            <w:pPr>
              <w:jc w:val="center"/>
            </w:pPr>
            <w:pPr>
              <w:jc w:val="start"/>
              <w:spacing w:before="200"/>
              <w:pStyle w:val="ImageCaption"/>
            </w:pPr>
            <w:r>
              <w:t xml:space="preserve">Рисунок 2</w:t>
            </w:r>
          </w:p>
          <w:bookmarkEnd w:id="32"/>
        </w:tc>
      </w:tr>
    </w:tbl>
    <w:bookmarkEnd w:id="33"/>
    <w:bookmarkStart w:id="44" w:name="задача-2"/>
    <w:p>
      <w:pPr>
        <w:pStyle w:val="Heading2"/>
      </w:pPr>
      <w:r>
        <w:t xml:space="preserve">4.2 Задача №2</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r>
        <w:t xml:space="preserve"> </w:t>
      </w: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Параметры модели:</w:t>
      </w:r>
      <w:r>
        <w:t xml:space="preserve"> </w:t>
      </w:r>
      <w:r>
        <w:t xml:space="preserve">– для корабля первого типа:</w:t>
      </w:r>
      <w:r>
        <w:t xml:space="preserve"> </w:t>
      </w:r>
      <w:r>
        <w:t xml:space="preserve">– интервалприбытия:130±30мин;</w:t>
      </w:r>
      <w:r>
        <w:t xml:space="preserve"> </w:t>
      </w:r>
      <w:r>
        <w:t xml:space="preserve">– время входа в порт: 30 ± 7 мин;</w:t>
      </w:r>
      <w:r>
        <w:t xml:space="preserve"> </w:t>
      </w:r>
      <w:r>
        <w:t xml:space="preserve">– количество доступных причалов: 6;</w:t>
      </w:r>
      <w:r>
        <w:t xml:space="preserve"> </w:t>
      </w:r>
      <w:r>
        <w:t xml:space="preserve">– времяпогрузки/разгрузки:12±2час; – время выхода из порта: 20 ± 5 мин;</w:t>
      </w:r>
      <w:r>
        <w:t xml:space="preserve"> </w:t>
      </w:r>
      <w:r>
        <w:t xml:space="preserve">– для корабля второго типа:</w:t>
      </w:r>
      <w:r>
        <w:t xml:space="preserve"> </w:t>
      </w:r>
      <w:r>
        <w:t xml:space="preserve">– интервал прибытия:390±60мин;</w:t>
      </w:r>
      <w:r>
        <w:t xml:space="preserve"> </w:t>
      </w:r>
      <w:r>
        <w:t xml:space="preserve">– время входа в порт: 45 ± 12 мин;</w:t>
      </w:r>
      <w:r>
        <w:t xml:space="preserve"> </w:t>
      </w:r>
      <w:r>
        <w:t xml:space="preserve">– количество доступных причалов: 3;</w:t>
      </w:r>
      <w:r>
        <w:t xml:space="preserve"> </w:t>
      </w:r>
      <w:r>
        <w:t xml:space="preserve">– времяпогрузки/разгрузки:18±4час; – время выхода из порта: 35 ± 10 мин.</w:t>
      </w:r>
      <w:r>
        <w:t xml:space="preserve"> </w:t>
      </w:r>
      <w:r>
        <w:t xml:space="preserve">– время моделирования: 365 дней по 8 часов.</w:t>
      </w:r>
    </w:p>
    <w:p>
      <w:pPr>
        <w:pStyle w:val="BodyText"/>
      </w:pPr>
      <w:r>
        <w:t xml:space="preserve">Получаем отчет и анализируем его.</w:t>
      </w:r>
      <w:r>
        <w:t xml:space="preserve"> </w:t>
      </w:r>
      <w:r>
        <w:t xml:space="preserve">– модельное время в начале моделирования: START TIME=0.0;</w:t>
      </w:r>
      <w:r>
        <w:t xml:space="preserve"> </w:t>
      </w:r>
      <w:r>
        <w:t xml:space="preserve">– абсолютное время или момент, когда счетчик завершений принял значение 0:</w:t>
      </w:r>
      <w:r>
        <w:t xml:space="preserve"> </w:t>
      </w:r>
      <w:r>
        <w:t xml:space="preserve">END TIME=175200.0;</w:t>
      </w:r>
      <w:r>
        <w:t xml:space="preserve"> </w:t>
      </w:r>
      <w:r>
        <w:t xml:space="preserve">– количество блоков, использованных в текущей модели, к моменту завершения</w:t>
      </w:r>
      <w:r>
        <w:t xml:space="preserve"> </w:t>
      </w:r>
      <w:r>
        <w:t xml:space="preserve">моделирования: BLOCKS=28;</w:t>
      </w:r>
      <w:r>
        <w:t xml:space="preserve"> </w:t>
      </w:r>
      <w:r>
        <w:t xml:space="preserve">– количество одноканальных устройств, использованных в модели к моменту за-</w:t>
      </w:r>
      <w:r>
        <w:t xml:space="preserve"> </w:t>
      </w:r>
      <w:r>
        <w:t xml:space="preserve">вершения моделирования: FACILITIES=0;</w:t>
      </w:r>
      <w:r>
        <w:t xml:space="preserve"> </w:t>
      </w:r>
      <w:r>
        <w:t xml:space="preserve">– количество многоканальных устройств, использованных в текущей модели к мо-</w:t>
      </w:r>
      <w:r>
        <w:t xml:space="preserve"> </w:t>
      </w:r>
      <w:r>
        <w:t xml:space="preserve">менту завершения моделирования: STORAGES=3.</w:t>
      </w:r>
    </w:p>
    <w:p>
      <w:pPr>
        <w:pStyle w:val="BodyText"/>
      </w:pPr>
      <w:r>
        <w:t xml:space="preserve">Затем идёт информация об одноканальном устройстве FACILITY (оператор, оформляющий заказ), который здесь отсутсвует.</w:t>
      </w:r>
    </w:p>
    <w:p>
      <w:pPr>
        <w:pStyle w:val="BodyText"/>
      </w:pPr>
      <w:r>
        <w:t xml:space="preserve">Далее информация об очереди:</w:t>
      </w:r>
      <w:r>
        <w:t xml:space="preserve"> </w:t>
      </w:r>
      <w:r>
        <w:t xml:space="preserve">QUEUE=TYPE1 — имя объекта типа «очередь»;</w:t>
      </w:r>
      <w:r>
        <w:t xml:space="preserve"> </w:t>
      </w:r>
      <w:r>
        <w:t xml:space="preserve">MAX=4 — в очереди находилось не более 4 кораблей; CONT=0 — на момент завершения моделирования очередь была пуста; ENTRIES=1345 — общее число кораблей, прошедших через очередь в течение периода моделирования;</w:t>
      </w:r>
      <w:r>
        <w:t xml:space="preserve"> </w:t>
      </w:r>
      <w:r>
        <w:t xml:space="preserve">ENTRIES(O)=288 — число кораблей, попавших к оператору без ожидания в очереди;</w:t>
      </w:r>
      <w:r>
        <w:t xml:space="preserve"> </w:t>
      </w:r>
      <w:r>
        <w:t xml:space="preserve">AVE.CONT=0.75 кораблей в в среднем были в очереди; AVE.TIME=97.724 минут в среднем корабли провели в очереди (с учётом всех входов в очередь);</w:t>
      </w:r>
      <w:r>
        <w:t xml:space="preserve"> </w:t>
      </w:r>
      <w:r>
        <w:t xml:space="preserve">AVE.(–0)=124.351 минут в среднем корабли провели в очереди (без учета «нулевых» входов в очередь).</w:t>
      </w:r>
    </w:p>
    <w:p>
      <w:pPr>
        <w:pStyle w:val="BodyText"/>
      </w:pPr>
      <w:r>
        <w:t xml:space="preserve">QUEUE=TYPE2 — имя объекта типа «очередь»;</w:t>
      </w:r>
      <w:r>
        <w:t xml:space="preserve"> </w:t>
      </w:r>
      <w:r>
        <w:t xml:space="preserve">MAX=4 — в очереди находилось не более 4 кораблей; CONT=2 — на момент завершения моделирования в очереди было 2 корабля; ENTRIES=446 — общее число кораблей, прошедших через очередь в течение периода моделирования;</w:t>
      </w:r>
      <w:r>
        <w:t xml:space="preserve"> </w:t>
      </w:r>
      <w:r>
        <w:t xml:space="preserve">ENTRIES(O)=35 — число кораблей, попавших к оператору без ожидания в очереди;</w:t>
      </w:r>
      <w:r>
        <w:t xml:space="preserve"> </w:t>
      </w:r>
      <w:r>
        <w:t xml:space="preserve">AVE.CONT=0.897 кораблей в среднем были в очереди; AVE.TIME=352.553 минут в среднем корабли провели в очереди (с учётом всех входов в очередь);</w:t>
      </w:r>
      <w:r>
        <w:t xml:space="preserve"> </w:t>
      </w:r>
      <w:r>
        <w:t xml:space="preserve">AVE.(–0)=382.576 минут в среднем корабли провели в очереди (без учета «нулевых» входов в очередь).</w:t>
      </w:r>
    </w:p>
    <w:p>
      <w:pPr>
        <w:pStyle w:val="BodyText"/>
      </w:pPr>
      <w:r>
        <w:t xml:space="preserve">Видим три хранилища STORAGE = PRCH1, PRCH2, BUCKS со своими значениями: причалы и буксиры.</w:t>
      </w:r>
    </w:p>
    <w:p>
      <w:pPr>
        <w:pStyle w:val="BodyText"/>
      </w:pPr>
      <w:r>
        <w:t xml:space="preserve">В конце отчёта идёт информация о будущих событиях:</w:t>
      </w:r>
      <w:r>
        <w:t xml:space="preserve"> </w:t>
      </w:r>
      <w:r>
        <w:t xml:space="preserve">XN — порядковый номер корабля, ожидающей поступления;</w:t>
      </w:r>
      <w:r>
        <w:t xml:space="preserve"> </w:t>
      </w:r>
      <w:r>
        <w:t xml:space="preserve">PRI=0 — все клиенты (из заявки) равноправны;</w:t>
      </w:r>
      <w:r>
        <w:t xml:space="preserve"> </w:t>
      </w:r>
      <w:r>
        <w:t xml:space="preserve">BDT — время назначенного события, связанного с данным транзактом; ASSEM — номер семейства транзактов;</w:t>
      </w:r>
      <w:r>
        <w:t xml:space="preserve"> </w:t>
      </w:r>
      <w:r>
        <w:t xml:space="preserve">CURRENT — номера блоков, в которых находится транзакт;</w:t>
      </w:r>
      <w:r>
        <w:t xml:space="preserve"> </w:t>
      </w:r>
      <w:r>
        <w:t xml:space="preserve">NEXT — номера блоков, в который должен войти транзакт(</w:t>
      </w:r>
      <w:hyperlink w:anchor="fig-003">
        <w:r>
          <w:rPr>
            <w:rStyle w:val="Hyperlink"/>
          </w:rPr>
          <w:t xml:space="preserve">рис. 3</w:t>
        </w:r>
      </w:hyperlink>
      <w:r>
        <w:t xml:space="preserve">)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003"/>
          <w:p>
            <w:pPr>
              <w:pStyle w:val="Compact"/>
              <w:jc w:val="center"/>
            </w:pPr>
            <w:bookmarkStart w:id="37" w:name="fig-003"/>
            <w:r>
              <w:drawing>
                <wp:inline>
                  <wp:extent cx="3733800" cy="2673384"/>
                  <wp:effectExtent b="0" l="0" r="0" t="0"/>
                  <wp:docPr descr="" title="" id="35" name="Picture"/>
                  <a:graphic>
                    <a:graphicData uri="http://schemas.openxmlformats.org/drawingml/2006/picture">
                      <pic:pic>
                        <pic:nvPicPr>
                          <pic:cNvPr descr="image/3.png" id="36" name="Picture"/>
                          <pic:cNvPicPr>
                            <a:picLocks noChangeArrowheads="1" noChangeAspect="1"/>
                          </pic:cNvPicPr>
                        </pic:nvPicPr>
                        <pic:blipFill>
                          <a:blip r:embed="rId34"/>
                          <a:stretch>
                            <a:fillRect/>
                          </a:stretch>
                        </pic:blipFill>
                        <pic:spPr bwMode="auto">
                          <a:xfrm>
                            <a:off x="0" y="0"/>
                            <a:ext cx="3733800" cy="2673384"/>
                          </a:xfrm>
                          <a:prstGeom prst="rect">
                            <a:avLst/>
                          </a:prstGeom>
                          <a:noFill/>
                          <a:ln w="9525">
                            <a:noFill/>
                            <a:headEnd/>
                            <a:tailEnd/>
                          </a:ln>
                        </pic:spPr>
                      </pic:pic>
                    </a:graphicData>
                  </a:graphic>
                </wp:inline>
              </w:drawing>
            </w:r>
            <w:bookmarkEnd w:id="37"/>
          </w:p>
          <w:p>
            <w:pPr>
              <w:jc w:val="center"/>
            </w:pPr>
            <w:pPr>
              <w:jc w:val="start"/>
              <w:spacing w:before="200"/>
              <w:pStyle w:val="ImageCaption"/>
            </w:pPr>
            <w:r>
              <w:t xml:space="preserve">Рисунок 3</w:t>
            </w:r>
          </w:p>
          <w:bookmarkEnd w:id="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004"/>
          <w:p>
            <w:pPr>
              <w:pStyle w:val="Compact"/>
              <w:jc w:val="center"/>
            </w:pPr>
            <w:bookmarkStart w:id="42" w:name="fig-004"/>
            <w:r>
              <w:drawing>
                <wp:inline>
                  <wp:extent cx="3733800" cy="2676834"/>
                  <wp:effectExtent b="0" l="0" r="0" t="0"/>
                  <wp:docPr descr="" title="" id="40" name="Picture"/>
                  <a:graphic>
                    <a:graphicData uri="http://schemas.openxmlformats.org/drawingml/2006/picture">
                      <pic:pic>
                        <pic:nvPicPr>
                          <pic:cNvPr descr="image/4.png" id="41" name="Picture"/>
                          <pic:cNvPicPr>
                            <a:picLocks noChangeArrowheads="1" noChangeAspect="1"/>
                          </pic:cNvPicPr>
                        </pic:nvPicPr>
                        <pic:blipFill>
                          <a:blip r:embed="rId39"/>
                          <a:stretch>
                            <a:fillRect/>
                          </a:stretch>
                        </pic:blipFill>
                        <pic:spPr bwMode="auto">
                          <a:xfrm>
                            <a:off x="0" y="0"/>
                            <a:ext cx="3733800" cy="2676834"/>
                          </a:xfrm>
                          <a:prstGeom prst="rect">
                            <a:avLst/>
                          </a:prstGeom>
                          <a:noFill/>
                          <a:ln w="9525">
                            <a:noFill/>
                            <a:headEnd/>
                            <a:tailEnd/>
                          </a:ln>
                        </pic:spPr>
                      </pic:pic>
                    </a:graphicData>
                  </a:graphic>
                </wp:inline>
              </w:drawing>
            </w:r>
            <w:bookmarkEnd w:id="42"/>
          </w:p>
          <w:p>
            <w:pPr>
              <w:jc w:val="center"/>
            </w:pPr>
            <w:pPr>
              <w:jc w:val="start"/>
              <w:spacing w:before="200"/>
              <w:pStyle w:val="ImageCaption"/>
            </w:pPr>
            <w:r>
              <w:t xml:space="preserve">Рисунок 4</w:t>
            </w:r>
          </w:p>
          <w:bookmarkEnd w:id="43"/>
        </w:tc>
      </w:tr>
    </w:tbl>
    <w:bookmarkEnd w:id="44"/>
    <w:bookmarkEnd w:id="45"/>
    <w:bookmarkStart w:id="46" w:name="выводы"/>
    <w:p>
      <w:pPr>
        <w:pStyle w:val="Heading1"/>
      </w:pPr>
      <w:r>
        <w:t xml:space="preserve">5. Выводы</w:t>
      </w:r>
    </w:p>
    <w:p>
      <w:pPr>
        <w:pStyle w:val="FirstParagraph"/>
      </w:pPr>
      <w:r>
        <w:t xml:space="preserve">Мы ознакомились с работой с моделями обслуживания с приоритетами в GPSS. Реализовали две задачи:</w:t>
      </w:r>
    </w:p>
    <w:p>
      <w:pPr>
        <w:numPr>
          <w:ilvl w:val="0"/>
          <w:numId w:val="1002"/>
        </w:numPr>
      </w:pPr>
      <w:r>
        <w:t xml:space="preserve">Модель обслуживания механиков на складе</w:t>
      </w:r>
    </w:p>
    <w:p>
      <w:pPr>
        <w:numPr>
          <w:ilvl w:val="0"/>
          <w:numId w:val="1002"/>
        </w:numPr>
      </w:pPr>
      <w:r>
        <w:t xml:space="preserve">Модель обслуживания в порту судов двух типов</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Шубнякова Дарья НКНбд-01-22</dc:creator>
  <dc:language>ru-RU</dc:language>
  <cp:keywords/>
  <dcterms:created xsi:type="dcterms:W3CDTF">2025-09-14T12:12:00Z</dcterms:created>
  <dcterms:modified xsi:type="dcterms:W3CDTF">2025-09-14T12:12:00Z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cense">
    <vt:lpwstr/>
  </property>
  <property fmtid="{D5CDD505-2E9C-101B-9397-08002B2CF9AE}" pid="12" name="subtitle">
    <vt:lpwstr>Модели обслуживания с приоритетами</vt:lpwstr>
  </property>
  <property fmtid="{D5CDD505-2E9C-101B-9397-08002B2CF9AE}" pid="13" name="toc-title">
    <vt:lpwstr>Содержание</vt:lpwstr>
  </property>
</Properties>
</file>