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НКАбд-03-22</w:t>
      </w:r>
    </w:p>
    <w:p>
      <w:pPr>
        <w:pStyle w:val="Author"/>
      </w:pPr>
      <w:r>
        <w:t xml:space="preserve">Шубнякова</w:t>
      </w:r>
      <w:r>
        <w:t xml:space="preserve"> </w:t>
      </w:r>
      <w:r>
        <w:t xml:space="preserve">Дарья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язык текстовой разметки, созданный писателем и блогером Джоном Грубером. Он предназначен для создания красиво оформленных текстов в обычных файлах формата TXT. Вам не нужны громоздкие процессоры вроде Word или Pages, чтобы создавать документы с жирным или курсивным начертанием, цитатами, ссылками и даже таблицами. Достаточно запомнить простые правила Markdown, и можно писать хоть в «Блокноте». Хотя специализированные Markdown-редакторы, конечно, намного удобнее.</w:t>
      </w:r>
      <w:r>
        <w:t xml:space="preserve"> </w:t>
      </w:r>
      <w:r>
        <w:t xml:space="preserve">Чтобы создать заголовок, используем знак #.</w:t>
      </w:r>
      <w:r>
        <w:t xml:space="preserve"> </w:t>
      </w:r>
      <w:r>
        <w:rPr>
          <w:bCs/>
          <w:b/>
        </w:rPr>
        <w:t xml:space="preserve">Полужирное</w:t>
      </w:r>
      <w:r>
        <w:t xml:space="preserve"> </w:t>
      </w:r>
      <w:r>
        <w:t xml:space="preserve">написание – слово выделяется двумя звездочками **.</w:t>
      </w:r>
      <w:r>
        <w:t xml:space="preserve"> </w:t>
      </w:r>
      <w:r>
        <w:rPr>
          <w:iCs/>
          <w:i/>
        </w:rPr>
        <w:t xml:space="preserve">Курсивное</w:t>
      </w:r>
      <w:r>
        <w:t xml:space="preserve"> </w:t>
      </w:r>
      <w:r>
        <w:t xml:space="preserve">написание – слово выделяется одной звездочкой</w:t>
      </w:r>
      <w:r>
        <w:t xml:space="preserve"> </w:t>
      </w:r>
      <w:r>
        <w:rPr>
          <w:iCs/>
          <w:i/>
        </w:rPr>
        <w:t xml:space="preserve">. Три звездочки для полужирного и курсивного написания. Блок цитирования начинается со знака &gt;. Маркированный список: перед каждым элементом ставим либо -, либо</w:t>
      </w:r>
      <w:r>
        <w:rPr>
          <w:iCs/>
          <w:i/>
        </w:rPr>
        <w:t xml:space="preserve"> </w:t>
      </w:r>
      <w:r>
        <w:t xml:space="preserve">. Чтобы сделать список в списке добавляем отступ для элементов вложенного списка. Пронумерованный список оформляется цифрой с точкой.</w:t>
      </w:r>
    </w:p>
    <w:p>
      <w:pPr>
        <w:pStyle w:val="BodyText"/>
      </w:pPr>
      <w:r>
        <w:t xml:space="preserve">Структура отчёта</w:t>
      </w:r>
      <w:r>
        <w:t xml:space="preserve"> </w:t>
      </w:r>
      <w:r>
        <w:t xml:space="preserve">Согласно ГОСТ 7.32-2001, любая научно-исследовательская работа должна обязательно</w:t>
      </w:r>
      <w:r>
        <w:t xml:space="preserve"> </w:t>
      </w:r>
      <w:r>
        <w:t xml:space="preserve">содержать следующие элементы:</w:t>
      </w:r>
      <w:r>
        <w:t xml:space="preserve"> </w:t>
      </w:r>
      <w:r>
        <w:t xml:space="preserve">– титульный лист;</w:t>
      </w:r>
      <w:r>
        <w:t xml:space="preserve"> </w:t>
      </w:r>
      <w:r>
        <w:t xml:space="preserve">– реферат;</w:t>
      </w:r>
      <w:r>
        <w:t xml:space="preserve"> </w:t>
      </w:r>
      <w:r>
        <w:t xml:space="preserve">– введение;</w:t>
      </w:r>
      <w:r>
        <w:t xml:space="preserve"> </w:t>
      </w:r>
      <w:r>
        <w:t xml:space="preserve">– основную часть;</w:t>
      </w:r>
      <w:r>
        <w:t xml:space="preserve"> </w:t>
      </w:r>
      <w:r>
        <w:t xml:space="preserve">– заключение.</w:t>
      </w:r>
      <w:r>
        <w:t xml:space="preserve"> </w:t>
      </w:r>
      <w:r>
        <w:t xml:space="preserve">Также ГОСТ рекомендует включить в работу и такие элементы:</w:t>
      </w:r>
      <w:r>
        <w:t xml:space="preserve"> </w:t>
      </w:r>
      <w:r>
        <w:t xml:space="preserve">– список исполнителей;</w:t>
      </w:r>
      <w:r>
        <w:t xml:space="preserve"> </w:t>
      </w:r>
      <w:r>
        <w:t xml:space="preserve">– содержание;</w:t>
      </w:r>
      <w:r>
        <w:t xml:space="preserve"> </w:t>
      </w:r>
      <w:r>
        <w:t xml:space="preserve">– нормативные ссылки;</w:t>
      </w:r>
      <w:r>
        <w:t xml:space="preserve"> </w:t>
      </w:r>
      <w:r>
        <w:t xml:space="preserve">– определения;</w:t>
      </w:r>
      <w:r>
        <w:t xml:space="preserve"> </w:t>
      </w:r>
      <w:r>
        <w:t xml:space="preserve">– обозначения и сокращения;</w:t>
      </w:r>
      <w:r>
        <w:t xml:space="preserve"> </w:t>
      </w:r>
      <w:r>
        <w:t xml:space="preserve">– список использованных источников;</w:t>
      </w:r>
      <w:r>
        <w:t xml:space="preserve"> </w:t>
      </w:r>
      <w:r>
        <w:t xml:space="preserve">– приложения.</w:t>
      </w:r>
      <w:r>
        <w:t xml:space="preserve"> </w:t>
      </w:r>
      <w:r>
        <w:t xml:space="preserve">Если вы проводите сложную работу, выполняемую в несколько этапов, то вам может</w:t>
      </w:r>
      <w:r>
        <w:t xml:space="preserve"> </w:t>
      </w:r>
      <w:r>
        <w:t xml:space="preserve">понадобиться включить в работу часть или все элементы второго списка.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Мною уже был составлен отчет в формате Markdown в ходе выполнения второй лабораторной работы.</w:t>
      </w:r>
    </w:p>
    <w:p>
      <w:pPr>
        <w:pStyle w:val="CaptionedFigure"/>
      </w:pPr>
      <w:r>
        <w:drawing>
          <wp:inline>
            <wp:extent cx="3733800" cy="2577133"/>
            <wp:effectExtent b="0" l="0" r="0" t="0"/>
            <wp:docPr descr="Начало написанного отчета по второй лабораторной работе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7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Начало написанного отчета по второй лабораторной работе</w:t>
      </w:r>
    </w:p>
    <w:p>
      <w:pPr>
        <w:pStyle w:val="BodyText"/>
      </w:pPr>
      <w:r>
        <w:t xml:space="preserve">А также с помощью файлов pandoc и команды make я сконвертировала их в pdf и docx, после чего отправила в свой репозиторий на github.</w:t>
      </w:r>
    </w:p>
    <w:p>
      <w:pPr>
        <w:pStyle w:val="CaptionedFigure"/>
      </w:pPr>
      <w:r>
        <w:drawing>
          <wp:inline>
            <wp:extent cx="3733800" cy="2340901"/>
            <wp:effectExtent b="0" l="0" r="0" t="0"/>
            <wp:docPr descr="Преобразованные из report.md файлы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0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Преобразованные из report.md файлы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проведенной лабораторной работы мы познакомились с языком разметки Markdown. А также воспользовались Pandoc для конвертации нашей работы в форматы pdf и docx.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Dash P. Getting started with oracle vm virtualbox. Packt Publishing Ltd, 2013. 86 p.</w:t>
      </w:r>
    </w:p>
    <w:p>
      <w:pPr>
        <w:numPr>
          <w:ilvl w:val="0"/>
          <w:numId w:val="1002"/>
        </w:numPr>
        <w:pStyle w:val="Compact"/>
      </w:pPr>
      <w:r>
        <w:t xml:space="preserve">Colvin H. Virtualbox: An ultimate guide book on virtualization with virtualbox. CreateSpace Independent Publishing Platform, 2015. 70 p.</w:t>
      </w:r>
    </w:p>
    <w:p>
      <w:pPr>
        <w:numPr>
          <w:ilvl w:val="0"/>
          <w:numId w:val="1002"/>
        </w:numPr>
        <w:pStyle w:val="Compact"/>
      </w:pPr>
      <w:r>
        <w:t xml:space="preserve">van Vugt S. Red hat rhcsa/rhce 7 cert guide : Red hat enterprise linux 7 (ex200 and ex300). Pearson IT Certification, 2016. 1008 p.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2-е изд. Санкт-Петербург: БХВ-Петербург, 2010. 656 p.</w:t>
      </w:r>
    </w:p>
    <w:p>
      <w:pPr>
        <w:numPr>
          <w:ilvl w:val="0"/>
          <w:numId w:val="1002"/>
        </w:numPr>
        <w:pStyle w:val="Compact"/>
      </w:pPr>
      <w:r>
        <w:t xml:space="preserve">Немет Э. et al. Unix и Linux: руководство системного администратора. 4-е изд. Вильямс, 2014. 1312 p.</w:t>
      </w:r>
    </w:p>
    <w:p>
      <w:pPr>
        <w:numPr>
          <w:ilvl w:val="0"/>
          <w:numId w:val="1002"/>
        </w:numPr>
        <w:pStyle w:val="Compact"/>
      </w:pPr>
      <w:r>
        <w:t xml:space="preserve">Колисниченко Д.Н. Самоучитель системного администратора Linux. СПб.: БХВ-Петербург, 2011. 544 p.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O’Reilly Media, 2016. 156 p.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Шубнякова Дарья</dc:creator>
  <dc:language>ru-RU</dc:language>
  <cp:keywords/>
  <dcterms:created xsi:type="dcterms:W3CDTF">2023-09-01T22:59:26Z</dcterms:created>
  <dcterms:modified xsi:type="dcterms:W3CDTF">2023-09-01T22:59:26Z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НКАбд-03-22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