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3b8405fe93c484a98dfb24adc0715c2ee30f6c"/>
    <w:p>
      <w:pPr>
        <w:pStyle w:val="Heading1"/>
      </w:pPr>
      <w:r>
        <w:t xml:space="preserve">Bold Systems – Email 2 (Enhanced Voter Mapping Tools)</w:t>
      </w:r>
    </w:p>
    <w:p>
      <w:pPr>
        <w:pStyle w:val="FirstParagraph"/>
      </w:pPr>
      <w:r>
        <w:rPr>
          <w:b/>
          <w:bCs/>
        </w:rPr>
        <w:t xml:space="preserve">Subject line options</w:t>
      </w:r>
      <w:r>
        <w:t xml:space="preserve"> </w:t>
      </w:r>
      <w:r>
        <w:rPr>
          <w:i/>
          <w:iCs/>
        </w:rPr>
        <w:t xml:space="preserve">(replaces prior hero headline:</w:t>
      </w:r>
      <w:r>
        <w:rPr>
          <w:i/>
          <w:iCs/>
        </w:rPr>
        <w:t xml:space="preserve"> </w:t>
      </w:r>
      <w:r>
        <w:rPr>
          <w:i/>
          <w:iCs/>
        </w:rPr>
        <w:t xml:space="preserve">“Only 231 Days Until Your Next Budget Vote”</w:t>
      </w:r>
      <w:r>
        <w:rPr>
          <w:i/>
          <w:iCs/>
        </w:rPr>
        <w:t xml:space="preserve">)</w:t>
      </w:r>
    </w:p>
    <w:p>
      <w:pPr>
        <w:pStyle w:val="Compact"/>
        <w:numPr>
          <w:ilvl w:val="0"/>
          <w:numId w:val="1001"/>
        </w:numPr>
      </w:pPr>
      <w:r>
        <w:t xml:space="preserve">Explore Our New Voter Mapping Tools</w:t>
      </w:r>
    </w:p>
    <w:p>
      <w:pPr>
        <w:pStyle w:val="Compact"/>
        <w:numPr>
          <w:ilvl w:val="0"/>
          <w:numId w:val="1001"/>
        </w:numPr>
      </w:pPr>
      <w:r>
        <w:t xml:space="preserve">Your District, Mapped &amp; Ready for Election Day</w:t>
      </w:r>
    </w:p>
    <w:p>
      <w:pPr>
        <w:pStyle w:val="FirstParagraph"/>
      </w:pPr>
      <w:r>
        <w:rPr>
          <w:b/>
          <w:bCs/>
        </w:rPr>
        <w:t xml:space="preserve">Preheader</w:t>
      </w:r>
      <w:r>
        <w:t xml:space="preserve"> </w:t>
      </w:r>
      <w:r>
        <w:rPr>
          <w:i/>
          <w:iCs/>
        </w:rPr>
        <w:t xml:space="preserve">(sits in hidden inbox preview, not visible in body)</w:t>
      </w:r>
      <w:r>
        <w:br/>
      </w:r>
      <w:r>
        <w:t xml:space="preserve">See how Bold’s new voter mapping features simplify zoning, turnout analysis, and Election Day logistics.</w:t>
      </w:r>
    </w:p>
    <w:bookmarkStart w:id="20" w:name="X03f8e9103ca61c1a5fd39c399a4287e30db81c8"/>
    <w:p>
      <w:pPr>
        <w:pStyle w:val="Heading2"/>
      </w:pPr>
      <w:r>
        <w:t xml:space="preserve">Intro Block</w:t>
      </w:r>
      <w:r>
        <w:t xml:space="preserve"> </w:t>
      </w:r>
      <w:r>
        <w:rPr>
          <w:i/>
          <w:iCs/>
        </w:rPr>
        <w:t xml:space="preserve">(replaces prior</w:t>
      </w:r>
      <w:r>
        <w:rPr>
          <w:i/>
          <w:iCs/>
        </w:rPr>
        <w:t xml:space="preserve"> </w:t>
      </w:r>
      <w:r>
        <w:rPr>
          <w:i/>
          <w:iCs/>
        </w:rPr>
        <w:t xml:space="preserve">“Ready or Not, Your Budget Vote Is Coming!”</w:t>
      </w:r>
      <w:r>
        <w:rPr>
          <w:i/>
          <w:iCs/>
        </w:rPr>
        <w:t xml:space="preserve"> </w:t>
      </w:r>
      <w:r>
        <w:rPr>
          <w:i/>
          <w:iCs/>
        </w:rPr>
        <w:t xml:space="preserve">intro paragraph)</w:t>
      </w:r>
    </w:p>
    <w:bookmarkEnd w:id="20"/>
    <w:bookmarkStart w:id="21" w:name="X65e302e45b00302feace530054c502afe711794"/>
    <w:p>
      <w:pPr>
        <w:pStyle w:val="Heading2"/>
      </w:pPr>
      <w:r>
        <w:t xml:space="preserve">**Election planning doesn’t have to be a guessing game. **</w:t>
      </w:r>
    </w:p>
    <w:p>
      <w:pPr>
        <w:pStyle w:val="FirstParagraph"/>
      </w:pPr>
      <w:r>
        <w:t xml:space="preserve">Bold’s new mapping tools help you visualize districts, zoning, and turnout so your team is prepared long before polls open. With clear maps and data at your fingertips, you can plan polling locations with confidence and avoid last‑minute surprises, making Election Day smoother for staff and voters alike.</w:t>
      </w:r>
    </w:p>
    <w:bookmarkEnd w:id="21"/>
    <w:bookmarkStart w:id="22" w:name="X530767634e6158483b092d65459238bf29ebe0f"/>
    <w:p>
      <w:pPr>
        <w:pStyle w:val="Heading2"/>
      </w:pPr>
      <w:r>
        <w:t xml:space="preserve">Credibility / Social Proof</w:t>
      </w:r>
      <w:r>
        <w:t xml:space="preserve"> </w:t>
      </w:r>
      <w:r>
        <w:rPr>
          <w:i/>
          <w:iCs/>
        </w:rPr>
        <w:t xml:space="preserve">(maps to</w:t>
      </w:r>
      <w:r>
        <w:rPr>
          <w:i/>
          <w:iCs/>
        </w:rPr>
        <w:t xml:space="preserve"> </w:t>
      </w:r>
      <w:r>
        <w:rPr>
          <w:i/>
          <w:iCs/>
        </w:rPr>
        <w:t xml:space="preserve">“Trusted by districts across New York”</w:t>
      </w:r>
      <w:r>
        <w:rPr>
          <w:i/>
          <w:iCs/>
        </w:rPr>
        <w:t xml:space="preserve"> </w:t>
      </w:r>
      <w:r>
        <w:rPr>
          <w:i/>
          <w:iCs/>
        </w:rPr>
        <w:t xml:space="preserve">paragraph following hero image)</w:t>
      </w:r>
    </w:p>
    <w:p>
      <w:pPr>
        <w:pStyle w:val="FirstParagraph"/>
      </w:pPr>
      <w:r>
        <w:rPr>
          <w:b/>
          <w:bCs/>
        </w:rPr>
        <w:t xml:space="preserve">Trusted by districts across New York.</w:t>
      </w:r>
      <w:r>
        <w:t xml:space="preserve"> </w:t>
      </w:r>
      <w:r>
        <w:t xml:space="preserve">With over 25 years of experience, Bold Systems supports more than</w:t>
      </w:r>
      <w:r>
        <w:t xml:space="preserve"> </w:t>
      </w:r>
      <w:r>
        <w:rPr>
          <w:b/>
          <w:bCs/>
        </w:rPr>
        <w:t xml:space="preserve">215 school districts</w:t>
      </w:r>
      <w:r>
        <w:t xml:space="preserve"> </w:t>
      </w:r>
      <w:r>
        <w:t xml:space="preserve">statewide, delivering secure, reliable, and innovative election solutions. We maintain long-standing partnerships with BOCES, and our solutions are fully aid-eligible, ensuring districts maximize both support and savings. </w:t>
      </w:r>
    </w:p>
    <w:bookmarkEnd w:id="22"/>
    <w:bookmarkStart w:id="23" w:name="Xcd25ed59d009d3ab5d8a6b53f9041f8ae8bf4fe"/>
    <w:p>
      <w:pPr>
        <w:pStyle w:val="Heading2"/>
      </w:pPr>
      <w:r>
        <w:t xml:space="preserve">Benefits (Bulleted Feature Proof)</w:t>
      </w:r>
      <w:r>
        <w:t xml:space="preserve"> </w:t>
      </w:r>
      <w:r>
        <w:rPr>
          <w:i/>
          <w:iCs/>
        </w:rPr>
        <w:t xml:space="preserve">(replaces prior multi‑icon benefits section on Compliance, Absentee, Training, Support)</w:t>
      </w:r>
    </w:p>
    <w:p>
      <w:pPr>
        <w:pStyle w:val="Compact"/>
        <w:numPr>
          <w:ilvl w:val="0"/>
          <w:numId w:val="1002"/>
        </w:numPr>
      </w:pPr>
      <w:r>
        <w:rPr>
          <w:b/>
          <w:bCs/>
        </w:rPr>
        <w:t xml:space="preserve">Street‑level mapping</w:t>
      </w:r>
      <w:r>
        <w:t xml:space="preserve"> </w:t>
      </w:r>
      <w:r>
        <w:t xml:space="preserve">of polling locations and district zones</w:t>
      </w:r>
    </w:p>
    <w:p>
      <w:pPr>
        <w:pStyle w:val="Compact"/>
        <w:numPr>
          <w:ilvl w:val="0"/>
          <w:numId w:val="1002"/>
        </w:numPr>
      </w:pPr>
      <w:r>
        <w:rPr>
          <w:b/>
          <w:bCs/>
        </w:rPr>
        <w:t xml:space="preserve">Voter history pre‑loaded</w:t>
      </w:r>
      <w:r>
        <w:t xml:space="preserve"> </w:t>
      </w:r>
      <w:r>
        <w:t xml:space="preserve">for advanced turnout and demographic analysis</w:t>
      </w:r>
    </w:p>
    <w:p>
      <w:pPr>
        <w:pStyle w:val="Compact"/>
        <w:numPr>
          <w:ilvl w:val="0"/>
          <w:numId w:val="1002"/>
        </w:numPr>
      </w:pPr>
      <w:r>
        <w:rPr>
          <w:b/>
          <w:bCs/>
        </w:rPr>
        <w:t xml:space="preserve">Interactive dashboards</w:t>
      </w:r>
      <w:r>
        <w:t xml:space="preserve"> </w:t>
      </w:r>
      <w:r>
        <w:t xml:space="preserve">to monitor participation and identify trends</w:t>
      </w:r>
    </w:p>
    <w:p>
      <w:pPr>
        <w:pStyle w:val="Compact"/>
        <w:numPr>
          <w:ilvl w:val="0"/>
          <w:numId w:val="1002"/>
        </w:numPr>
      </w:pPr>
      <w:r>
        <w:rPr>
          <w:b/>
          <w:bCs/>
        </w:rPr>
        <w:t xml:space="preserve">Check-in data visualization</w:t>
      </w:r>
      <w:r>
        <w:t xml:space="preserve"> </w:t>
      </w:r>
      <w:r>
        <w:t xml:space="preserve">to show exactly where voters are coming from</w:t>
      </w:r>
    </w:p>
    <w:p>
      <w:pPr>
        <w:pStyle w:val="FirstParagraph"/>
      </w:pPr>
      <w:r>
        <w:rPr>
          <w:b/>
          <w:bCs/>
        </w:rPr>
        <w:t xml:space="preserve">Secondary CTA (button + text link):</w:t>
      </w:r>
      <w:r>
        <w:br/>
      </w:r>
      <w:r>
        <w:rPr>
          <w:b/>
          <w:bCs/>
        </w:rPr>
        <w:t xml:space="preserve">See Mapping in Action</w:t>
      </w:r>
      <w:r>
        <w:t xml:space="preserve"> - Have this replace</w:t>
      </w:r>
      <w:r>
        <w:t xml:space="preserve"> </w:t>
      </w:r>
      <w:r>
        <w:t xml:space="preserve">“Schedule a Demo Today”</w:t>
      </w:r>
      <w:r>
        <w:br/>
      </w:r>
      <w:r>
        <w:t xml:space="preserve">Link: [DEMO_LINK]</w:t>
      </w:r>
    </w:p>
    <w:p>
      <w:r>
        <w:pict>
          <v:rect style="width:0;height:1.5pt" o:hralign="center" o:hrstd="t" o:hr="t"/>
        </w:pict>
      </w:r>
    </w:p>
    <w:bookmarkEnd w:id="23"/>
    <w:bookmarkStart w:id="27" w:name="X4c21a5fdb5471a933410de6bf235c6a3446bf82"/>
    <w:p>
      <w:pPr>
        <w:pStyle w:val="Heading2"/>
      </w:pPr>
      <w:r>
        <w:t xml:space="preserve">Footer (Links &amp; Contact)</w:t>
      </w:r>
      <w:r>
        <w:t xml:space="preserve"> </w:t>
      </w:r>
      <w:r>
        <w:rPr>
          <w:i/>
          <w:iCs/>
        </w:rPr>
        <w:t xml:space="preserve">(matches existing footer: logo, contact info, copyright)</w:t>
      </w:r>
    </w:p>
    <w:p>
      <w:pPr>
        <w:pStyle w:val="FirstParagraph"/>
      </w:pPr>
      <w:r>
        <w:t xml:space="preserve">Website:</w:t>
      </w:r>
      <w:r>
        <w:t xml:space="preserve"> </w:t>
      </w:r>
      <w:hyperlink r:id="rId24">
        <w:r>
          <w:rPr>
            <w:rStyle w:val="Hyperlink"/>
            <w:b/>
            <w:bCs/>
          </w:rPr>
          <w:t xml:space="preserve">www.boldsys.com</w:t>
        </w:r>
      </w:hyperlink>
      <w:r>
        <w:br/>
      </w:r>
      <w:r>
        <w:t xml:space="preserve">Email:</w:t>
      </w:r>
      <w:r>
        <w:t xml:space="preserve"> </w:t>
      </w:r>
      <w:hyperlink r:id="rId25">
        <w:r>
          <w:rPr>
            <w:rStyle w:val="Hyperlink"/>
            <w:b/>
            <w:bCs/>
          </w:rPr>
          <w:t xml:space="preserve">mailbox@boldsys.com</w:t>
        </w:r>
      </w:hyperlink>
      <w:r>
        <w:br/>
      </w:r>
      <w:r>
        <w:t xml:space="preserve">© 2025 Bold Systems, LLC</w:t>
      </w:r>
    </w:p>
    <w:p>
      <w:r>
        <w:pict>
          <v:rect style="width:0;height:1.5pt" o:hralign="center" o:hrstd="t" o:hr="t"/>
        </w:pict>
      </w:r>
    </w:p>
    <w:bookmarkStart w:id="26" w:name="notes-for-designproduction"/>
    <w:p>
      <w:pPr>
        <w:pStyle w:val="Heading3"/>
      </w:pPr>
      <w:r>
        <w:t xml:space="preserve">Notes for Design/Production</w:t>
      </w:r>
    </w:p>
    <w:p>
      <w:pPr>
        <w:pStyle w:val="Compact"/>
        <w:numPr>
          <w:ilvl w:val="0"/>
          <w:numId w:val="1003"/>
        </w:numPr>
      </w:pPr>
      <w:r>
        <w:t xml:space="preserve">Follow same blue hero band and layout from base HTML.</w:t>
      </w:r>
    </w:p>
    <w:p>
      <w:pPr>
        <w:pStyle w:val="Compact"/>
        <w:numPr>
          <w:ilvl w:val="0"/>
          <w:numId w:val="1003"/>
        </w:numPr>
      </w:pPr>
      <w:r>
        <w:t xml:space="preserve">Include clear callouts for mapping screenshots or district map visuals.</w:t>
      </w:r>
    </w:p>
    <w:p>
      <w:pPr>
        <w:pStyle w:val="Compact"/>
        <w:numPr>
          <w:ilvl w:val="0"/>
          <w:numId w:val="1003"/>
        </w:numPr>
      </w:pPr>
      <w:r>
        <w:t xml:space="preserve">Use live‑text CTAs</w:t>
      </w:r>
      <w:r>
        <w:t xml:space="preserve"> </w:t>
      </w:r>
      <w:r>
        <w:rPr>
          <w:b/>
          <w:bCs/>
        </w:rPr>
        <w:t xml:space="preserve">in addition to</w:t>
      </w:r>
      <w:r>
        <w:t xml:space="preserve"> </w:t>
      </w:r>
      <w:r>
        <w:t xml:space="preserve">buttons for deliverability.</w:t>
      </w:r>
    </w:p>
    <w:p>
      <w:pPr>
        <w:pStyle w:val="Compact"/>
        <w:numPr>
          <w:ilvl w:val="0"/>
          <w:numId w:val="1003"/>
        </w:numPr>
      </w:pPr>
      <w:r>
        <w:t xml:space="preserve">Add descriptive ALT text to images (e.g.,</w:t>
      </w:r>
      <w:r>
        <w:t xml:space="preserve"> </w:t>
      </w:r>
      <w:r>
        <w:t xml:space="preserve">“Preview of Bold voter mapping dashboard”</w:t>
      </w:r>
      <w:r>
        <w:t xml:space="preserve">).</w:t>
      </w:r>
    </w:p>
    <w:p>
      <w:pPr>
        <w:pStyle w:val="Compact"/>
        <w:numPr>
          <w:ilvl w:val="0"/>
          <w:numId w:val="1003"/>
        </w:numPr>
      </w:pPr>
      <w:r>
        <w:t xml:space="preserve">Replace</w:t>
      </w:r>
      <w:r>
        <w:t xml:space="preserve"> </w:t>
      </w:r>
      <w:r>
        <w:rPr>
          <w:b/>
          <w:bCs/>
        </w:rPr>
        <w:t xml:space="preserve">[DEMO_LINK]</w:t>
      </w:r>
      <w:r>
        <w:t xml:space="preserve"> </w:t>
      </w:r>
      <w:r>
        <w:t xml:space="preserve">with Calendly or preferred demo scheduling URL.</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hyperlink" Target="mailto:mailbox@boldsy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www.boldsys.com" TargetMode="External"/><Relationship Id="rId5" Type="http://schemas.openxmlformats.org/officeDocument/2006/relationships/fontTable" Target="fontTable.xml"/><Relationship Id="rId28" Type="http://schemas.openxmlformats.org/officeDocument/2006/relationships/customXml" Target="../customXml/item3.xml"/><Relationship Id="rId4" Type="http://schemas.openxmlformats.org/officeDocument/2006/relationships/webSettings" Target="webSettings.xml"/><Relationship Id="rId27"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www.boldsys.com" TargetMode="External" /><Relationship Type="http://schemas.openxmlformats.org/officeDocument/2006/relationships/hyperlink" Id="rId25" Target="mailto:mailbox@boldsy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AED5D1735B0D44B13ADA915F710F7F" ma:contentTypeVersion="10" ma:contentTypeDescription="Create a new document." ma:contentTypeScope="" ma:versionID="21b90e448d0a02cbae67b984c9f94261">
  <xsd:schema xmlns:xsd="http://www.w3.org/2001/XMLSchema" xmlns:xs="http://www.w3.org/2001/XMLSchema" xmlns:p="http://schemas.microsoft.com/office/2006/metadata/properties" xmlns:ns2="f7259955-00fd-4210-9f2e-b510ce32ddad" xmlns:ns3="19f3b775-26c2-4f0a-b9e2-7521c54b05ef" targetNamespace="http://schemas.microsoft.com/office/2006/metadata/properties" ma:root="true" ma:fieldsID="0b11998e1bedc6686e358a7f4beda56e" ns2:_="" ns3:_="">
    <xsd:import namespace="f7259955-00fd-4210-9f2e-b510ce32ddad"/>
    <xsd:import namespace="19f3b775-26c2-4f0a-b9e2-7521c54b05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259955-00fd-4210-9f2e-b510ce32d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ea6eb4c-4ecf-423f-b30e-3633b73fbae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3b775-26c2-4f0a-b9e2-7521c54b05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e4be0f-f12c-47f2-803f-2a5c694714be}" ma:internalName="TaxCatchAll" ma:showField="CatchAllData" ma:web="19f3b775-26c2-4f0a-b9e2-7521c54b05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9f3b775-26c2-4f0a-b9e2-7521c54b05ef" xsi:nil="true"/>
    <lcf76f155ced4ddcb4097134ff3c332f xmlns="f7259955-00fd-4210-9f2e-b510ce32dd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6FFAB6-D1BC-406B-A704-0A26276C89D5}"/>
</file>

<file path=customXml/itemProps2.xml><?xml version="1.0" encoding="utf-8"?>
<ds:datastoreItem xmlns:ds="http://schemas.openxmlformats.org/officeDocument/2006/customXml" ds:itemID="{79646E6C-99B0-44FB-98AC-62F46A400EC0}"/>
</file>

<file path=customXml/itemProps3.xml><?xml version="1.0" encoding="utf-8"?>
<ds:datastoreItem xmlns:ds="http://schemas.openxmlformats.org/officeDocument/2006/customXml" ds:itemID="{F3522BFA-71AB-4BBC-9B7B-F8547946C4D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2025-09-30T18:46:24Z</dcterms:created>
  <dcterms:modified xsi:type="dcterms:W3CDTF">2025-09-30T18:46:24Z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0x010100C3AED5D1735B0D44B13ADA915F710F7F</vt:lpwstr>
  </property>
</Properties>
</file>