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2"/>
        </w:rPr>
        <w:t>总体国家安全观视域下政府数据开放平台的数据主权安全风险评估</w:t>
      </w:r>
    </w:p>
    <w:p>
      <w:pPr>
        <w:pStyle w:val="Heading1"/>
      </w:pPr>
      <w:r>
        <w:rPr>
          <w:rFonts w:ascii="黑体" w:hAnsi="黑体" w:eastAsia="黑体"/>
          <w:b/>
          <w:sz w:val="28"/>
        </w:rPr>
        <w:t>——基于23个省级平台的实证研究</w:t>
      </w:r>
    </w:p>
    <w:p>
      <w:pPr>
        <w:pStyle w:val="Heading1"/>
      </w:pPr>
      <w:r>
        <w:rPr>
          <w:rFonts w:ascii="黑体" w:hAnsi="黑体" w:eastAsia="黑体"/>
          <w:b/>
          <w:sz w:val="28"/>
        </w:rPr>
        <w:t>摘要</w:t>
      </w:r>
    </w:p>
    <w:p>
      <w:pPr>
        <w:spacing w:line="360" w:lineRule="auto" w:after="120"/>
        <w:ind w:firstLine="432"/>
      </w:pPr>
      <w:r>
        <w:rPr>
          <w:rFonts w:ascii="宋体" w:hAnsi="宋体" w:eastAsia="宋体"/>
          <w:b w:val="0"/>
          <w:sz w:val="21"/>
        </w:rPr>
      </w:r>
      <w:r>
        <w:rPr>
          <w:rFonts w:ascii="宋体" w:hAnsi="宋体" w:eastAsia="宋体"/>
          <w:b/>
          <w:sz w:val="21"/>
        </w:rPr>
        <w:t>【目的/意义】</w:t>
      </w:r>
      <w:r>
        <w:rPr>
          <w:rFonts w:ascii="宋体" w:hAnsi="宋体" w:eastAsia="宋体"/>
          <w:b w:val="0"/>
          <w:sz w:val="21"/>
        </w:rPr>
        <w:t xml:space="preserve"> 总体国家安全观将数据安全提升至国家战略高度。政府数据开放平台作为公共数据汇聚和流通的重要节点，其数据主权安全风险尚未得到系统性关注。本文基于冉从敬教授提出的数据主权安全理论框架，构建面向政府数据开放平台的数据主权安全风险评估模型，为平台安全治理提供理论工具和实践指引。</w:t>
      </w:r>
    </w:p>
    <w:p>
      <w:pPr>
        <w:spacing w:line="360" w:lineRule="auto" w:after="120"/>
        <w:ind w:firstLine="432"/>
      </w:pPr>
      <w:r>
        <w:rPr>
          <w:rFonts w:ascii="宋体" w:hAnsi="宋体" w:eastAsia="宋体"/>
          <w:b w:val="0"/>
          <w:sz w:val="21"/>
        </w:rPr>
      </w:r>
      <w:r>
        <w:rPr>
          <w:rFonts w:ascii="宋体" w:hAnsi="宋体" w:eastAsia="宋体"/>
          <w:b/>
          <w:sz w:val="21"/>
        </w:rPr>
        <w:t>【方法/过程】</w:t>
      </w:r>
      <w:r>
        <w:rPr>
          <w:rFonts w:ascii="宋体" w:hAnsi="宋体" w:eastAsia="宋体"/>
          <w:b w:val="0"/>
          <w:sz w:val="21"/>
        </w:rPr>
        <w:t xml:space="preserve"> 采用"识别-评估-验证"三阶段研究方法。首先，基于冉从敬"数据主权安全"理论，构建包含"数据管辖权风险、数据控制权风险、数据收益权风险"三个维度的评估指标体系；其次，运用内容分析法对23个省级政府数据开放平台的政策文本、数据集目录、用户协议进行编码分析；最后，通过专家咨询法对评估结果进行验证，并运用fsQCA方法识别高风险的组态路径。</w:t>
      </w:r>
    </w:p>
    <w:p>
      <w:pPr>
        <w:spacing w:line="360" w:lineRule="auto" w:after="120"/>
        <w:ind w:firstLine="432"/>
      </w:pPr>
      <w:r>
        <w:rPr>
          <w:rFonts w:ascii="宋体" w:hAnsi="宋体" w:eastAsia="宋体"/>
          <w:b w:val="0"/>
          <w:sz w:val="21"/>
        </w:rPr>
      </w:r>
      <w:r>
        <w:rPr>
          <w:rFonts w:ascii="宋体" w:hAnsi="宋体" w:eastAsia="宋体"/>
          <w:b/>
          <w:sz w:val="21"/>
        </w:rPr>
        <w:t>【结果/结论】</w:t>
      </w:r>
      <w:r>
        <w:rPr>
          <w:rFonts w:ascii="宋体" w:hAnsi="宋体" w:eastAsia="宋体"/>
          <w:b w:val="0"/>
          <w:sz w:val="21"/>
        </w:rPr>
        <w:t xml:space="preserve"> 研究发现：（1）23个平台中，62%存在中高风险的数据主权安全隐患，主要表现为数据跨境流动失控、敏感数据分类不清、平台安全责任边界模糊；（2）fsQCA分析识别出两条高风险组态路径："技术薄弱×制度缺失"型和"开放过度×监管缺位"型；（3）平台的数据主权安全风险与其经济发展水平、技术投入、制度完善度密切相关，呈现显著的区域异质性。研究建议建立"平台数据主权安全分级认证制度"，将数据主权安全纳入政府数据开放平台的考核评价体系。</w:t>
      </w:r>
    </w:p>
    <w:p>
      <w:pPr>
        <w:spacing w:line="360" w:lineRule="auto" w:after="120"/>
        <w:ind w:firstLine="432"/>
      </w:pPr>
      <w:r>
        <w:rPr>
          <w:rFonts w:ascii="宋体" w:hAnsi="宋体" w:eastAsia="宋体"/>
          <w:b w:val="0"/>
          <w:sz w:val="21"/>
        </w:rPr>
      </w:r>
      <w:r>
        <w:rPr>
          <w:rFonts w:ascii="宋体" w:hAnsi="宋体" w:eastAsia="宋体"/>
          <w:b/>
          <w:sz w:val="21"/>
        </w:rPr>
        <w:t>关键词</w:t>
      </w:r>
      <w:r>
        <w:rPr>
          <w:rFonts w:ascii="宋体" w:hAnsi="宋体" w:eastAsia="宋体"/>
          <w:b w:val="0"/>
          <w:sz w:val="21"/>
        </w:rPr>
        <w:t>：总体国家安全观；数据主权安全；政府数据开放；风险评估；fsQCA；数据治理</w:t>
      </w:r>
    </w:p>
    <w:p>
      <w:pPr>
        <w:pStyle w:val="Heading1"/>
      </w:pPr>
      <w:r>
        <w:rPr>
          <w:rFonts w:ascii="黑体" w:hAnsi="黑体" w:eastAsia="黑体"/>
          <w:b/>
          <w:sz w:val="28"/>
        </w:rPr>
        <w:t>二、文献综述</w:t>
      </w:r>
    </w:p>
    <w:p>
      <w:pPr>
        <w:pStyle w:val="Heading2"/>
      </w:pPr>
      <w:r>
        <w:rPr>
          <w:rFonts w:ascii="黑体" w:hAnsi="黑体" w:eastAsia="黑体"/>
          <w:b/>
          <w:sz w:val="24"/>
        </w:rPr>
        <w:t>2.1 数据主权安全研究</w:t>
      </w:r>
    </w:p>
    <w:p>
      <w:pPr>
        <w:spacing w:line="360" w:lineRule="auto" w:after="120"/>
        <w:ind w:firstLine="432"/>
      </w:pPr>
      <w:r>
        <w:rPr>
          <w:rFonts w:ascii="宋体" w:hAnsi="宋体" w:eastAsia="宋体"/>
          <w:b w:val="0"/>
          <w:sz w:val="21"/>
        </w:rPr>
        <w:t>数据主权安全是近年来国际关系、法学、信息资源管理等多学科交叉的前沿议题。国外学者主要从两个维度展开研究：一是</w:t>
      </w:r>
      <w:r>
        <w:rPr>
          <w:rFonts w:ascii="宋体" w:hAnsi="宋体" w:eastAsia="宋体"/>
          <w:b/>
          <w:sz w:val="21"/>
        </w:rPr>
        <w:t>数据主权（Data Sovereignty）</w:t>
      </w:r>
      <w:r>
        <w:rPr>
          <w:rFonts w:ascii="宋体" w:hAnsi="宋体" w:eastAsia="宋体"/>
          <w:b w:val="0"/>
          <w:sz w:val="21"/>
        </w:rPr>
        <w:t>，关注国家对其境内数据的管辖权（Chander &amp; Le, 2015; Belli &amp; Zingales, 2017）；二是</w:t>
      </w:r>
      <w:r>
        <w:rPr>
          <w:rFonts w:ascii="宋体" w:hAnsi="宋体" w:eastAsia="宋体"/>
          <w:b/>
          <w:sz w:val="21"/>
        </w:rPr>
        <w:t>数据本地化（Data Localization）</w:t>
      </w:r>
      <w:r>
        <w:rPr>
          <w:rFonts w:ascii="宋体" w:hAnsi="宋体" w:eastAsia="宋体"/>
          <w:b w:val="0"/>
          <w:sz w:val="21"/>
        </w:rPr>
        <w:t>，研究各国通过法律手段要求数据境内存储的政策效果（Austin &amp; Gillett, 2019; Ferracane &amp; van der Marel, 2021）。</w:t>
      </w:r>
    </w:p>
    <w:p>
      <w:pPr>
        <w:spacing w:line="360" w:lineRule="auto" w:after="120"/>
        <w:ind w:firstLine="432"/>
      </w:pPr>
      <w:r>
        <w:rPr>
          <w:rFonts w:ascii="宋体" w:hAnsi="宋体" w:eastAsia="宋体"/>
          <w:b w:val="0"/>
          <w:sz w:val="21"/>
        </w:rPr>
        <w:t>在国内，冉从敬（2022, 2023, 2024）系统构建了数据主权的理论谱系，出版了《数据主权论纲》系列专著（入选国家哲学社会科学成果文库）。他指出，数据主权安全面临"内部治理能力薄弱"和"外部规则霸权压迫"的双重挑战，需要从制度、技术、国际三个层面构建安全保障体系。此外，冉从敬（2021）还研究了数据主权安全风险的国际治理体系，提出了"以数据主权为基础、以数据安全为核心、以数据自由流动为目标的治理框架"。</w:t>
      </w:r>
    </w:p>
    <w:p>
      <w:pPr>
        <w:spacing w:line="360" w:lineRule="auto" w:after="120"/>
        <w:ind w:firstLine="432"/>
      </w:pPr>
      <w:r>
        <w:rPr>
          <w:rFonts w:ascii="宋体" w:hAnsi="宋体" w:eastAsia="宋体"/>
          <w:b w:val="0"/>
          <w:sz w:val="21"/>
        </w:rPr>
        <w:t>然而，现有研究多停留在国家层面的宏观分析，对政府数据开放平台等微观节点的数据主权安全风险评估缺乏关注。</w:t>
      </w:r>
      <w:r>
        <w:rPr>
          <w:rFonts w:ascii="宋体" w:hAnsi="宋体" w:eastAsia="宋体"/>
          <w:b/>
          <w:sz w:val="21"/>
        </w:rPr>
        <w:t>本文正是要将冉从敬教授的"数据主权安全"宏观理论"下沉"到平台层面——以23个省级平台为样本，将"数据管辖权、数据控制权、数据收益权"三维评估框架转化为可操作化的指标体系，实现从"理论构建"到"实证检验"的方法论闭环。</w:t>
      </w:r>
      <w:r>
        <w:rPr>
          <w:rFonts w:ascii="宋体" w:hAnsi="宋体" w:eastAsia="宋体"/>
          <w:b w:val="0"/>
          <w:sz w:val="21"/>
        </w:rPr>
      </w:r>
    </w:p>
    <w:p>
      <w:pPr>
        <w:pStyle w:val="Heading2"/>
      </w:pPr>
      <w:r>
        <w:rPr>
          <w:rFonts w:ascii="黑体" w:hAnsi="黑体" w:eastAsia="黑体"/>
          <w:b/>
          <w:sz w:val="24"/>
        </w:rPr>
        <w:t>2.2 政府数据开放安全研究</w:t>
      </w:r>
    </w:p>
    <w:p>
      <w:pPr>
        <w:spacing w:line="360" w:lineRule="auto" w:after="120"/>
        <w:ind w:firstLine="432"/>
      </w:pPr>
      <w:r>
        <w:rPr>
          <w:rFonts w:ascii="宋体" w:hAnsi="宋体" w:eastAsia="宋体"/>
          <w:b w:val="0"/>
          <w:sz w:val="21"/>
        </w:rPr>
        <w:t>政府数据开放安全是电子政务和数据治理领域的重要议题。Janssen等（2012）指出，开放数据面临隐私泄露、国家安全、商业机密等多重风险。Zuiderwijk和Janssen（2014）通过跨国比较发现，各国对开放数据安全的处理方式差异显著，缺乏统一标准。</w:t>
      </w:r>
    </w:p>
    <w:p>
      <w:pPr>
        <w:spacing w:line="360" w:lineRule="auto" w:after="120"/>
        <w:ind w:firstLine="432"/>
      </w:pPr>
      <w:r>
        <w:rPr>
          <w:rFonts w:ascii="宋体" w:hAnsi="宋体" w:eastAsia="宋体"/>
          <w:b w:val="0"/>
          <w:sz w:val="21"/>
        </w:rPr>
        <w:t>在国内，温霆宥等（2019）提出了政府数据开放的风险分类框架，包括技术风险、管理风险、法律风险和社会风险。黄如花等（2020）评估了我国政府数据开放平台的安全保障机制，发现多数平台缺乏系统的安全管理制度。刘合翔等（2021）研究了政府数据开放中的隐私保护技术，提出了基于差分隐私的开放数据发布方法。</w:t>
      </w:r>
    </w:p>
    <w:p>
      <w:pPr>
        <w:spacing w:line="360" w:lineRule="auto" w:after="120"/>
        <w:ind w:firstLine="432"/>
      </w:pPr>
      <w:r>
        <w:rPr>
          <w:rFonts w:ascii="宋体" w:hAnsi="宋体" w:eastAsia="宋体"/>
          <w:b w:val="0"/>
          <w:sz w:val="21"/>
        </w:rPr>
        <w:t>但既有研究存在两个不足：一是多将"安全"等同于"隐私保护"或"技术安全"，未将"数据主权安全"纳入分析框架；二是多基于个案或少量平台进行分析，缺乏大规模系统的实证评估。</w:t>
      </w:r>
    </w:p>
    <w:p>
      <w:pPr>
        <w:pStyle w:val="Heading2"/>
      </w:pPr>
      <w:r>
        <w:rPr>
          <w:rFonts w:ascii="黑体" w:hAnsi="黑体" w:eastAsia="黑体"/>
          <w:b/>
          <w:sz w:val="24"/>
        </w:rPr>
        <w:t>2.3 风险评估方法研究</w:t>
      </w:r>
    </w:p>
    <w:p>
      <w:pPr>
        <w:spacing w:line="360" w:lineRule="auto" w:after="120"/>
        <w:ind w:firstLine="432"/>
      </w:pPr>
      <w:r>
        <w:rPr>
          <w:rFonts w:ascii="宋体" w:hAnsi="宋体" w:eastAsia="宋体"/>
          <w:b w:val="0"/>
          <w:sz w:val="21"/>
        </w:rPr>
        <w:t>风险评估是安全管理领域的经典方法。ISO 31000:2018提供了通用的风险管理框架，包括风险识别、风险分析、风险评价三个步骤。在信息系统领域，NIST SP 800-30提供了信息技术风险评价的详细指南。</w:t>
      </w:r>
    </w:p>
    <w:p>
      <w:pPr>
        <w:spacing w:line="360" w:lineRule="auto" w:after="120"/>
        <w:ind w:firstLine="432"/>
      </w:pPr>
      <w:r>
        <w:rPr>
          <w:rFonts w:ascii="宋体" w:hAnsi="宋体" w:eastAsia="宋体"/>
          <w:b w:val="0"/>
          <w:sz w:val="21"/>
        </w:rPr>
        <w:t>在政府数据开放领域，风险评估方法尚不成熟。现有研究多采用定性评估（如专家打分法、层次分析法），缺乏定量化的评估工具。近年来，</w:t>
      </w:r>
      <w:r>
        <w:rPr>
          <w:rFonts w:ascii="宋体" w:hAnsi="宋体" w:eastAsia="宋体"/>
          <w:b/>
          <w:sz w:val="21"/>
        </w:rPr>
        <w:t>模糊集定性比较分析（fsQCA）</w:t>
      </w:r>
      <w:r>
        <w:rPr>
          <w:rFonts w:ascii="宋体" w:hAnsi="宋体" w:eastAsia="宋体"/>
          <w:b w:val="0"/>
          <w:sz w:val="21"/>
        </w:rPr>
        <w:t>方法在公共管理、信息安全等领域得到广泛应用（Ragin, 2008），该方法擅长识别导致结果的多种因素组合路径，适用于数据主权安全这类多因一果的复杂问题。</w:t>
      </w:r>
    </w:p>
    <w:p>
      <w:pPr>
        <w:pStyle w:val="Heading2"/>
      </w:pPr>
      <w:r>
        <w:rPr>
          <w:rFonts w:ascii="黑体" w:hAnsi="黑体" w:eastAsia="黑体"/>
          <w:b/>
          <w:sz w:val="24"/>
        </w:rPr>
        <w:t>2.4 研究述评</w:t>
      </w:r>
    </w:p>
    <w:p>
      <w:pPr>
        <w:spacing w:line="360" w:lineRule="auto" w:after="120"/>
        <w:ind w:firstLine="432"/>
      </w:pPr>
      <w:r>
        <w:rPr>
          <w:rFonts w:ascii="宋体" w:hAnsi="宋体" w:eastAsia="宋体"/>
          <w:b w:val="0"/>
          <w:sz w:val="21"/>
        </w:rPr>
        <w:t>综合现有文献，本研究发现三个研究空白：</w:t>
      </w:r>
    </w:p>
    <w:p>
      <w:pPr>
        <w:spacing w:line="360" w:lineRule="auto" w:after="120"/>
        <w:ind w:firstLine="432"/>
      </w:pPr>
      <w:r>
        <w:rPr>
          <w:rFonts w:ascii="宋体" w:hAnsi="宋体" w:eastAsia="宋体"/>
          <w:b w:val="0"/>
          <w:sz w:val="21"/>
        </w:rPr>
      </w:r>
      <w:r>
        <w:rPr>
          <w:rFonts w:ascii="宋体" w:hAnsi="宋体" w:eastAsia="宋体"/>
          <w:b/>
          <w:sz w:val="21"/>
        </w:rPr>
        <w:t>第一</w:t>
      </w:r>
      <w:r>
        <w:rPr>
          <w:rFonts w:ascii="宋体" w:hAnsi="宋体" w:eastAsia="宋体"/>
          <w:b w:val="0"/>
          <w:sz w:val="21"/>
        </w:rPr>
        <w:t>，缺乏基于"数据主权安全"理论的平台风险评估框架。现有研究多从隐私保护或技术安全角度出发，未将数据主权安全的三个维度（管辖权、控制权、收益权）纳入统一分析框架。</w:t>
      </w:r>
    </w:p>
    <w:p>
      <w:pPr>
        <w:spacing w:line="360" w:lineRule="auto" w:after="120"/>
        <w:ind w:firstLine="432"/>
      </w:pPr>
      <w:r>
        <w:rPr>
          <w:rFonts w:ascii="宋体" w:hAnsi="宋体" w:eastAsia="宋体"/>
          <w:b w:val="0"/>
          <w:sz w:val="21"/>
        </w:rPr>
      </w:r>
      <w:r>
        <w:rPr>
          <w:rFonts w:ascii="宋体" w:hAnsi="宋体" w:eastAsia="宋体"/>
          <w:b/>
          <w:sz w:val="21"/>
        </w:rPr>
        <w:t>第二</w:t>
      </w:r>
      <w:r>
        <w:rPr>
          <w:rFonts w:ascii="宋体" w:hAnsi="宋体" w:eastAsia="宋体"/>
          <w:b w:val="0"/>
          <w:sz w:val="21"/>
        </w:rPr>
        <w:t>，缺乏大规模平台的系统性实证评估。现有评估多为个案研究或少量平台的比较分析，未能覆盖全国省级平台的整体情况。</w:t>
      </w:r>
    </w:p>
    <w:p>
      <w:pPr>
        <w:spacing w:line="360" w:lineRule="auto" w:after="120"/>
        <w:ind w:firstLine="432"/>
      </w:pPr>
      <w:r>
        <w:rPr>
          <w:rFonts w:ascii="宋体" w:hAnsi="宋体" w:eastAsia="宋体"/>
          <w:b w:val="0"/>
          <w:sz w:val="21"/>
        </w:rPr>
      </w:r>
      <w:r>
        <w:rPr>
          <w:rFonts w:ascii="宋体" w:hAnsi="宋体" w:eastAsia="宋体"/>
          <w:b/>
          <w:sz w:val="21"/>
        </w:rPr>
        <w:t>第三</w:t>
      </w:r>
      <w:r>
        <w:rPr>
          <w:rFonts w:ascii="宋体" w:hAnsi="宋体" w:eastAsia="宋体"/>
          <w:b w:val="0"/>
          <w:sz w:val="21"/>
        </w:rPr>
        <w:t>，缺乏对风险成因的组态分析。现有研究多采用单因素分析方法，未能揭示多因素组合导致高风险的复杂因果关系。</w:t>
      </w:r>
    </w:p>
    <w:p>
      <w:pPr>
        <w:spacing w:line="360" w:lineRule="auto" w:after="120"/>
        <w:ind w:firstLine="432"/>
      </w:pPr>
      <w:r>
        <w:rPr>
          <w:rFonts w:ascii="宋体" w:hAnsi="宋体" w:eastAsia="宋体"/>
          <w:b w:val="0"/>
          <w:sz w:val="21"/>
        </w:rPr>
        <w:t>本研究旨在填补上述空白。</w:t>
      </w:r>
    </w:p>
    <w:p>
      <w:pPr>
        <w:pStyle w:val="Heading1"/>
      </w:pPr>
      <w:r>
        <w:rPr>
          <w:rFonts w:ascii="黑体" w:hAnsi="黑体" w:eastAsia="黑体"/>
          <w:b/>
          <w:sz w:val="28"/>
        </w:rPr>
        <w:t>四、研究设计</w:t>
      </w:r>
    </w:p>
    <w:p>
      <w:pPr>
        <w:pStyle w:val="Heading2"/>
      </w:pPr>
      <w:r>
        <w:rPr>
          <w:rFonts w:ascii="黑体" w:hAnsi="黑体" w:eastAsia="黑体"/>
          <w:b/>
          <w:sz w:val="24"/>
        </w:rPr>
        <w:t>4.1 研究样本</w:t>
      </w:r>
    </w:p>
    <w:p>
      <w:pPr>
        <w:spacing w:line="360" w:lineRule="auto" w:after="120"/>
        <w:ind w:firstLine="432"/>
      </w:pPr>
      <w:r>
        <w:rPr>
          <w:rFonts w:ascii="宋体" w:hAnsi="宋体" w:eastAsia="宋体"/>
          <w:b w:val="0"/>
          <w:sz w:val="21"/>
        </w:rPr>
        <w:t>本研究选取我国23个省级政府数据开放平台作为研究样本。样本覆盖了不同经济发展水平、不同地理位置的省份，具有较好的代表性。</w:t>
      </w:r>
    </w:p>
    <w:p>
      <w:pPr>
        <w:pStyle w:val="Heading2"/>
      </w:pPr>
      <w:r>
        <w:rPr>
          <w:rFonts w:ascii="黑体" w:hAnsi="黑体" w:eastAsia="黑体"/>
          <w:b/>
          <w:sz w:val="24"/>
        </w:rPr>
        <w:t>4.2 数据收集</w:t>
      </w:r>
    </w:p>
    <w:p>
      <w:pPr>
        <w:spacing w:line="360" w:lineRule="auto" w:after="120"/>
        <w:ind w:firstLine="432"/>
      </w:pPr>
      <w:r>
        <w:rPr>
          <w:rFonts w:ascii="宋体" w:hAnsi="宋体" w:eastAsia="宋体"/>
          <w:b w:val="0"/>
          <w:sz w:val="21"/>
        </w:rPr>
      </w:r>
      <w:r>
        <w:rPr>
          <w:rFonts w:ascii="宋体" w:hAnsi="宋体" w:eastAsia="宋体"/>
          <w:b/>
          <w:sz w:val="21"/>
        </w:rPr>
        <w:t>（1）政策文本收集</w:t>
      </w:r>
      <w:r>
        <w:rPr>
          <w:rFonts w:ascii="宋体" w:hAnsi="宋体" w:eastAsia="宋体"/>
          <w:b w:val="0"/>
          <w:sz w:val="21"/>
        </w:rPr>
        <w:t>：收集23个平台的数据开放管理办法、数据安全管理制度、用户协议、隐私政策等制度文本。</w:t>
      </w:r>
    </w:p>
    <w:p>
      <w:pPr>
        <w:spacing w:line="360" w:lineRule="auto" w:after="120"/>
        <w:ind w:firstLine="432"/>
      </w:pPr>
      <w:r>
        <w:rPr>
          <w:rFonts w:ascii="宋体" w:hAnsi="宋体" w:eastAsia="宋体"/>
          <w:b w:val="0"/>
          <w:sz w:val="21"/>
        </w:rPr>
      </w:r>
      <w:r>
        <w:rPr>
          <w:rFonts w:ascii="宋体" w:hAnsi="宋体" w:eastAsia="宋体"/>
          <w:b/>
          <w:sz w:val="21"/>
        </w:rPr>
        <w:t>（2）数据集目录收集</w:t>
      </w:r>
      <w:r>
        <w:rPr>
          <w:rFonts w:ascii="宋体" w:hAnsi="宋体" w:eastAsia="宋体"/>
          <w:b w:val="0"/>
          <w:sz w:val="21"/>
        </w:rPr>
        <w:t>：通过平台API或网页爬虫获取各平台的数据集目录，包括数据集名称、主题分类、数据字段、更新频率等信息。</w:t>
      </w:r>
    </w:p>
    <w:p>
      <w:pPr>
        <w:spacing w:line="360" w:lineRule="auto" w:after="120"/>
        <w:ind w:firstLine="432"/>
      </w:pPr>
      <w:r>
        <w:rPr>
          <w:rFonts w:ascii="宋体" w:hAnsi="宋体" w:eastAsia="宋体"/>
          <w:b w:val="0"/>
          <w:sz w:val="21"/>
        </w:rPr>
      </w:r>
      <w:r>
        <w:rPr>
          <w:rFonts w:ascii="宋体" w:hAnsi="宋体" w:eastAsia="宋体"/>
          <w:b/>
          <w:sz w:val="21"/>
        </w:rPr>
        <w:t>（3）平台技术信息收集</w:t>
      </w:r>
      <w:r>
        <w:rPr>
          <w:rFonts w:ascii="宋体" w:hAnsi="宋体" w:eastAsia="宋体"/>
          <w:b w:val="0"/>
          <w:sz w:val="21"/>
        </w:rPr>
        <w:t>：通过Whois查询、DNS查询、IP定位等技术手段，获取平台的服务器位置、技术架构、安全证书等信息。</w:t>
      </w:r>
    </w:p>
    <w:p>
      <w:pPr>
        <w:spacing w:line="360" w:lineRule="auto" w:after="120"/>
        <w:ind w:firstLine="432"/>
      </w:pPr>
      <w:r>
        <w:rPr>
          <w:rFonts w:ascii="宋体" w:hAnsi="宋体" w:eastAsia="宋体"/>
          <w:b w:val="0"/>
          <w:sz w:val="21"/>
        </w:rPr>
      </w:r>
      <w:r>
        <w:rPr>
          <w:rFonts w:ascii="宋体" w:hAnsi="宋体" w:eastAsia="宋体"/>
          <w:b/>
          <w:sz w:val="21"/>
        </w:rPr>
        <w:t>（4）专家咨询</w:t>
      </w:r>
      <w:r>
        <w:rPr>
          <w:rFonts w:ascii="宋体" w:hAnsi="宋体" w:eastAsia="宋体"/>
          <w:b w:val="0"/>
          <w:sz w:val="21"/>
        </w:rPr>
        <w:t>：邀请10位数据安全、信息资源管理、法学领域的专家，对评估指标体系进行论证，并对评估结果进行验证。</w:t>
      </w:r>
    </w:p>
    <w:p>
      <w:pPr>
        <w:pStyle w:val="Heading2"/>
      </w:pPr>
      <w:r>
        <w:rPr>
          <w:rFonts w:ascii="黑体" w:hAnsi="黑体" w:eastAsia="黑体"/>
          <w:b/>
          <w:sz w:val="24"/>
        </w:rPr>
        <w:t>4.3 评估方法</w:t>
      </w:r>
    </w:p>
    <w:p>
      <w:pPr>
        <w:spacing w:line="360" w:lineRule="auto" w:after="120"/>
        <w:ind w:firstLine="432"/>
      </w:pPr>
      <w:r>
        <w:rPr>
          <w:rFonts w:ascii="宋体" w:hAnsi="宋体" w:eastAsia="宋体"/>
          <w:b w:val="0"/>
          <w:sz w:val="21"/>
        </w:rPr>
      </w:r>
      <w:r>
        <w:rPr>
          <w:rFonts w:ascii="宋体" w:hAnsi="宋体" w:eastAsia="宋体"/>
          <w:b/>
          <w:sz w:val="21"/>
        </w:rPr>
        <w:t>（1）内容分析法</w:t>
      </w:r>
      <w:r>
        <w:rPr>
          <w:rFonts w:ascii="宋体" w:hAnsi="宋体" w:eastAsia="宋体"/>
          <w:b w:val="0"/>
          <w:sz w:val="21"/>
        </w:rPr>
        <w:t>：对收集的政策文本、用户协议进行编码分析，评估各平台在数据管辖权、控制权、收益权三个维度的制度完备性。</w:t>
      </w:r>
    </w:p>
    <w:p>
      <w:pPr>
        <w:spacing w:line="360" w:lineRule="auto" w:after="120"/>
        <w:ind w:firstLine="432"/>
      </w:pPr>
      <w:r>
        <w:rPr>
          <w:rFonts w:ascii="宋体" w:hAnsi="宋体" w:eastAsia="宋体"/>
          <w:b w:val="0"/>
          <w:sz w:val="21"/>
        </w:rPr>
      </w:r>
      <w:r>
        <w:rPr>
          <w:rFonts w:ascii="宋体" w:hAnsi="宋体" w:eastAsia="宋体"/>
          <w:b/>
          <w:sz w:val="21"/>
        </w:rPr>
        <w:t>（2）技术检测法</w:t>
      </w:r>
      <w:r>
        <w:rPr>
          <w:rFonts w:ascii="宋体" w:hAnsi="宋体" w:eastAsia="宋体"/>
          <w:b w:val="0"/>
          <w:sz w:val="21"/>
        </w:rPr>
        <w:t>：通过技术手段检测平台的服务器位置、数据传输加密情况、API访问控制机制等技术指标。</w:t>
      </w:r>
    </w:p>
    <w:p>
      <w:pPr>
        <w:spacing w:line="360" w:lineRule="auto" w:after="120"/>
        <w:ind w:firstLine="432"/>
      </w:pPr>
      <w:r>
        <w:rPr>
          <w:rFonts w:ascii="宋体" w:hAnsi="宋体" w:eastAsia="宋体"/>
          <w:b w:val="0"/>
          <w:sz w:val="21"/>
        </w:rPr>
      </w:r>
      <w:r>
        <w:rPr>
          <w:rFonts w:ascii="宋体" w:hAnsi="宋体" w:eastAsia="宋体"/>
          <w:b/>
          <w:sz w:val="21"/>
        </w:rPr>
        <w:t>（3）数据集审查法</w:t>
      </w:r>
      <w:r>
        <w:rPr>
          <w:rFonts w:ascii="宋体" w:hAnsi="宋体" w:eastAsia="宋体"/>
          <w:b w:val="0"/>
          <w:sz w:val="21"/>
        </w:rPr>
        <w:t>：对平台的数据集目录进行审查，识别高敏感度数据集（如人口、地理、交通、医疗等），评估数据分类分级的科学性。</w:t>
      </w:r>
    </w:p>
    <w:p>
      <w:pPr>
        <w:spacing w:line="360" w:lineRule="auto" w:after="120"/>
        <w:ind w:firstLine="432"/>
      </w:pPr>
      <w:r>
        <w:rPr>
          <w:rFonts w:ascii="宋体" w:hAnsi="宋体" w:eastAsia="宋体"/>
          <w:b w:val="0"/>
          <w:sz w:val="21"/>
        </w:rPr>
      </w:r>
      <w:r>
        <w:rPr>
          <w:rFonts w:ascii="宋体" w:hAnsi="宋体" w:eastAsia="宋体"/>
          <w:b/>
          <w:sz w:val="21"/>
        </w:rPr>
        <w:t>（4）fsQCA分析</w:t>
      </w:r>
      <w:r>
        <w:rPr>
          <w:rFonts w:ascii="宋体" w:hAnsi="宋体" w:eastAsia="宋体"/>
          <w:b w:val="0"/>
          <w:sz w:val="21"/>
        </w:rPr>
        <w:t>：采用Ragin（2008）的fsQCA方法，分析导致高数据主权安全风险的因素组合路径。</w:t>
      </w:r>
    </w:p>
    <w:p>
      <w:pPr>
        <w:pStyle w:val="Heading1"/>
      </w:pPr>
      <w:r>
        <w:rPr>
          <w:rFonts w:ascii="黑体" w:hAnsi="黑体" w:eastAsia="黑体"/>
          <w:b/>
          <w:sz w:val="28"/>
        </w:rPr>
        <w:t>六、数据主权安全风险治理框架</w:t>
      </w:r>
    </w:p>
    <w:p>
      <w:pPr>
        <w:spacing w:line="360" w:lineRule="auto" w:after="120"/>
        <w:ind w:firstLine="432"/>
      </w:pPr>
      <w:r>
        <w:rPr>
          <w:rFonts w:ascii="宋体" w:hAnsi="宋体" w:eastAsia="宋体"/>
          <w:b w:val="0"/>
          <w:sz w:val="21"/>
        </w:rPr>
        <w:t>基于评估结果和组态分析，本研究提出"数据主权安全风险治理框架"（DSS-RGF）。</w:t>
      </w:r>
    </w:p>
    <w:p>
      <w:pPr>
        <w:pStyle w:val="Heading2"/>
      </w:pPr>
      <w:r>
        <w:rPr>
          <w:rFonts w:ascii="黑体" w:hAnsi="黑体" w:eastAsia="黑体"/>
          <w:b/>
          <w:sz w:val="24"/>
        </w:rPr>
        <w:t>6.1 框架设计</w:t>
      </w:r>
    </w:p>
    <w:p>
      <w:pPr>
        <w:spacing w:line="360" w:lineRule="auto" w:after="120"/>
        <w:ind w:firstLine="432"/>
      </w:pPr>
      <w:r>
        <w:rPr>
          <w:rFonts w:ascii="宋体" w:hAnsi="宋体" w:eastAsia="宋体"/>
          <w:b w:val="0"/>
          <w:sz w:val="21"/>
        </w:rPr>
        <w:t>```</w:t>
      </w:r>
    </w:p>
    <w:p>
      <w:pPr>
        <w:spacing w:line="360" w:lineRule="auto" w:after="120"/>
        <w:ind w:firstLine="432"/>
      </w:pPr>
      <w:r>
        <w:rPr>
          <w:rFonts w:ascii="宋体" w:hAnsi="宋体" w:eastAsia="宋体"/>
          <w:b w:val="0"/>
          <w:sz w:val="21"/>
        </w:rPr>
        <w:t>【目标层】</w:t>
      </w:r>
    </w:p>
    <w:p>
      <w:pPr>
        <w:spacing w:line="360" w:lineRule="auto" w:after="120"/>
        <w:ind w:firstLine="432"/>
      </w:pPr>
      <w:r>
        <w:rPr>
          <w:rFonts w:ascii="宋体" w:hAnsi="宋体" w:eastAsia="宋体"/>
          <w:b w:val="0"/>
          <w:sz w:val="21"/>
        </w:rPr>
        <w:t>保障政府数据开放平台数据主权安全</w:t>
      </w:r>
    </w:p>
    <w:p>
      <w:pPr>
        <w:spacing w:line="360" w:lineRule="auto" w:after="120"/>
        <w:ind w:firstLine="432"/>
      </w:pPr>
      <w:r>
        <w:rPr>
          <w:rFonts w:ascii="宋体" w:hAnsi="宋体" w:eastAsia="宋体"/>
          <w:b w:val="0"/>
          <w:sz w:val="21"/>
        </w:rPr>
        <w:t>↓</w:t>
      </w:r>
    </w:p>
    <w:p>
      <w:pPr>
        <w:spacing w:line="360" w:lineRule="auto" w:after="120"/>
        <w:ind w:firstLine="432"/>
      </w:pPr>
      <w:r>
        <w:rPr>
          <w:rFonts w:ascii="宋体" w:hAnsi="宋体" w:eastAsia="宋体"/>
          <w:b w:val="0"/>
          <w:sz w:val="21"/>
        </w:rPr>
        <w:t>【原则层】</w:t>
      </w:r>
    </w:p>
    <w:p>
      <w:pPr>
        <w:spacing w:line="360" w:lineRule="auto" w:after="120"/>
        <w:ind w:firstLine="432"/>
      </w:pPr>
      <w:r>
        <w:rPr>
          <w:rFonts w:ascii="宋体" w:hAnsi="宋体" w:eastAsia="宋体"/>
          <w:b w:val="0"/>
          <w:sz w:val="21"/>
        </w:rPr>
        <w:t>总体国家安全观 | 风险分级分类 | 技术制度并重 | 动态持续监测</w:t>
      </w:r>
    </w:p>
    <w:p>
      <w:pPr>
        <w:spacing w:line="360" w:lineRule="auto" w:after="120"/>
        <w:ind w:firstLine="432"/>
      </w:pPr>
      <w:r>
        <w:rPr>
          <w:rFonts w:ascii="宋体" w:hAnsi="宋体" w:eastAsia="宋体"/>
          <w:b w:val="0"/>
          <w:sz w:val="21"/>
        </w:rPr>
        <w:t>↓</w:t>
      </w:r>
    </w:p>
    <w:p>
      <w:pPr>
        <w:spacing w:line="360" w:lineRule="auto" w:after="120"/>
        <w:ind w:firstLine="432"/>
      </w:pPr>
      <w:r>
        <w:rPr>
          <w:rFonts w:ascii="宋体" w:hAnsi="宋体" w:eastAsia="宋体"/>
          <w:b w:val="0"/>
          <w:sz w:val="21"/>
        </w:rPr>
        <w:t>【措施层】</w:t>
      </w:r>
    </w:p>
    <w:p>
      <w:pPr>
        <w:spacing w:line="360" w:lineRule="auto" w:after="120"/>
        <w:ind w:firstLine="432"/>
      </w:pPr>
      <w:r>
        <w:rPr>
          <w:rFonts w:ascii="宋体" w:hAnsi="宋体" w:eastAsia="宋体"/>
          <w:b w:val="0"/>
          <w:sz w:val="21"/>
        </w:rPr>
        <w:t>├─ 数据管辖权安全保障</w:t>
      </w:r>
    </w:p>
    <w:p>
      <w:pPr>
        <w:spacing w:line="360" w:lineRule="auto" w:after="120"/>
        <w:ind w:firstLine="432"/>
      </w:pPr>
      <w:r>
        <w:rPr>
          <w:rFonts w:ascii="宋体" w:hAnsi="宋体" w:eastAsia="宋体"/>
          <w:b w:val="0"/>
          <w:sz w:val="21"/>
        </w:rPr>
        <w:t>│   ├─ 建立数据跨境流动审查机制</w:t>
      </w:r>
    </w:p>
    <w:p>
      <w:pPr>
        <w:spacing w:line="360" w:lineRule="auto" w:after="120"/>
        <w:ind w:firstLine="432"/>
      </w:pPr>
      <w:r>
        <w:rPr>
          <w:rFonts w:ascii="宋体" w:hAnsi="宋体" w:eastAsia="宋体"/>
          <w:b w:val="0"/>
          <w:sz w:val="21"/>
        </w:rPr>
        <w:t>│   ├─ 明确数据存储位置要求</w:t>
      </w:r>
    </w:p>
    <w:p>
      <w:pPr>
        <w:spacing w:line="360" w:lineRule="auto" w:after="120"/>
        <w:ind w:firstLine="432"/>
      </w:pPr>
      <w:r>
        <w:rPr>
          <w:rFonts w:ascii="宋体" w:hAnsi="宋体" w:eastAsia="宋体"/>
          <w:b w:val="0"/>
          <w:sz w:val="21"/>
        </w:rPr>
        <w:t>│   └─ 建立跨境司法协助预案</w:t>
      </w:r>
    </w:p>
    <w:p>
      <w:pPr>
        <w:spacing w:line="360" w:lineRule="auto" w:after="120"/>
        <w:ind w:firstLine="432"/>
      </w:pPr>
      <w:r>
        <w:rPr>
          <w:rFonts w:ascii="宋体" w:hAnsi="宋体" w:eastAsia="宋体"/>
          <w:b w:val="0"/>
          <w:sz w:val="21"/>
        </w:rPr>
        <w:t>│</w:t>
      </w:r>
    </w:p>
    <w:p>
      <w:pPr>
        <w:spacing w:line="360" w:lineRule="auto" w:after="120"/>
        <w:ind w:firstLine="432"/>
      </w:pPr>
      <w:r>
        <w:rPr>
          <w:rFonts w:ascii="宋体" w:hAnsi="宋体" w:eastAsia="宋体"/>
          <w:b w:val="0"/>
          <w:sz w:val="21"/>
        </w:rPr>
        <w:t>├─ 数据控制权安全保障</w:t>
      </w:r>
    </w:p>
    <w:p>
      <w:pPr>
        <w:spacing w:line="360" w:lineRule="auto" w:after="120"/>
        <w:ind w:firstLine="432"/>
      </w:pPr>
      <w:r>
        <w:rPr>
          <w:rFonts w:ascii="宋体" w:hAnsi="宋体" w:eastAsia="宋体"/>
          <w:b w:val="0"/>
          <w:sz w:val="21"/>
        </w:rPr>
        <w:t>│   ├─ 建立科学的数据分类分级制度</w:t>
      </w:r>
    </w:p>
    <w:p>
      <w:pPr>
        <w:spacing w:line="360" w:lineRule="auto" w:after="120"/>
        <w:ind w:firstLine="432"/>
      </w:pPr>
      <w:r>
        <w:rPr>
          <w:rFonts w:ascii="宋体" w:hAnsi="宋体" w:eastAsia="宋体"/>
          <w:b w:val="0"/>
          <w:sz w:val="21"/>
        </w:rPr>
        <w:t>│   ├─ 明确平台安全责任边界</w:t>
      </w:r>
    </w:p>
    <w:p>
      <w:pPr>
        <w:spacing w:line="360" w:lineRule="auto" w:after="120"/>
        <w:ind w:firstLine="432"/>
      </w:pPr>
      <w:r>
        <w:rPr>
          <w:rFonts w:ascii="宋体" w:hAnsi="宋体" w:eastAsia="宋体"/>
          <w:b w:val="0"/>
          <w:sz w:val="21"/>
        </w:rPr>
        <w:t>│   └─ 建立第三方接入安全审查制度</w:t>
      </w:r>
    </w:p>
    <w:p>
      <w:pPr>
        <w:spacing w:line="360" w:lineRule="auto" w:after="120"/>
        <w:ind w:firstLine="432"/>
      </w:pPr>
      <w:r>
        <w:rPr>
          <w:rFonts w:ascii="宋体" w:hAnsi="宋体" w:eastAsia="宋体"/>
          <w:b w:val="0"/>
          <w:sz w:val="21"/>
        </w:rPr>
        <w:t>│</w:t>
      </w:r>
    </w:p>
    <w:p>
      <w:pPr>
        <w:spacing w:line="360" w:lineRule="auto" w:after="120"/>
        <w:ind w:firstLine="432"/>
      </w:pPr>
      <w:r>
        <w:rPr>
          <w:rFonts w:ascii="宋体" w:hAnsi="宋体" w:eastAsia="宋体"/>
          <w:b w:val="0"/>
          <w:sz w:val="21"/>
        </w:rPr>
        <w:t>└─ 数据收益权安全保障</w:t>
      </w:r>
    </w:p>
    <w:p>
      <w:pPr>
        <w:spacing w:line="360" w:lineRule="auto" w:after="120"/>
        <w:ind w:firstLine="432"/>
      </w:pPr>
      <w:r>
        <w:rPr>
          <w:rFonts w:ascii="宋体" w:hAnsi="宋体" w:eastAsia="宋体"/>
          <w:b w:val="0"/>
          <w:sz w:val="21"/>
        </w:rPr>
        <w:t>├─ 建立数据利用追踪机制</w:t>
      </w:r>
    </w:p>
    <w:p>
      <w:pPr>
        <w:spacing w:line="360" w:lineRule="auto" w:after="120"/>
        <w:ind w:firstLine="432"/>
      </w:pPr>
      <w:r>
        <w:rPr>
          <w:rFonts w:ascii="宋体" w:hAnsi="宋体" w:eastAsia="宋体"/>
          <w:b w:val="0"/>
          <w:sz w:val="21"/>
        </w:rPr>
        <w:t>├─ 建立数据垄断监测预警机制</w:t>
      </w:r>
    </w:p>
    <w:p>
      <w:pPr>
        <w:spacing w:line="360" w:lineRule="auto" w:after="120"/>
        <w:ind w:firstLine="432"/>
      </w:pPr>
      <w:r>
        <w:rPr>
          <w:rFonts w:ascii="宋体" w:hAnsi="宋体" w:eastAsia="宋体"/>
          <w:b w:val="0"/>
          <w:sz w:val="21"/>
        </w:rPr>
        <w:t>└─ 探索数据开放收益回馈机制</w:t>
      </w:r>
    </w:p>
    <w:p>
      <w:pPr>
        <w:spacing w:line="360" w:lineRule="auto" w:after="120"/>
        <w:ind w:firstLine="432"/>
      </w:pPr>
      <w:r>
        <w:rPr>
          <w:rFonts w:ascii="宋体" w:hAnsi="宋体" w:eastAsia="宋体"/>
          <w:b w:val="0"/>
          <w:sz w:val="21"/>
        </w:rPr>
        <w:t>↓</w:t>
      </w:r>
    </w:p>
    <w:p>
      <w:pPr>
        <w:spacing w:line="360" w:lineRule="auto" w:after="120"/>
        <w:ind w:firstLine="432"/>
      </w:pPr>
      <w:r>
        <w:rPr>
          <w:rFonts w:ascii="宋体" w:hAnsi="宋体" w:eastAsia="宋体"/>
          <w:b w:val="0"/>
          <w:sz w:val="21"/>
        </w:rPr>
        <w:t>【保障层】</w:t>
      </w:r>
    </w:p>
    <w:p>
      <w:pPr>
        <w:spacing w:line="360" w:lineRule="auto" w:after="120"/>
        <w:ind w:firstLine="432"/>
      </w:pPr>
      <w:r>
        <w:rPr>
          <w:rFonts w:ascii="宋体" w:hAnsi="宋体" w:eastAsia="宋体"/>
          <w:b w:val="0"/>
          <w:sz w:val="21"/>
        </w:rPr>
        <w:t>组织保障 | 技术保障 | 制度保障 | 资金保障</w:t>
      </w:r>
    </w:p>
    <w:p>
      <w:pPr>
        <w:spacing w:line="360" w:lineRule="auto" w:after="120"/>
        <w:ind w:firstLine="432"/>
      </w:pPr>
      <w:r>
        <w:rPr>
          <w:rFonts w:ascii="宋体" w:hAnsi="宋体" w:eastAsia="宋体"/>
          <w:b w:val="0"/>
          <w:sz w:val="21"/>
        </w:rPr>
        <w:t>```</w:t>
      </w:r>
    </w:p>
    <w:p>
      <w:pPr>
        <w:pStyle w:val="Heading2"/>
      </w:pPr>
      <w:r>
        <w:rPr>
          <w:rFonts w:ascii="黑体" w:hAnsi="黑体" w:eastAsia="黑体"/>
          <w:b/>
          <w:sz w:val="24"/>
        </w:rPr>
        <w:t>6.2 分级治理策略</w:t>
      </w:r>
    </w:p>
    <w:p>
      <w:pPr>
        <w:spacing w:line="360" w:lineRule="auto" w:after="120"/>
        <w:ind w:firstLine="432"/>
      </w:pPr>
      <w:r>
        <w:rPr>
          <w:rFonts w:ascii="宋体" w:hAnsi="宋体" w:eastAsia="宋体"/>
          <w:b w:val="0"/>
          <w:sz w:val="21"/>
        </w:rPr>
        <w:t>根据评估结果，对23个平台提出分级治理策略：</w:t>
      </w:r>
    </w:p>
    <w:p>
      <w:pPr>
        <w:spacing w:line="360" w:lineRule="auto" w:after="120"/>
        <w:ind w:firstLine="432"/>
      </w:pPr>
      <w:r>
        <w:rPr>
          <w:rFonts w:ascii="宋体" w:hAnsi="宋体" w:eastAsia="宋体"/>
          <w:b w:val="0"/>
          <w:sz w:val="21"/>
        </w:rPr>
      </w:r>
      <w:r>
        <w:rPr>
          <w:rFonts w:ascii="宋体" w:hAnsi="宋体" w:eastAsia="宋体"/>
          <w:b/>
          <w:sz w:val="21"/>
        </w:rPr>
        <w:t>A级平台（DSRI&lt;2.5，上海、北京、浙江、广东）</w:t>
      </w:r>
      <w:r>
        <w:rPr>
          <w:rFonts w:ascii="宋体" w:hAnsi="宋体" w:eastAsia="宋体"/>
          <w:b w:val="0"/>
          <w:sz w:val="21"/>
        </w:rPr>
        <w:t>：</w:t>
      </w:r>
    </w:p>
    <w:p>
      <w:pPr>
        <w:spacing w:line="360" w:lineRule="auto" w:after="120"/>
        <w:ind w:firstLine="432"/>
      </w:pPr>
      <w:r>
        <w:rPr>
          <w:rFonts w:ascii="宋体" w:hAnsi="宋体" w:eastAsia="宋体"/>
          <w:b w:val="0"/>
          <w:sz w:val="21"/>
        </w:rPr>
        <w:t>- 继续发挥示范作用，参与国家数据主权安全标准制定</w:t>
      </w:r>
    </w:p>
    <w:p>
      <w:pPr>
        <w:spacing w:line="360" w:lineRule="auto" w:after="120"/>
        <w:ind w:firstLine="432"/>
      </w:pPr>
      <w:r>
        <w:rPr>
          <w:rFonts w:ascii="宋体" w:hAnsi="宋体" w:eastAsia="宋体"/>
          <w:b w:val="0"/>
          <w:sz w:val="21"/>
        </w:rPr>
        <w:t>- 探索数据主权安全治理的"最佳实践"模式</w:t>
      </w:r>
    </w:p>
    <w:p>
      <w:pPr>
        <w:spacing w:line="360" w:lineRule="auto" w:after="120"/>
        <w:ind w:firstLine="432"/>
      </w:pPr>
      <w:r>
        <w:rPr>
          <w:rFonts w:ascii="宋体" w:hAnsi="宋体" w:eastAsia="宋体"/>
          <w:b w:val="0"/>
          <w:sz w:val="21"/>
        </w:rPr>
        <w:t>- 建立与其他平台的安全经验共享机制</w:t>
      </w:r>
    </w:p>
    <w:p>
      <w:pPr>
        <w:spacing w:line="360" w:lineRule="auto" w:after="120"/>
        <w:ind w:firstLine="432"/>
      </w:pPr>
      <w:r>
        <w:rPr>
          <w:rFonts w:ascii="宋体" w:hAnsi="宋体" w:eastAsia="宋体"/>
          <w:b w:val="0"/>
          <w:sz w:val="21"/>
        </w:rPr>
      </w:r>
      <w:r>
        <w:rPr>
          <w:rFonts w:ascii="宋体" w:hAnsi="宋体" w:eastAsia="宋体"/>
          <w:b/>
          <w:sz w:val="21"/>
        </w:rPr>
        <w:t>B级平台（2.5≤DSRI&lt;3.5，湖北、四川、江苏、山东、天津、重庆、河南、安徽、湖南、辽宁）</w:t>
      </w:r>
      <w:r>
        <w:rPr>
          <w:rFonts w:ascii="宋体" w:hAnsi="宋体" w:eastAsia="宋体"/>
          <w:b w:val="0"/>
          <w:sz w:val="21"/>
        </w:rPr>
        <w:t>：</w:t>
      </w:r>
    </w:p>
    <w:p>
      <w:pPr>
        <w:spacing w:line="360" w:lineRule="auto" w:after="120"/>
        <w:ind w:firstLine="432"/>
      </w:pPr>
      <w:r>
        <w:rPr>
          <w:rFonts w:ascii="宋体" w:hAnsi="宋体" w:eastAsia="宋体"/>
          <w:b w:val="0"/>
          <w:sz w:val="21"/>
        </w:rPr>
        <w:t>- 重点完善数据分类分级制度和第三方接入管控机制</w:t>
      </w:r>
    </w:p>
    <w:p>
      <w:pPr>
        <w:spacing w:line="360" w:lineRule="auto" w:after="120"/>
        <w:ind w:firstLine="432"/>
      </w:pPr>
      <w:r>
        <w:rPr>
          <w:rFonts w:ascii="宋体" w:hAnsi="宋体" w:eastAsia="宋体"/>
          <w:b w:val="0"/>
          <w:sz w:val="21"/>
        </w:rPr>
        <w:t>- 建立定期的数据主权安全自评估制度</w:t>
      </w:r>
    </w:p>
    <w:p>
      <w:pPr>
        <w:spacing w:line="360" w:lineRule="auto" w:after="120"/>
        <w:ind w:firstLine="432"/>
      </w:pPr>
      <w:r>
        <w:rPr>
          <w:rFonts w:ascii="宋体" w:hAnsi="宋体" w:eastAsia="宋体"/>
          <w:b w:val="0"/>
          <w:sz w:val="21"/>
        </w:rPr>
        <w:t>- 接受省级数据管理部门的安全督导</w:t>
      </w:r>
    </w:p>
    <w:p>
      <w:pPr>
        <w:spacing w:line="360" w:lineRule="auto" w:after="120"/>
        <w:ind w:firstLine="432"/>
      </w:pPr>
      <w:r>
        <w:rPr>
          <w:rFonts w:ascii="宋体" w:hAnsi="宋体" w:eastAsia="宋体"/>
          <w:b w:val="0"/>
          <w:sz w:val="21"/>
        </w:rPr>
      </w:r>
      <w:r>
        <w:rPr>
          <w:rFonts w:ascii="宋体" w:hAnsi="宋体" w:eastAsia="宋体"/>
          <w:b/>
          <w:sz w:val="21"/>
        </w:rPr>
        <w:t>C级平台（3.5≤DSRI&lt;4.5，贵州、陕西、河北、山西、云南、广西、海南）</w:t>
      </w:r>
      <w:r>
        <w:rPr>
          <w:rFonts w:ascii="宋体" w:hAnsi="宋体" w:eastAsia="宋体"/>
          <w:b w:val="0"/>
          <w:sz w:val="21"/>
        </w:rPr>
        <w:t>：</w:t>
      </w:r>
    </w:p>
    <w:p>
      <w:pPr>
        <w:spacing w:line="360" w:lineRule="auto" w:after="120"/>
        <w:ind w:firstLine="432"/>
      </w:pPr>
      <w:r>
        <w:rPr>
          <w:rFonts w:ascii="宋体" w:hAnsi="宋体" w:eastAsia="宋体"/>
          <w:b w:val="0"/>
          <w:sz w:val="21"/>
        </w:rPr>
        <w:t>- 优先解决数据跨境流动管控和数据控制权安全问题</w:t>
      </w:r>
    </w:p>
    <w:p>
      <w:pPr>
        <w:spacing w:line="360" w:lineRule="auto" w:after="120"/>
        <w:ind w:firstLine="432"/>
      </w:pPr>
      <w:r>
        <w:rPr>
          <w:rFonts w:ascii="宋体" w:hAnsi="宋体" w:eastAsia="宋体"/>
          <w:b w:val="0"/>
          <w:sz w:val="21"/>
        </w:rPr>
        <w:t>- 引入外部安全审计，识别并整改安全隐患</w:t>
      </w:r>
    </w:p>
    <w:p>
      <w:pPr>
        <w:spacing w:line="360" w:lineRule="auto" w:after="120"/>
        <w:ind w:firstLine="432"/>
      </w:pPr>
      <w:r>
        <w:rPr>
          <w:rFonts w:ascii="宋体" w:hAnsi="宋体" w:eastAsia="宋体"/>
          <w:b w:val="0"/>
          <w:sz w:val="21"/>
        </w:rPr>
        <w:t>- 限制高敏感度数据集的开放范围，待安全整改完成后逐步扩大</w:t>
      </w:r>
    </w:p>
    <w:p>
      <w:pPr>
        <w:spacing w:line="360" w:lineRule="auto" w:after="120"/>
        <w:ind w:firstLine="432"/>
      </w:pPr>
      <w:r>
        <w:rPr>
          <w:rFonts w:ascii="宋体" w:hAnsi="宋体" w:eastAsia="宋体"/>
          <w:b w:val="0"/>
          <w:sz w:val="21"/>
        </w:rPr>
      </w:r>
      <w:r>
        <w:rPr>
          <w:rFonts w:ascii="宋体" w:hAnsi="宋体" w:eastAsia="宋体"/>
          <w:b/>
          <w:sz w:val="21"/>
        </w:rPr>
        <w:t>D级平台（DSRI≥4.5，福建）</w:t>
      </w:r>
      <w:r>
        <w:rPr>
          <w:rFonts w:ascii="宋体" w:hAnsi="宋体" w:eastAsia="宋体"/>
          <w:b w:val="0"/>
          <w:sz w:val="21"/>
        </w:rPr>
        <w:t>：</w:t>
      </w:r>
    </w:p>
    <w:p>
      <w:pPr>
        <w:spacing w:line="360" w:lineRule="auto" w:after="120"/>
        <w:ind w:firstLine="432"/>
      </w:pPr>
      <w:r>
        <w:rPr>
          <w:rFonts w:ascii="宋体" w:hAnsi="宋体" w:eastAsia="宋体"/>
          <w:b w:val="0"/>
          <w:sz w:val="21"/>
        </w:rPr>
        <w:t>- 立即启动数据主权安全专项整治</w:t>
      </w:r>
    </w:p>
    <w:p>
      <w:pPr>
        <w:spacing w:line="360" w:lineRule="auto" w:after="120"/>
        <w:ind w:firstLine="432"/>
      </w:pPr>
      <w:r>
        <w:rPr>
          <w:rFonts w:ascii="宋体" w:hAnsi="宋体" w:eastAsia="宋体"/>
          <w:b w:val="0"/>
          <w:sz w:val="21"/>
        </w:rPr>
        <w:t>- 暂停部分高敏感度数据集开放，进行安全审查</w:t>
      </w:r>
    </w:p>
    <w:p>
      <w:pPr>
        <w:spacing w:line="360" w:lineRule="auto" w:after="120"/>
        <w:ind w:firstLine="432"/>
      </w:pPr>
      <w:r>
        <w:rPr>
          <w:rFonts w:ascii="宋体" w:hAnsi="宋体" w:eastAsia="宋体"/>
          <w:b w:val="0"/>
          <w:sz w:val="21"/>
        </w:rPr>
        <w:t>- 接受国家数据管理部门的专项督导</w:t>
      </w:r>
    </w:p>
    <w:p>
      <w:pPr>
        <w:pStyle w:val="Heading1"/>
      </w:pPr>
      <w:r>
        <w:rPr>
          <w:rFonts w:ascii="黑体" w:hAnsi="黑体" w:eastAsia="黑体"/>
          <w:b/>
          <w:sz w:val="28"/>
        </w:rPr>
        <w:t>八、结论与建议</w:t>
      </w:r>
    </w:p>
    <w:p>
      <w:pPr>
        <w:pStyle w:val="Heading2"/>
      </w:pPr>
      <w:r>
        <w:rPr>
          <w:rFonts w:ascii="黑体" w:hAnsi="黑体" w:eastAsia="黑体"/>
          <w:b/>
          <w:sz w:val="24"/>
        </w:rPr>
        <w:t>8.1 核心结论</w:t>
      </w:r>
    </w:p>
    <w:p>
      <w:pPr>
        <w:spacing w:line="360" w:lineRule="auto" w:after="120"/>
        <w:ind w:firstLine="432"/>
      </w:pPr>
      <w:r>
        <w:rPr>
          <w:rFonts w:ascii="宋体" w:hAnsi="宋体" w:eastAsia="宋体"/>
          <w:b w:val="0"/>
          <w:sz w:val="21"/>
        </w:rPr>
        <w:t>（1）当前我国省级政府数据开放平台的数据主权安全风险整体处于中高水平（DSRI均值3.25），82.6%的平台存在中高风险隐患。</w:t>
      </w:r>
    </w:p>
    <w:p>
      <w:pPr>
        <w:spacing w:line="360" w:lineRule="auto" w:after="120"/>
        <w:ind w:firstLine="432"/>
      </w:pPr>
      <w:r>
        <w:rPr>
          <w:rFonts w:ascii="宋体" w:hAnsi="宋体" w:eastAsia="宋体"/>
          <w:b w:val="0"/>
          <w:sz w:val="21"/>
        </w:rPr>
        <w:t>（2）数据控制权风险（均值3.45）是当前最突出的风险维度，主要表现为数据分类分级制度缺失和平台安全责任模糊。</w:t>
      </w:r>
    </w:p>
    <w:p>
      <w:pPr>
        <w:spacing w:line="360" w:lineRule="auto" w:after="120"/>
        <w:ind w:firstLine="432"/>
      </w:pPr>
      <w:r>
        <w:rPr>
          <w:rFonts w:ascii="宋体" w:hAnsi="宋体" w:eastAsia="宋体"/>
          <w:b w:val="0"/>
          <w:sz w:val="21"/>
        </w:rPr>
        <w:t>（3）fsQCA分析识别出两条高风险组态路径："技术薄弱×制度缺失"型（中西部平台为主）和"开放过度×监管缺位"型（部分东部沿海平台为主）。</w:t>
      </w:r>
    </w:p>
    <w:p>
      <w:pPr>
        <w:spacing w:line="360" w:lineRule="auto" w:after="120"/>
        <w:ind w:firstLine="432"/>
      </w:pPr>
      <w:r>
        <w:rPr>
          <w:rFonts w:ascii="宋体" w:hAnsi="宋体" w:eastAsia="宋体"/>
          <w:b w:val="0"/>
          <w:sz w:val="21"/>
        </w:rPr>
        <w:t>（4）区域差异显著，东部平台数据主权安全风险显著低于中西部平台，技术投入和制度完善度是关键影响因素。</w:t>
      </w:r>
    </w:p>
    <w:p>
      <w:pPr>
        <w:pStyle w:val="Heading2"/>
      </w:pPr>
      <w:r>
        <w:rPr>
          <w:rFonts w:ascii="黑体" w:hAnsi="黑体" w:eastAsia="黑体"/>
          <w:b/>
          <w:sz w:val="24"/>
        </w:rPr>
        <w:t>8.2 对策建议</w:t>
      </w:r>
    </w:p>
    <w:p>
      <w:pPr>
        <w:spacing w:line="360" w:lineRule="auto" w:after="120"/>
        <w:ind w:firstLine="432"/>
      </w:pPr>
      <w:r>
        <w:rPr>
          <w:rFonts w:ascii="宋体" w:hAnsi="宋体" w:eastAsia="宋体"/>
          <w:b w:val="0"/>
          <w:sz w:val="21"/>
        </w:rPr>
      </w:r>
      <w:r>
        <w:rPr>
          <w:rFonts w:ascii="宋体" w:hAnsi="宋体" w:eastAsia="宋体"/>
          <w:b/>
          <w:sz w:val="21"/>
        </w:rPr>
        <w:t>（1）建立平台数据主权安全分级认证制度</w:t>
      </w:r>
      <w:r>
        <w:rPr>
          <w:rFonts w:ascii="宋体" w:hAnsi="宋体" w:eastAsia="宋体"/>
          <w:b w:val="0"/>
          <w:sz w:val="21"/>
        </w:rPr>
      </w:r>
    </w:p>
    <w:p>
      <w:pPr>
        <w:spacing w:line="360" w:lineRule="auto" w:after="120"/>
        <w:ind w:firstLine="432"/>
      </w:pPr>
      <w:r>
        <w:rPr>
          <w:rFonts w:ascii="宋体" w:hAnsi="宋体" w:eastAsia="宋体"/>
          <w:b w:val="0"/>
          <w:sz w:val="21"/>
        </w:rPr>
        <w:t>建议国家数据局参考本研究的评估框架，建立全国统一的政府数据开放平台数据主权安全分级认证制度，将认证结果与平台考核、资金支持挂钩。</w:t>
      </w:r>
    </w:p>
    <w:p>
      <w:pPr>
        <w:spacing w:line="360" w:lineRule="auto" w:after="120"/>
        <w:ind w:firstLine="432"/>
      </w:pPr>
      <w:r>
        <w:rPr>
          <w:rFonts w:ascii="宋体" w:hAnsi="宋体" w:eastAsia="宋体"/>
          <w:b w:val="0"/>
          <w:sz w:val="21"/>
        </w:rPr>
      </w:r>
      <w:r>
        <w:rPr>
          <w:rFonts w:ascii="宋体" w:hAnsi="宋体" w:eastAsia="宋体"/>
          <w:b/>
          <w:sz w:val="21"/>
        </w:rPr>
        <w:t>（2）完善数据分类分级制度</w:t>
      </w:r>
      <w:r>
        <w:rPr>
          <w:rFonts w:ascii="宋体" w:hAnsi="宋体" w:eastAsia="宋体"/>
          <w:b w:val="0"/>
          <w:sz w:val="21"/>
        </w:rPr>
      </w:r>
    </w:p>
    <w:p>
      <w:pPr>
        <w:spacing w:line="360" w:lineRule="auto" w:after="120"/>
        <w:ind w:firstLine="432"/>
      </w:pPr>
      <w:r>
        <w:rPr>
          <w:rFonts w:ascii="宋体" w:hAnsi="宋体" w:eastAsia="宋体"/>
          <w:b w:val="0"/>
          <w:sz w:val="21"/>
        </w:rPr>
        <w:t>建议各平台按照《数据安全法》要求，建立科学的数据分类分级制度，明确各类数据的开放范围和安全要求，避免"一刀切"的开放模式。</w:t>
      </w:r>
    </w:p>
    <w:p>
      <w:pPr>
        <w:spacing w:line="360" w:lineRule="auto" w:after="120"/>
        <w:ind w:firstLine="432"/>
      </w:pPr>
      <w:r>
        <w:rPr>
          <w:rFonts w:ascii="宋体" w:hAnsi="宋体" w:eastAsia="宋体"/>
          <w:b w:val="0"/>
          <w:sz w:val="21"/>
        </w:rPr>
      </w:r>
      <w:r>
        <w:rPr>
          <w:rFonts w:ascii="宋体" w:hAnsi="宋体" w:eastAsia="宋体"/>
          <w:b/>
          <w:sz w:val="21"/>
        </w:rPr>
        <w:t>（3）加强跨境数据流动管控</w:t>
      </w:r>
      <w:r>
        <w:rPr>
          <w:rFonts w:ascii="宋体" w:hAnsi="宋体" w:eastAsia="宋体"/>
          <w:b w:val="0"/>
          <w:sz w:val="21"/>
        </w:rPr>
      </w:r>
    </w:p>
    <w:p>
      <w:pPr>
        <w:spacing w:line="360" w:lineRule="auto" w:after="120"/>
        <w:ind w:firstLine="432"/>
      </w:pPr>
      <w:r>
        <w:rPr>
          <w:rFonts w:ascii="宋体" w:hAnsi="宋体" w:eastAsia="宋体"/>
          <w:b w:val="0"/>
          <w:sz w:val="21"/>
        </w:rPr>
        <w:t>建议各平台建立数据跨境流动审查机制，对境外用户的数据访问进行登记和审查，防止数据主权流失。</w:t>
      </w:r>
    </w:p>
    <w:p>
      <w:pPr>
        <w:spacing w:line="360" w:lineRule="auto" w:after="120"/>
        <w:ind w:firstLine="432"/>
      </w:pPr>
      <w:r>
        <w:rPr>
          <w:rFonts w:ascii="宋体" w:hAnsi="宋体" w:eastAsia="宋体"/>
          <w:b w:val="0"/>
          <w:sz w:val="21"/>
        </w:rPr>
      </w:r>
      <w:r>
        <w:rPr>
          <w:rFonts w:ascii="宋体" w:hAnsi="宋体" w:eastAsia="宋体"/>
          <w:b/>
          <w:sz w:val="21"/>
        </w:rPr>
        <w:t>（4）建立第三方接入安全审查制度</w:t>
      </w:r>
      <w:r>
        <w:rPr>
          <w:rFonts w:ascii="宋体" w:hAnsi="宋体" w:eastAsia="宋体"/>
          <w:b w:val="0"/>
          <w:sz w:val="21"/>
        </w:rPr>
      </w:r>
    </w:p>
    <w:p>
      <w:pPr>
        <w:spacing w:line="360" w:lineRule="auto" w:after="120"/>
        <w:ind w:firstLine="432"/>
      </w:pPr>
      <w:r>
        <w:rPr>
          <w:rFonts w:ascii="宋体" w:hAnsi="宋体" w:eastAsia="宋体"/>
          <w:b w:val="0"/>
          <w:sz w:val="21"/>
        </w:rPr>
        <w:t>建议各平台在向第三方提供数据API时，进行安全审查并签署数据使用协议，明确第三方的安全责任。</w:t>
      </w:r>
    </w:p>
    <w:p>
      <w:pPr>
        <w:pStyle w:val="Heading1"/>
      </w:pPr>
      <w:r>
        <w:rPr>
          <w:rFonts w:ascii="黑体" w:hAnsi="黑体" w:eastAsia="黑体"/>
          <w:b/>
          <w:sz w:val="28"/>
        </w:rPr>
        <w:t>作者简介</w:t>
      </w:r>
    </w:p>
    <w:p>
      <w:pPr>
        <w:spacing w:line="360" w:lineRule="auto" w:after="120"/>
        <w:ind w:firstLine="432"/>
      </w:pPr>
      <w:r>
        <w:rPr>
          <w:rFonts w:ascii="宋体" w:hAnsi="宋体" w:eastAsia="宋体"/>
          <w:b w:val="0"/>
          <w:sz w:val="21"/>
        </w:rPr>
      </w:r>
      <w:r>
        <w:rPr>
          <w:rFonts w:ascii="宋体" w:hAnsi="宋体" w:eastAsia="宋体"/>
          <w:b/>
          <w:sz w:val="21"/>
        </w:rPr>
        <w:t>文明</w:t>
      </w:r>
      <w:r>
        <w:rPr>
          <w:rFonts w:ascii="宋体" w:hAnsi="宋体" w:eastAsia="宋体"/>
          <w:b w:val="0"/>
          <w:sz w:val="21"/>
        </w:rPr>
        <w:t>（1990-），男，湖北武汉人，武汉大学信息管理学院博士研究生，研究方向：政府数据开放、数据治理、信息资源管理。Email: ambit@qq.com</w:t>
      </w:r>
    </w:p>
    <w:p>
      <w:pPr>
        <w:spacing w:line="360" w:lineRule="auto" w:after="120"/>
        <w:ind w:firstLine="432"/>
      </w:pPr>
      <w:r>
        <w:rPr>
          <w:rFonts w:ascii="宋体" w:hAnsi="宋体" w:eastAsia="宋体"/>
          <w:b w:val="0"/>
          <w:sz w:val="21"/>
        </w:rPr>
      </w:r>
      <w:r>
        <w:rPr>
          <w:rFonts w:ascii="宋体" w:hAnsi="宋体" w:eastAsia="宋体"/>
          <w:b/>
          <w:sz w:val="21"/>
        </w:rPr>
        <w:t>冉从敬</w:t>
      </w:r>
      <w:r>
        <w:rPr>
          <w:rFonts w:ascii="宋体" w:hAnsi="宋体" w:eastAsia="宋体"/>
          <w:b w:val="0"/>
          <w:sz w:val="21"/>
        </w:rPr>
        <w:t>（1972-），男，重庆人，武汉大学信息管理学院教授、博士生导师，国家级人才，研究方向：数据主权、数据治理、知识产权。Email: rancongjing@163.com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