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数据流通匿名化处理标准下的政府数据开放平台数据集质量评估</w:t>
      </w:r>
    </w:p>
    <w:p>
      <w:pPr>
        <w:pStyle w:val="Heading1"/>
      </w:pPr>
      <w:r>
        <w:rPr>
          <w:rFonts w:ascii="黑体" w:hAnsi="黑体" w:eastAsia="黑体"/>
          <w:b/>
          <w:sz w:val="28"/>
        </w:rPr>
        <w:t>——基于23个省级平台的实证分析</w:t>
      </w:r>
    </w:p>
    <w:p>
      <w:pPr>
        <w:pStyle w:val="Heading1"/>
      </w:pPr>
      <w:r>
        <w:rPr>
          <w:rFonts w:ascii="黑体" w:hAnsi="黑体" w:eastAsia="黑体"/>
          <w:b/>
          <w:sz w:val="28"/>
        </w:rPr>
        <w:t>摘要</w:t>
      </w:r>
    </w:p>
    <w:p>
      <w:pPr>
        <w:spacing w:line="360" w:lineRule="auto" w:after="120"/>
        <w:ind w:firstLine="432"/>
      </w:pPr>
      <w:r>
        <w:rPr>
          <w:rFonts w:ascii="宋体" w:hAnsi="宋体" w:eastAsia="宋体"/>
          <w:b w:val="0"/>
          <w:sz w:val="21"/>
        </w:rPr>
      </w:r>
      <w:r>
        <w:rPr>
          <w:rFonts w:ascii="宋体" w:hAnsi="宋体" w:eastAsia="宋体"/>
          <w:b/>
          <w:sz w:val="21"/>
        </w:rPr>
        <w:t>【目的/意义】</w:t>
      </w:r>
      <w:r>
        <w:rPr>
          <w:rFonts w:ascii="宋体" w:hAnsi="宋体" w:eastAsia="宋体"/>
          <w:b w:val="0"/>
          <w:sz w:val="21"/>
        </w:rPr>
        <w:t xml:space="preserve"> 《数据安全法》《个人信息保护法》实施后，政府数据开放平台面临"数据开放"与"隐私保护"的双重张力。国家数据局正在制定"数据流通匿名化处理评价标准"，但尚缺乏针对政府数据开放平台数据集的匿名化质量评估实证研究。本文构建基于匿名化处理标准的平台数据集质量评估框架，为平台匿名化处理实践提供可操作的评估工具。</w:t>
      </w:r>
    </w:p>
    <w:p>
      <w:pPr>
        <w:spacing w:line="360" w:lineRule="auto" w:after="120"/>
        <w:ind w:firstLine="432"/>
      </w:pPr>
      <w:r>
        <w:rPr>
          <w:rFonts w:ascii="宋体" w:hAnsi="宋体" w:eastAsia="宋体"/>
          <w:b w:val="0"/>
          <w:sz w:val="21"/>
        </w:rPr>
      </w:r>
      <w:r>
        <w:rPr>
          <w:rFonts w:ascii="宋体" w:hAnsi="宋体" w:eastAsia="宋体"/>
          <w:b/>
          <w:sz w:val="21"/>
        </w:rPr>
        <w:t>【方法/过程】</w:t>
      </w:r>
      <w:r>
        <w:rPr>
          <w:rFonts w:ascii="宋体" w:hAnsi="宋体" w:eastAsia="宋体"/>
          <w:b w:val="0"/>
          <w:sz w:val="21"/>
        </w:rPr>
        <w:t xml:space="preserve"> 以冉从敬教授参与制定的数据流通匿名化处理评价标准为理论基础，构建包含"识别风险、关联风险、推断风险"三个维度的匿名化质量评估指标体系。选取我国23个省级政府数据开放平台，采用内容分析法对平台数据集中的个人信息字段进行编码，结合专家评分法评估各平台数据集的匿名化处理质量，并与数据集利用绩效进行关联分析。</w:t>
      </w:r>
    </w:p>
    <w:p>
      <w:pPr>
        <w:spacing w:line="360" w:lineRule="auto" w:after="120"/>
        <w:ind w:firstLine="432"/>
      </w:pPr>
      <w:r>
        <w:rPr>
          <w:rFonts w:ascii="宋体" w:hAnsi="宋体" w:eastAsia="宋体"/>
          <w:b w:val="0"/>
          <w:sz w:val="21"/>
        </w:rPr>
      </w:r>
      <w:r>
        <w:rPr>
          <w:rFonts w:ascii="宋体" w:hAnsi="宋体" w:eastAsia="宋体"/>
          <w:b/>
          <w:sz w:val="21"/>
        </w:rPr>
        <w:t>【结果/结论】</w:t>
      </w:r>
      <w:r>
        <w:rPr>
          <w:rFonts w:ascii="宋体" w:hAnsi="宋体" w:eastAsia="宋体"/>
          <w:b w:val="0"/>
          <w:sz w:val="21"/>
        </w:rPr>
        <w:t xml:space="preserve"> 研究发现：（1）23个平台中仅35%的数据集采用了规范的匿名化处理，65%存在不同程度的个人信息泄露风险；（2）匿名化处理质量与数据集下载量呈倒U型关系——适度匿名化（保留数据可用性）促进利用，过度匿名化（破坏数据结构）抑制利用；（3）平台间的匿名化质量差异显著，东部省份优于中西部省份；（4）当前平台匿名化处理存在"一刀切"倾向，缺乏差异化的分级分类处理策略。研究建议建立"数据集敏感度分级×匿名化强度匹配"的处理矩阵，为《数据流通匿名化处理评价标准》在政府数据开放场景下的落地实施提供实证支撑。</w:t>
      </w:r>
    </w:p>
    <w:p>
      <w:pPr>
        <w:spacing w:line="360" w:lineRule="auto" w:after="120"/>
        <w:ind w:firstLine="432"/>
      </w:pPr>
      <w:r>
        <w:rPr>
          <w:rFonts w:ascii="宋体" w:hAnsi="宋体" w:eastAsia="宋体"/>
          <w:b w:val="0"/>
          <w:sz w:val="21"/>
        </w:rPr>
      </w:r>
      <w:r>
        <w:rPr>
          <w:rFonts w:ascii="宋体" w:hAnsi="宋体" w:eastAsia="宋体"/>
          <w:b/>
          <w:sz w:val="21"/>
        </w:rPr>
        <w:t>关键词</w:t>
      </w:r>
      <w:r>
        <w:rPr>
          <w:rFonts w:ascii="宋体" w:hAnsi="宋体" w:eastAsia="宋体"/>
          <w:b w:val="0"/>
          <w:sz w:val="21"/>
        </w:rPr>
        <w:t>：政府数据开放；匿名化处理；数据流通标准；数据集质量；个人信息保护；数据安全法</w:t>
      </w:r>
    </w:p>
    <w:p>
      <w:pPr>
        <w:pStyle w:val="Heading1"/>
      </w:pPr>
      <w:r>
        <w:rPr>
          <w:rFonts w:ascii="黑体" w:hAnsi="黑体" w:eastAsia="黑体"/>
          <w:b/>
          <w:sz w:val="28"/>
        </w:rPr>
        <w:t>二、文献综述</w:t>
      </w:r>
    </w:p>
    <w:p>
      <w:pPr>
        <w:pStyle w:val="Heading2"/>
      </w:pPr>
      <w:r>
        <w:rPr>
          <w:rFonts w:ascii="黑体" w:hAnsi="黑体" w:eastAsia="黑体"/>
          <w:b/>
          <w:sz w:val="24"/>
        </w:rPr>
        <w:t>2.1 政府数据开放中的个人信息保护研究</w:t>
      </w:r>
    </w:p>
    <w:p>
      <w:pPr>
        <w:spacing w:line="360" w:lineRule="auto" w:after="120"/>
        <w:ind w:firstLine="432"/>
      </w:pPr>
      <w:r>
        <w:rPr>
          <w:rFonts w:ascii="宋体" w:hAnsi="宋体" w:eastAsia="宋体"/>
          <w:b w:val="0"/>
          <w:sz w:val="21"/>
        </w:rPr>
        <w:t>政府数据开放中的个人信息保护是近年来学界关注的热点议题。Janssen等（2012）最早指出，开放数据运动面临"开放与隐私"的根本张力。Zuiderwijk等（2014）通过跨国比较发现，各国政府在数据开放中对个人信息保护的处理方式差异显著，缺乏统一标准。</w:t>
      </w:r>
    </w:p>
    <w:p>
      <w:pPr>
        <w:spacing w:line="360" w:lineRule="auto" w:after="120"/>
        <w:ind w:firstLine="432"/>
      </w:pPr>
      <w:r>
        <w:rPr>
          <w:rFonts w:ascii="宋体" w:hAnsi="宋体" w:eastAsia="宋体"/>
          <w:b w:val="0"/>
          <w:sz w:val="21"/>
        </w:rPr>
        <w:t>在国内，黄如花等（2019）对我国政府数据开放平台进行了系统性评估，发现多数平台未建立个人信息审查机制。夏义堃等（2020）指出，政府数据开放中的"去标识化"处理存在标准不一、技术手段落后等问题。张晓娟等（2021）提出了"分类分级开放"理念，主张根据数据敏感度和利用价值建立差异化开放策略。</w:t>
      </w:r>
    </w:p>
    <w:p>
      <w:pPr>
        <w:spacing w:line="360" w:lineRule="auto" w:after="120"/>
        <w:ind w:firstLine="432"/>
      </w:pPr>
      <w:r>
        <w:rPr>
          <w:rFonts w:ascii="宋体" w:hAnsi="宋体" w:eastAsia="宋体"/>
          <w:b w:val="0"/>
          <w:sz w:val="21"/>
        </w:rPr>
        <w:t>然而，现有研究多停留在理念层面或个案分析，缺乏大规模平台的系统性实证评估，也未能与正在制定的国家标准进行对接。</w:t>
      </w:r>
    </w:p>
    <w:p>
      <w:pPr>
        <w:pStyle w:val="Heading2"/>
      </w:pPr>
      <w:r>
        <w:rPr>
          <w:rFonts w:ascii="黑体" w:hAnsi="黑体" w:eastAsia="黑体"/>
          <w:b/>
          <w:sz w:val="24"/>
        </w:rPr>
        <w:t>2.2 匿名化处理技术与标准研究</w:t>
      </w:r>
    </w:p>
    <w:p>
      <w:pPr>
        <w:spacing w:line="360" w:lineRule="auto" w:after="120"/>
        <w:ind w:firstLine="432"/>
      </w:pPr>
      <w:r>
        <w:rPr>
          <w:rFonts w:ascii="宋体" w:hAnsi="宋体" w:eastAsia="宋体"/>
          <w:b w:val="0"/>
          <w:sz w:val="21"/>
        </w:rPr>
        <w:t>匿名化处理技术经历了从简单脱敏到差分隐私的演进。Sweeney（2002）提出的k-匿名模型是早期的经典方法，要求数据集中每条记录至少与k-1条其他记录不可区分。Dwork（2006）提出的差分隐私则通过添加可控噪声实现隐私保护，成为当前学术界的主流方法。</w:t>
      </w:r>
    </w:p>
    <w:p>
      <w:pPr>
        <w:spacing w:line="360" w:lineRule="auto" w:after="120"/>
        <w:ind w:firstLine="432"/>
      </w:pPr>
      <w:r>
        <w:rPr>
          <w:rFonts w:ascii="宋体" w:hAnsi="宋体" w:eastAsia="宋体"/>
          <w:b w:val="0"/>
          <w:sz w:val="21"/>
        </w:rPr>
        <w:t>在标准制定方面，国际标准化组织（ISO）发布了ISO/IEC 20889:2018《隐私增强数据去标识化框架》，为数据去标识化提供了技术指南。欧盟GDPR将"匿名化数据"排除在个人数据定义之外，但对匿名化标准未作具体规定。美国NIST发布了《去标识化指南》（NISTIR 8053），提供了去标识化的风险评估框架。</w:t>
      </w:r>
    </w:p>
    <w:p>
      <w:pPr>
        <w:spacing w:line="360" w:lineRule="auto" w:after="120"/>
        <w:ind w:firstLine="432"/>
      </w:pPr>
      <w:r>
        <w:rPr>
          <w:rFonts w:ascii="宋体" w:hAnsi="宋体" w:eastAsia="宋体"/>
          <w:b w:val="0"/>
          <w:sz w:val="21"/>
        </w:rPr>
        <w:t>在国内，全国信息安全标准化技术委员会发布了GB/T 37964-2019《个人信息去标识化指南》，但主要针对企业数据处理场景，对政府数据开放场景的适用性有限。2024年，国家数据局启动"数据流通匿名化处理评价标准"制定工作，标志着我国匿名化处理标准化进入新阶段。</w:t>
      </w:r>
    </w:p>
    <w:p>
      <w:pPr>
        <w:pStyle w:val="Heading2"/>
      </w:pPr>
      <w:r>
        <w:rPr>
          <w:rFonts w:ascii="黑体" w:hAnsi="黑体" w:eastAsia="黑体"/>
          <w:b/>
          <w:sz w:val="24"/>
        </w:rPr>
        <w:t>2.3 数据质量评估研究</w:t>
      </w:r>
    </w:p>
    <w:p>
      <w:pPr>
        <w:spacing w:line="360" w:lineRule="auto" w:after="120"/>
        <w:ind w:firstLine="432"/>
      </w:pPr>
      <w:r>
        <w:rPr>
          <w:rFonts w:ascii="宋体" w:hAnsi="宋体" w:eastAsia="宋体"/>
          <w:b w:val="0"/>
          <w:sz w:val="21"/>
        </w:rPr>
        <w:t>数据质量评估是信息资源管理领域的经典议题。Wang和Strong（1996）提出了包含内在质量、情境质量、表达质量和可访问质量四个维度的数据质量框架。Batini等（2009）进一步将数据质量维度细化为准确性、完整性、一致性、及时性、可用性等。</w:t>
      </w:r>
    </w:p>
    <w:p>
      <w:pPr>
        <w:spacing w:line="360" w:lineRule="auto" w:after="120"/>
        <w:ind w:firstLine="432"/>
      </w:pPr>
      <w:r>
        <w:rPr>
          <w:rFonts w:ascii="宋体" w:hAnsi="宋体" w:eastAsia="宋体"/>
          <w:b w:val="0"/>
          <w:sz w:val="21"/>
        </w:rPr>
        <w:t>在政府数据开放领域，数据质量评估已成为平台评价的核心内容。Veljkovic等（2010）提出了开放政府数据质量评估的五维度框架（准确性、完整性、及时性、可访问性、可用性）。国内学者如黄如花等（2019）、张会平等（2020）均构建了面向政府数据开放平台的质量评估指标体系。</w:t>
      </w:r>
    </w:p>
    <w:p>
      <w:pPr>
        <w:spacing w:line="360" w:lineRule="auto" w:after="120"/>
        <w:ind w:firstLine="432"/>
      </w:pPr>
      <w:r>
        <w:rPr>
          <w:rFonts w:ascii="宋体" w:hAnsi="宋体" w:eastAsia="宋体"/>
          <w:b w:val="0"/>
          <w:sz w:val="21"/>
        </w:rPr>
        <w:t>然而，现有数据质量评估框架普遍未将"匿名化处理质量"纳入考量。在《个人信息保护法》实施背景下，匿名化质量已成为数据集质量不可或缺的维度。</w:t>
      </w:r>
    </w:p>
    <w:p>
      <w:pPr>
        <w:pStyle w:val="Heading2"/>
      </w:pPr>
      <w:r>
        <w:rPr>
          <w:rFonts w:ascii="黑体" w:hAnsi="黑体" w:eastAsia="黑体"/>
          <w:b/>
          <w:sz w:val="24"/>
        </w:rPr>
        <w:t>2.4 研究述评</w:t>
      </w:r>
    </w:p>
    <w:p>
      <w:pPr>
        <w:spacing w:line="360" w:lineRule="auto" w:after="120"/>
        <w:ind w:firstLine="432"/>
      </w:pPr>
      <w:r>
        <w:rPr>
          <w:rFonts w:ascii="宋体" w:hAnsi="宋体" w:eastAsia="宋体"/>
          <w:b w:val="0"/>
          <w:sz w:val="21"/>
        </w:rPr>
        <w:t>综合现有文献，可以发现三个研究空白：</w:t>
      </w:r>
    </w:p>
    <w:p>
      <w:pPr>
        <w:spacing w:line="360" w:lineRule="auto" w:after="120"/>
        <w:ind w:firstLine="432"/>
      </w:pPr>
      <w:r>
        <w:rPr>
          <w:rFonts w:ascii="宋体" w:hAnsi="宋体" w:eastAsia="宋体"/>
          <w:b w:val="0"/>
          <w:sz w:val="21"/>
        </w:rPr>
      </w:r>
      <w:r>
        <w:rPr>
          <w:rFonts w:ascii="宋体" w:hAnsi="宋体" w:eastAsia="宋体"/>
          <w:b/>
          <w:sz w:val="21"/>
        </w:rPr>
        <w:t>第一</w:t>
      </w:r>
      <w:r>
        <w:rPr>
          <w:rFonts w:ascii="宋体" w:hAnsi="宋体" w:eastAsia="宋体"/>
          <w:b w:val="0"/>
          <w:sz w:val="21"/>
        </w:rPr>
        <w:t>，缺乏与国家标准对接的匿名化质量评估实证研究。现有研究多停留在理论探讨或个案分析，未能与正在制定的"数据流通匿名化处理评价标准"进行对接。</w:t>
      </w:r>
    </w:p>
    <w:p>
      <w:pPr>
        <w:spacing w:line="360" w:lineRule="auto" w:after="120"/>
        <w:ind w:firstLine="432"/>
      </w:pPr>
      <w:r>
        <w:rPr>
          <w:rFonts w:ascii="宋体" w:hAnsi="宋体" w:eastAsia="宋体"/>
          <w:b w:val="0"/>
          <w:sz w:val="21"/>
        </w:rPr>
      </w:r>
      <w:r>
        <w:rPr>
          <w:rFonts w:ascii="宋体" w:hAnsi="宋体" w:eastAsia="宋体"/>
          <w:b/>
          <w:sz w:val="21"/>
        </w:rPr>
        <w:t>第二</w:t>
      </w:r>
      <w:r>
        <w:rPr>
          <w:rFonts w:ascii="宋体" w:hAnsi="宋体" w:eastAsia="宋体"/>
          <w:b w:val="0"/>
          <w:sz w:val="21"/>
        </w:rPr>
        <w:t>，匿名化质量与数据利用绩效的关联机制尚不明确。现有研究将匿名化和数据利用视为两个独立议题，缺乏对两者关联的系统性考察。</w:t>
      </w:r>
    </w:p>
    <w:p>
      <w:pPr>
        <w:spacing w:line="360" w:lineRule="auto" w:after="120"/>
        <w:ind w:firstLine="432"/>
      </w:pPr>
      <w:r>
        <w:rPr>
          <w:rFonts w:ascii="宋体" w:hAnsi="宋体" w:eastAsia="宋体"/>
          <w:b w:val="0"/>
          <w:sz w:val="21"/>
        </w:rPr>
      </w:r>
      <w:r>
        <w:rPr>
          <w:rFonts w:ascii="宋体" w:hAnsi="宋体" w:eastAsia="宋体"/>
          <w:b/>
          <w:sz w:val="21"/>
        </w:rPr>
        <w:t>第三</w:t>
      </w:r>
      <w:r>
        <w:rPr>
          <w:rFonts w:ascii="宋体" w:hAnsi="宋体" w:eastAsia="宋体"/>
          <w:b w:val="0"/>
          <w:sz w:val="21"/>
        </w:rPr>
        <w:t>，缺乏大规模平台的匿名化处理现状评估。现有评估多基于少量平台的案例分析，缺乏覆盖全国省级平台的系统性评估。</w:t>
      </w:r>
    </w:p>
    <w:p>
      <w:pPr>
        <w:spacing w:line="360" w:lineRule="auto" w:after="120"/>
        <w:ind w:firstLine="432"/>
      </w:pPr>
      <w:r>
        <w:rPr>
          <w:rFonts w:ascii="宋体" w:hAnsi="宋体" w:eastAsia="宋体"/>
          <w:b w:val="0"/>
          <w:sz w:val="21"/>
        </w:rPr>
        <w:t>本研究旨在填补上述空白，构建基于国家标准的匿名化质量评估框架，并开展23个省级平台的实证评估。</w:t>
      </w:r>
    </w:p>
    <w:p>
      <w:pPr>
        <w:pStyle w:val="Heading1"/>
      </w:pPr>
      <w:r>
        <w:rPr>
          <w:rFonts w:ascii="黑体" w:hAnsi="黑体" w:eastAsia="黑体"/>
          <w:b/>
          <w:sz w:val="28"/>
        </w:rPr>
        <w:t>四、研究设计</w:t>
      </w:r>
    </w:p>
    <w:p>
      <w:pPr>
        <w:pStyle w:val="Heading2"/>
      </w:pPr>
      <w:r>
        <w:rPr>
          <w:rFonts w:ascii="黑体" w:hAnsi="黑体" w:eastAsia="黑体"/>
          <w:b/>
          <w:sz w:val="24"/>
        </w:rPr>
        <w:t>4.1 研究样本</w:t>
      </w:r>
    </w:p>
    <w:p>
      <w:pPr>
        <w:spacing w:line="360" w:lineRule="auto" w:after="120"/>
        <w:ind w:firstLine="432"/>
      </w:pPr>
      <w:r>
        <w:rPr>
          <w:rFonts w:ascii="宋体" w:hAnsi="宋体" w:eastAsia="宋体"/>
          <w:b w:val="0"/>
          <w:sz w:val="21"/>
        </w:rPr>
        <w:t>本研究选取我国23个省级政府数据开放平台作为研究样本。样本选择遵循以下原则：（1）平台运营时间超过2年，形成稳定的数据集积累；（2）平台公开的数据集目录可获取；（3）平台覆盖东、中、西部不同经济发展水平的省份。样本涵盖北京、上海、天津、重庆4个直辖市，广东、浙江、江苏、山东、福建、海南等东部省份，湖北、湖南、河南、安徽、江西等中部省份，以及四川、贵州、云南、广西、辽宁、吉林、内蒙古、山西等西部和东北部省份。</w:t>
      </w:r>
    </w:p>
    <w:p>
      <w:pPr>
        <w:spacing w:line="360" w:lineRule="auto" w:after="120"/>
        <w:ind w:firstLine="432"/>
      </w:pPr>
      <w:r>
        <w:rPr>
          <w:rFonts w:ascii="宋体" w:hAnsi="宋体" w:eastAsia="宋体"/>
          <w:b w:val="0"/>
          <w:sz w:val="21"/>
        </w:rPr>
        <w:t>在每个平台上，采用分层随机抽样方法抽取数据集样本。第一层按数据集主题（人口、医疗、交通、环境、经济、教育、文化、其他）进行分层，第二层在各主题层内随机抽取。每个平台抽取30个数据集，总样本量为690个数据集。</w:t>
      </w:r>
    </w:p>
    <w:p>
      <w:pPr>
        <w:pStyle w:val="Heading2"/>
      </w:pPr>
      <w:r>
        <w:rPr>
          <w:rFonts w:ascii="黑体" w:hAnsi="黑体" w:eastAsia="黑体"/>
          <w:b/>
          <w:sz w:val="24"/>
        </w:rPr>
        <w:t>4.2 评估指标体系</w:t>
      </w:r>
    </w:p>
    <w:p>
      <w:pPr>
        <w:spacing w:line="360" w:lineRule="auto" w:after="120"/>
        <w:ind w:firstLine="432"/>
      </w:pPr>
      <w:r>
        <w:rPr>
          <w:rFonts w:ascii="宋体" w:hAnsi="宋体" w:eastAsia="宋体"/>
          <w:b w:val="0"/>
          <w:sz w:val="21"/>
        </w:rPr>
        <w:t>基于"数据流通匿名化处理评价标准"的核心框架，本研究构建了适用于政府数据开放平台场景的三级评估指标体系：</w:t>
      </w:r>
    </w:p>
    <w:p>
      <w:pPr>
        <w:spacing w:line="360" w:lineRule="auto" w:after="120"/>
        <w:ind w:firstLine="432"/>
      </w:pPr>
      <w:r>
        <w:rPr>
          <w:rFonts w:ascii="宋体" w:hAnsi="宋体" w:eastAsia="宋体"/>
          <w:b w:val="0"/>
          <w:sz w:val="21"/>
        </w:rPr>
      </w:r>
      <w:r>
        <w:rPr>
          <w:rFonts w:ascii="宋体" w:hAnsi="宋体" w:eastAsia="宋体"/>
          <w:b/>
          <w:sz w:val="21"/>
        </w:rPr>
        <w:t>一级指标：匿名化处理质量指数（AQI）</w:t>
      </w:r>
      <w:r>
        <w:rPr>
          <w:rFonts w:ascii="宋体" w:hAnsi="宋体" w:eastAsia="宋体"/>
          <w:b w:val="0"/>
          <w:sz w:val="21"/>
        </w:rPr>
      </w:r>
    </w:p>
    <w:p>
      <w:pPr>
        <w:spacing w:line="360" w:lineRule="auto" w:after="120"/>
        <w:ind w:firstLine="432"/>
      </w:pPr>
      <w:r>
        <w:rPr>
          <w:rFonts w:ascii="宋体" w:hAnsi="宋体" w:eastAsia="宋体"/>
          <w:b w:val="0"/>
          <w:sz w:val="21"/>
        </w:rPr>
      </w:r>
      <w:r>
        <w:rPr>
          <w:rFonts w:ascii="宋体" w:hAnsi="宋体" w:eastAsia="宋体"/>
          <w:b/>
          <w:sz w:val="21"/>
        </w:rPr>
        <w:t>二级指标与三级指标</w:t>
      </w:r>
      <w:r>
        <w:rPr>
          <w:rFonts w:ascii="宋体" w:hAnsi="宋体" w:eastAsia="宋体"/>
          <w:b w:val="0"/>
          <w:sz w:val="21"/>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val="0"/>
                <w:sz w:val="18"/>
              </w:rPr>
              <w:t>二级指标</w:t>
            </w:r>
          </w:p>
        </w:tc>
        <w:tc>
          <w:tcPr>
            <w:tcW w:type="dxa" w:w="2160"/>
          </w:tcPr>
          <w:p>
            <w:r/>
            <w:r>
              <w:rPr>
                <w:rFonts w:ascii="宋体" w:hAnsi="宋体" w:eastAsia="宋体"/>
                <w:b w:val="0"/>
                <w:sz w:val="18"/>
              </w:rPr>
              <w:t>三级指标</w:t>
            </w:r>
          </w:p>
        </w:tc>
        <w:tc>
          <w:tcPr>
            <w:tcW w:type="dxa" w:w="2160"/>
          </w:tcPr>
          <w:p>
            <w:r/>
            <w:r>
              <w:rPr>
                <w:rFonts w:ascii="宋体" w:hAnsi="宋体" w:eastAsia="宋体"/>
                <w:b w:val="0"/>
                <w:sz w:val="18"/>
              </w:rPr>
              <w:t>评估方法</w:t>
            </w:r>
          </w:p>
        </w:tc>
        <w:tc>
          <w:tcPr>
            <w:tcW w:type="dxa" w:w="2160"/>
          </w:tcPr>
          <w:p>
            <w:r/>
            <w:r>
              <w:rPr>
                <w:rFonts w:ascii="宋体" w:hAnsi="宋体" w:eastAsia="宋体"/>
                <w:b w:val="0"/>
                <w:sz w:val="18"/>
              </w:rPr>
              <w:t>权重</w:t>
            </w:r>
          </w:p>
        </w:tc>
      </w:tr>
      <w:tr>
        <w:tc>
          <w:tcPr>
            <w:tcW w:type="dxa" w:w="2160"/>
          </w:tcPr>
          <w:p>
            <w:r/>
            <w:r>
              <w:rPr>
                <w:rFonts w:ascii="宋体" w:hAnsi="宋体" w:eastAsia="宋体"/>
                <w:b w:val="0"/>
                <w:sz w:val="18"/>
              </w:rPr>
            </w:r>
            <w:r>
              <w:rPr>
                <w:rFonts w:ascii="宋体" w:hAnsi="宋体" w:eastAsia="宋体"/>
                <w:b/>
                <w:sz w:val="18"/>
              </w:rPr>
              <w:t>识别风险（IR）</w:t>
            </w:r>
            <w:r>
              <w:rPr>
                <w:rFonts w:ascii="宋体" w:hAnsi="宋体" w:eastAsia="宋体"/>
                <w:b w:val="0"/>
                <w:sz w:val="18"/>
              </w:rPr>
            </w:r>
          </w:p>
        </w:tc>
        <w:tc>
          <w:tcPr>
            <w:tcW w:type="dxa" w:w="2160"/>
          </w:tcPr>
          <w:p>
            <w:r/>
            <w:r>
              <w:rPr>
                <w:rFonts w:ascii="宋体" w:hAnsi="宋体" w:eastAsia="宋体"/>
                <w:b w:val="0"/>
                <w:sz w:val="18"/>
              </w:rPr>
              <w:t>直接标识符移除率</w:t>
            </w:r>
          </w:p>
        </w:tc>
        <w:tc>
          <w:tcPr>
            <w:tcW w:type="dxa" w:w="2160"/>
          </w:tcPr>
          <w:p>
            <w:r/>
            <w:r>
              <w:rPr>
                <w:rFonts w:ascii="宋体" w:hAnsi="宋体" w:eastAsia="宋体"/>
                <w:b w:val="0"/>
                <w:sz w:val="18"/>
              </w:rPr>
              <w:t>字段审查法</w:t>
            </w:r>
          </w:p>
        </w:tc>
        <w:tc>
          <w:tcPr>
            <w:tcW w:type="dxa" w:w="2160"/>
          </w:tcPr>
          <w:p>
            <w:r/>
            <w:r>
              <w:rPr>
                <w:rFonts w:ascii="宋体" w:hAnsi="宋体" w:eastAsia="宋体"/>
                <w:b w:val="0"/>
                <w:sz w:val="18"/>
              </w:rPr>
              <w:t>0.30</w:t>
            </w:r>
          </w:p>
        </w:tc>
      </w:tr>
      <w:tr>
        <w:tc>
          <w:tcPr>
            <w:tcW w:type="dxa" w:w="2160"/>
          </w:tcPr>
          <w:p>
            <w:r/>
            <w:r>
              <w:rPr>
                <w:rFonts w:ascii="宋体" w:hAnsi="宋体" w:eastAsia="宋体"/>
                <w:b w:val="0"/>
                <w:sz w:val="18"/>
              </w:rPr>
            </w:r>
          </w:p>
        </w:tc>
        <w:tc>
          <w:tcPr>
            <w:tcW w:type="dxa" w:w="2160"/>
          </w:tcPr>
          <w:p>
            <w:r/>
            <w:r>
              <w:rPr>
                <w:rFonts w:ascii="宋体" w:hAnsi="宋体" w:eastAsia="宋体"/>
                <w:b w:val="0"/>
                <w:sz w:val="18"/>
              </w:rPr>
              <w:t>准标识符泛化程度</w:t>
            </w:r>
          </w:p>
        </w:tc>
        <w:tc>
          <w:tcPr>
            <w:tcW w:type="dxa" w:w="2160"/>
          </w:tcPr>
          <w:p>
            <w:r/>
            <w:r>
              <w:rPr>
                <w:rFonts w:ascii="宋体" w:hAnsi="宋体" w:eastAsia="宋体"/>
                <w:b w:val="0"/>
                <w:sz w:val="18"/>
              </w:rPr>
              <w:t>字段审查法</w:t>
            </w:r>
          </w:p>
        </w:tc>
        <w:tc>
          <w:tcPr>
            <w:tcW w:type="dxa" w:w="2160"/>
          </w:tcPr>
          <w:p>
            <w:r/>
            <w:r>
              <w:rPr>
                <w:rFonts w:ascii="宋体" w:hAnsi="宋体" w:eastAsia="宋体"/>
                <w:b w:val="0"/>
                <w:sz w:val="18"/>
              </w:rPr>
              <w:t>0.20</w:t>
            </w:r>
          </w:p>
        </w:tc>
      </w:tr>
      <w:tr>
        <w:tc>
          <w:tcPr>
            <w:tcW w:type="dxa" w:w="2160"/>
          </w:tcPr>
          <w:p>
            <w:r/>
            <w:r>
              <w:rPr>
                <w:rFonts w:ascii="宋体" w:hAnsi="宋体" w:eastAsia="宋体"/>
                <w:b w:val="0"/>
                <w:sz w:val="18"/>
              </w:rPr>
            </w:r>
          </w:p>
        </w:tc>
        <w:tc>
          <w:tcPr>
            <w:tcW w:type="dxa" w:w="2160"/>
          </w:tcPr>
          <w:p>
            <w:r/>
            <w:r>
              <w:rPr>
                <w:rFonts w:ascii="宋体" w:hAnsi="宋体" w:eastAsia="宋体"/>
                <w:b w:val="0"/>
                <w:sz w:val="18"/>
              </w:rPr>
              <w:t>特殊群体识别风险</w:t>
            </w:r>
          </w:p>
        </w:tc>
        <w:tc>
          <w:tcPr>
            <w:tcW w:type="dxa" w:w="2160"/>
          </w:tcPr>
          <w:p>
            <w:r/>
            <w:r>
              <w:rPr>
                <w:rFonts w:ascii="宋体" w:hAnsi="宋体" w:eastAsia="宋体"/>
                <w:b w:val="0"/>
                <w:sz w:val="18"/>
              </w:rPr>
              <w:t>内容审查法</w:t>
            </w:r>
          </w:p>
        </w:tc>
        <w:tc>
          <w:tcPr>
            <w:tcW w:type="dxa" w:w="2160"/>
          </w:tcPr>
          <w:p>
            <w:r/>
            <w:r>
              <w:rPr>
                <w:rFonts w:ascii="宋体" w:hAnsi="宋体" w:eastAsia="宋体"/>
                <w:b w:val="0"/>
                <w:sz w:val="18"/>
              </w:rPr>
              <w:t>0.10</w:t>
            </w:r>
          </w:p>
        </w:tc>
      </w:tr>
      <w:tr>
        <w:tc>
          <w:tcPr>
            <w:tcW w:type="dxa" w:w="2160"/>
          </w:tcPr>
          <w:p>
            <w:r/>
            <w:r>
              <w:rPr>
                <w:rFonts w:ascii="宋体" w:hAnsi="宋体" w:eastAsia="宋体"/>
                <w:b w:val="0"/>
                <w:sz w:val="18"/>
              </w:rPr>
            </w:r>
            <w:r>
              <w:rPr>
                <w:rFonts w:ascii="宋体" w:hAnsi="宋体" w:eastAsia="宋体"/>
                <w:b/>
                <w:sz w:val="18"/>
              </w:rPr>
              <w:t>关联风险（LR）</w:t>
            </w:r>
            <w:r>
              <w:rPr>
                <w:rFonts w:ascii="宋体" w:hAnsi="宋体" w:eastAsia="宋体"/>
                <w:b w:val="0"/>
                <w:sz w:val="18"/>
              </w:rPr>
            </w:r>
          </w:p>
        </w:tc>
        <w:tc>
          <w:tcPr>
            <w:tcW w:type="dxa" w:w="2160"/>
          </w:tcPr>
          <w:p>
            <w:r/>
            <w:r>
              <w:rPr>
                <w:rFonts w:ascii="宋体" w:hAnsi="宋体" w:eastAsia="宋体"/>
                <w:b w:val="0"/>
                <w:sz w:val="18"/>
              </w:rPr>
              <w:t>准标识符组合唯一性</w:t>
            </w:r>
          </w:p>
        </w:tc>
        <w:tc>
          <w:tcPr>
            <w:tcW w:type="dxa" w:w="2160"/>
          </w:tcPr>
          <w:p>
            <w:r/>
            <w:r>
              <w:rPr>
                <w:rFonts w:ascii="宋体" w:hAnsi="宋体" w:eastAsia="宋体"/>
                <w:b w:val="0"/>
                <w:sz w:val="18"/>
              </w:rPr>
              <w:t>统计检验法</w:t>
            </w:r>
          </w:p>
        </w:tc>
        <w:tc>
          <w:tcPr>
            <w:tcW w:type="dxa" w:w="2160"/>
          </w:tcPr>
          <w:p>
            <w:r/>
            <w:r>
              <w:rPr>
                <w:rFonts w:ascii="宋体" w:hAnsi="宋体" w:eastAsia="宋体"/>
                <w:b w:val="0"/>
                <w:sz w:val="18"/>
              </w:rPr>
              <w:t>0.15</w:t>
            </w:r>
          </w:p>
        </w:tc>
      </w:tr>
      <w:tr>
        <w:tc>
          <w:tcPr>
            <w:tcW w:type="dxa" w:w="2160"/>
          </w:tcPr>
          <w:p>
            <w:r/>
            <w:r>
              <w:rPr>
                <w:rFonts w:ascii="宋体" w:hAnsi="宋体" w:eastAsia="宋体"/>
                <w:b w:val="0"/>
                <w:sz w:val="18"/>
              </w:rPr>
            </w:r>
          </w:p>
        </w:tc>
        <w:tc>
          <w:tcPr>
            <w:tcW w:type="dxa" w:w="2160"/>
          </w:tcPr>
          <w:p>
            <w:r/>
            <w:r>
              <w:rPr>
                <w:rFonts w:ascii="宋体" w:hAnsi="宋体" w:eastAsia="宋体"/>
                <w:b w:val="0"/>
                <w:sz w:val="18"/>
              </w:rPr>
              <w:t>外部数据集关联可能性</w:t>
            </w:r>
          </w:p>
        </w:tc>
        <w:tc>
          <w:tcPr>
            <w:tcW w:type="dxa" w:w="2160"/>
          </w:tcPr>
          <w:p>
            <w:r/>
            <w:r>
              <w:rPr>
                <w:rFonts w:ascii="宋体" w:hAnsi="宋体" w:eastAsia="宋体"/>
                <w:b w:val="0"/>
                <w:sz w:val="18"/>
              </w:rPr>
              <w:t>场景假设法</w:t>
            </w:r>
          </w:p>
        </w:tc>
        <w:tc>
          <w:tcPr>
            <w:tcW w:type="dxa" w:w="2160"/>
          </w:tcPr>
          <w:p>
            <w:r/>
            <w:r>
              <w:rPr>
                <w:rFonts w:ascii="宋体" w:hAnsi="宋体" w:eastAsia="宋体"/>
                <w:b w:val="0"/>
                <w:sz w:val="18"/>
              </w:rPr>
              <w:t>0.10</w:t>
            </w:r>
          </w:p>
        </w:tc>
      </w:tr>
      <w:tr>
        <w:tc>
          <w:tcPr>
            <w:tcW w:type="dxa" w:w="2160"/>
          </w:tcPr>
          <w:p>
            <w:r/>
            <w:r>
              <w:rPr>
                <w:rFonts w:ascii="宋体" w:hAnsi="宋体" w:eastAsia="宋体"/>
                <w:b w:val="0"/>
                <w:sz w:val="18"/>
              </w:rPr>
            </w:r>
            <w:r>
              <w:rPr>
                <w:rFonts w:ascii="宋体" w:hAnsi="宋体" w:eastAsia="宋体"/>
                <w:b/>
                <w:sz w:val="18"/>
              </w:rPr>
              <w:t>推断风险（IFR）</w:t>
            </w:r>
            <w:r>
              <w:rPr>
                <w:rFonts w:ascii="宋体" w:hAnsi="宋体" w:eastAsia="宋体"/>
                <w:b w:val="0"/>
                <w:sz w:val="18"/>
              </w:rPr>
            </w:r>
          </w:p>
        </w:tc>
        <w:tc>
          <w:tcPr>
            <w:tcW w:type="dxa" w:w="2160"/>
          </w:tcPr>
          <w:p>
            <w:r/>
            <w:r>
              <w:rPr>
                <w:rFonts w:ascii="宋体" w:hAnsi="宋体" w:eastAsia="宋体"/>
                <w:b w:val="0"/>
                <w:sz w:val="18"/>
              </w:rPr>
              <w:t>统计推断风险</w:t>
            </w:r>
          </w:p>
        </w:tc>
        <w:tc>
          <w:tcPr>
            <w:tcW w:type="dxa" w:w="2160"/>
          </w:tcPr>
          <w:p>
            <w:r/>
            <w:r>
              <w:rPr>
                <w:rFonts w:ascii="宋体" w:hAnsi="宋体" w:eastAsia="宋体"/>
                <w:b w:val="0"/>
                <w:sz w:val="18"/>
              </w:rPr>
              <w:t>敏感性分析法</w:t>
            </w:r>
          </w:p>
        </w:tc>
        <w:tc>
          <w:tcPr>
            <w:tcW w:type="dxa" w:w="2160"/>
          </w:tcPr>
          <w:p>
            <w:r/>
            <w:r>
              <w:rPr>
                <w:rFonts w:ascii="宋体" w:hAnsi="宋体" w:eastAsia="宋体"/>
                <w:b w:val="0"/>
                <w:sz w:val="18"/>
              </w:rPr>
              <w:t>0.10</w:t>
            </w:r>
          </w:p>
        </w:tc>
      </w:tr>
      <w:tr>
        <w:tc>
          <w:tcPr>
            <w:tcW w:type="dxa" w:w="2160"/>
          </w:tcPr>
          <w:p>
            <w:r/>
            <w:r>
              <w:rPr>
                <w:rFonts w:ascii="宋体" w:hAnsi="宋体" w:eastAsia="宋体"/>
                <w:b w:val="0"/>
                <w:sz w:val="18"/>
              </w:rPr>
            </w:r>
          </w:p>
        </w:tc>
        <w:tc>
          <w:tcPr>
            <w:tcW w:type="dxa" w:w="2160"/>
          </w:tcPr>
          <w:p>
            <w:r/>
            <w:r>
              <w:rPr>
                <w:rFonts w:ascii="宋体" w:hAnsi="宋体" w:eastAsia="宋体"/>
                <w:b w:val="0"/>
                <w:sz w:val="18"/>
              </w:rPr>
              <w:t>属性推断风险</w:t>
            </w:r>
          </w:p>
        </w:tc>
        <w:tc>
          <w:tcPr>
            <w:tcW w:type="dxa" w:w="2160"/>
          </w:tcPr>
          <w:p>
            <w:r/>
            <w:r>
              <w:rPr>
                <w:rFonts w:ascii="宋体" w:hAnsi="宋体" w:eastAsia="宋体"/>
                <w:b w:val="0"/>
                <w:sz w:val="18"/>
              </w:rPr>
              <w:t>内容审查法</w:t>
            </w:r>
          </w:p>
        </w:tc>
        <w:tc>
          <w:tcPr>
            <w:tcW w:type="dxa" w:w="2160"/>
          </w:tcPr>
          <w:p>
            <w:r/>
            <w:r>
              <w:rPr>
                <w:rFonts w:ascii="宋体" w:hAnsi="宋体" w:eastAsia="宋体"/>
                <w:b w:val="0"/>
                <w:sz w:val="18"/>
              </w:rPr>
              <w:t>0.05</w:t>
            </w:r>
          </w:p>
        </w:tc>
      </w:tr>
    </w:tbl>
    <w:p>
      <w:pPr>
        <w:spacing w:line="360" w:lineRule="auto" w:after="120"/>
        <w:ind w:firstLine="432"/>
      </w:pPr>
      <w:r>
        <w:rPr>
          <w:rFonts w:ascii="宋体" w:hAnsi="宋体" w:eastAsia="宋体"/>
          <w:b w:val="0"/>
          <w:sz w:val="21"/>
        </w:rPr>
      </w:r>
      <w:r>
        <w:rPr>
          <w:rFonts w:ascii="宋体" w:hAnsi="宋体" w:eastAsia="宋体"/>
          <w:b/>
          <w:sz w:val="21"/>
        </w:rPr>
        <w:t>评分规则</w:t>
      </w:r>
      <w:r>
        <w:rPr>
          <w:rFonts w:ascii="宋体" w:hAnsi="宋体" w:eastAsia="宋体"/>
          <w:b w:val="0"/>
          <w:sz w:val="21"/>
        </w:rPr>
        <w:t>：</w:t>
      </w:r>
    </w:p>
    <w:p>
      <w:pPr>
        <w:spacing w:line="360" w:lineRule="auto" w:after="120"/>
        <w:ind w:firstLine="432"/>
      </w:pPr>
      <w:r>
        <w:rPr>
          <w:rFonts w:ascii="宋体" w:hAnsi="宋体" w:eastAsia="宋体"/>
          <w:b w:val="0"/>
          <w:sz w:val="21"/>
        </w:rPr>
        <w:t>- 每个三级指标按5级评分：1=极差，2=较差，3=一般，4=良好，5=优秀</w:t>
      </w:r>
    </w:p>
    <w:p>
      <w:pPr>
        <w:spacing w:line="360" w:lineRule="auto" w:after="120"/>
        <w:ind w:firstLine="432"/>
      </w:pPr>
      <w:r>
        <w:rPr>
          <w:rFonts w:ascii="宋体" w:hAnsi="宋体" w:eastAsia="宋体"/>
          <w:b w:val="0"/>
          <w:sz w:val="21"/>
        </w:rPr>
        <w:t>- 二级指标得分 = 三级指标加权平均</w:t>
      </w:r>
    </w:p>
    <w:p>
      <w:pPr>
        <w:spacing w:line="360" w:lineRule="auto" w:after="120"/>
        <w:ind w:firstLine="432"/>
      </w:pPr>
      <w:r>
        <w:rPr>
          <w:rFonts w:ascii="宋体" w:hAnsi="宋体" w:eastAsia="宋体"/>
          <w:b w:val="0"/>
          <w:sz w:val="21"/>
        </w:rPr>
        <w:t>- AQI = IR×0.6 + LR×0.25 + IFR×0.15</w:t>
      </w:r>
    </w:p>
    <w:p>
      <w:pPr>
        <w:spacing w:line="360" w:lineRule="auto" w:after="120"/>
        <w:ind w:firstLine="432"/>
      </w:pPr>
      <w:r>
        <w:rPr>
          <w:rFonts w:ascii="宋体" w:hAnsi="宋体" w:eastAsia="宋体"/>
          <w:b w:val="0"/>
          <w:sz w:val="21"/>
        </w:rPr>
        <w:t>- AQI ≥ 4.0为"合规"，3.0-4.0为"低风险"，2.0-3.0为"中风险"，&lt;2.0为"高风险"</w:t>
      </w:r>
    </w:p>
    <w:p>
      <w:pPr>
        <w:pStyle w:val="Heading2"/>
      </w:pPr>
      <w:r>
        <w:rPr>
          <w:rFonts w:ascii="黑体" w:hAnsi="黑体" w:eastAsia="黑体"/>
          <w:b/>
          <w:sz w:val="24"/>
        </w:rPr>
        <w:t>4.3 数据收集方法</w:t>
      </w:r>
    </w:p>
    <w:p>
      <w:pPr>
        <w:spacing w:line="360" w:lineRule="auto" w:after="120"/>
        <w:ind w:firstLine="432"/>
      </w:pPr>
      <w:r>
        <w:rPr>
          <w:rFonts w:ascii="宋体" w:hAnsi="宋体" w:eastAsia="宋体"/>
          <w:b w:val="0"/>
          <w:sz w:val="21"/>
        </w:rPr>
      </w:r>
      <w:r>
        <w:rPr>
          <w:rFonts w:ascii="宋体" w:hAnsi="宋体" w:eastAsia="宋体"/>
          <w:b/>
          <w:sz w:val="21"/>
        </w:rPr>
        <w:t>（1）数据集字段审查</w:t>
      </w:r>
      <w:r>
        <w:rPr>
          <w:rFonts w:ascii="宋体" w:hAnsi="宋体" w:eastAsia="宋体"/>
          <w:b w:val="0"/>
          <w:sz w:val="21"/>
        </w:rPr>
        <w:t>：由两名编码员独立对690个数据集的数据字典、字段说明进行审查，识别直接标识符（姓名、身份证号、手机号等）和准标识符（性别、年龄、职业、邮编等）。采用Cohen's Kappa系数检验编码一致性，Kappa&gt;0.75视为一致。</w:t>
      </w:r>
    </w:p>
    <w:p>
      <w:pPr>
        <w:spacing w:line="360" w:lineRule="auto" w:after="120"/>
        <w:ind w:firstLine="432"/>
      </w:pPr>
      <w:r>
        <w:rPr>
          <w:rFonts w:ascii="宋体" w:hAnsi="宋体" w:eastAsia="宋体"/>
          <w:b w:val="0"/>
          <w:sz w:val="21"/>
        </w:rPr>
      </w:r>
      <w:r>
        <w:rPr>
          <w:rFonts w:ascii="宋体" w:hAnsi="宋体" w:eastAsia="宋体"/>
          <w:b/>
          <w:sz w:val="21"/>
        </w:rPr>
        <w:t>（2）内容抽样审查</w:t>
      </w:r>
      <w:r>
        <w:rPr>
          <w:rFonts w:ascii="宋体" w:hAnsi="宋体" w:eastAsia="宋体"/>
          <w:b w:val="0"/>
          <w:sz w:val="21"/>
        </w:rPr>
        <w:t>：对每个数据集抽取10%的记录样本，进行人工内容审查，评估实际数据内容是否与数据字典一致，是否存在隐蔽的个人信息泄露。</w:t>
      </w:r>
    </w:p>
    <w:p>
      <w:pPr>
        <w:spacing w:line="360" w:lineRule="auto" w:after="120"/>
        <w:ind w:firstLine="432"/>
      </w:pPr>
      <w:r>
        <w:rPr>
          <w:rFonts w:ascii="宋体" w:hAnsi="宋体" w:eastAsia="宋体"/>
          <w:b w:val="0"/>
          <w:sz w:val="21"/>
        </w:rPr>
      </w:r>
      <w:r>
        <w:rPr>
          <w:rFonts w:ascii="宋体" w:hAnsi="宋体" w:eastAsia="宋体"/>
          <w:b/>
          <w:sz w:val="21"/>
        </w:rPr>
        <w:t>（3）专家评分</w:t>
      </w:r>
      <w:r>
        <w:rPr>
          <w:rFonts w:ascii="宋体" w:hAnsi="宋体" w:eastAsia="宋体"/>
          <w:b w:val="0"/>
          <w:sz w:val="21"/>
        </w:rPr>
        <w:t>：邀请5位数据安全、信息资源管理、法学领域的专家，对匿名化处理质量进行独立评分。专家评分与编码员评分的差异通过讨论达成一致。</w:t>
      </w:r>
    </w:p>
    <w:p>
      <w:pPr>
        <w:spacing w:line="360" w:lineRule="auto" w:after="120"/>
        <w:ind w:firstLine="432"/>
      </w:pPr>
      <w:r>
        <w:rPr>
          <w:rFonts w:ascii="宋体" w:hAnsi="宋体" w:eastAsia="宋体"/>
          <w:b w:val="0"/>
          <w:sz w:val="21"/>
        </w:rPr>
      </w:r>
      <w:r>
        <w:rPr>
          <w:rFonts w:ascii="宋体" w:hAnsi="宋体" w:eastAsia="宋体"/>
          <w:b/>
          <w:sz w:val="21"/>
        </w:rPr>
        <w:t>（4）利用绩效数据收集</w:t>
      </w:r>
      <w:r>
        <w:rPr>
          <w:rFonts w:ascii="宋体" w:hAnsi="宋体" w:eastAsia="宋体"/>
          <w:b w:val="0"/>
          <w:sz w:val="21"/>
        </w:rPr>
        <w:t>：从各平台API获取数据集的下载量、API调用次数、利用案例数等利用绩效指标。对无法通过API获取的平台，采用网页爬虫采集公开统计数据。</w:t>
      </w:r>
    </w:p>
    <w:p>
      <w:pPr>
        <w:pStyle w:val="Heading2"/>
      </w:pPr>
      <w:r>
        <w:rPr>
          <w:rFonts w:ascii="黑体" w:hAnsi="黑体" w:eastAsia="黑体"/>
          <w:b/>
          <w:sz w:val="24"/>
        </w:rPr>
        <w:t>4.4 数据分析方法</w:t>
      </w:r>
    </w:p>
    <w:p>
      <w:pPr>
        <w:spacing w:line="360" w:lineRule="auto" w:after="120"/>
        <w:ind w:firstLine="432"/>
      </w:pPr>
      <w:r>
        <w:rPr>
          <w:rFonts w:ascii="宋体" w:hAnsi="宋体" w:eastAsia="宋体"/>
          <w:b w:val="0"/>
          <w:sz w:val="21"/>
        </w:rPr>
      </w:r>
      <w:r>
        <w:rPr>
          <w:rFonts w:ascii="宋体" w:hAnsi="宋体" w:eastAsia="宋体"/>
          <w:b/>
          <w:sz w:val="21"/>
        </w:rPr>
        <w:t>（1）描述性统计</w:t>
      </w:r>
      <w:r>
        <w:rPr>
          <w:rFonts w:ascii="宋体" w:hAnsi="宋体" w:eastAsia="宋体"/>
          <w:b w:val="0"/>
          <w:sz w:val="21"/>
        </w:rPr>
        <w:t>：对23个平台的匿名化处理质量进行整体描述，计算均值、标准差、分布频率等。</w:t>
      </w:r>
    </w:p>
    <w:p>
      <w:pPr>
        <w:spacing w:line="360" w:lineRule="auto" w:after="120"/>
        <w:ind w:firstLine="432"/>
      </w:pPr>
      <w:r>
        <w:rPr>
          <w:rFonts w:ascii="宋体" w:hAnsi="宋体" w:eastAsia="宋体"/>
          <w:b w:val="0"/>
          <w:sz w:val="21"/>
        </w:rPr>
      </w:r>
      <w:r>
        <w:rPr>
          <w:rFonts w:ascii="宋体" w:hAnsi="宋体" w:eastAsia="宋体"/>
          <w:b/>
          <w:sz w:val="21"/>
        </w:rPr>
        <w:t>（2）差异性检验</w:t>
      </w:r>
      <w:r>
        <w:rPr>
          <w:rFonts w:ascii="宋体" w:hAnsi="宋体" w:eastAsia="宋体"/>
          <w:b w:val="0"/>
          <w:sz w:val="21"/>
        </w:rPr>
        <w:t>：采用单因素方差分析（ANOVA）检验东中西部地区平台匿名化质量的差异。</w:t>
      </w:r>
    </w:p>
    <w:p>
      <w:pPr>
        <w:spacing w:line="360" w:lineRule="auto" w:after="120"/>
        <w:ind w:firstLine="432"/>
      </w:pPr>
      <w:r>
        <w:rPr>
          <w:rFonts w:ascii="宋体" w:hAnsi="宋体" w:eastAsia="宋体"/>
          <w:b w:val="0"/>
          <w:sz w:val="21"/>
        </w:rPr>
      </w:r>
      <w:r>
        <w:rPr>
          <w:rFonts w:ascii="宋体" w:hAnsi="宋体" w:eastAsia="宋体"/>
          <w:b/>
          <w:sz w:val="21"/>
        </w:rPr>
        <w:t>（3）关联分析</w:t>
      </w:r>
      <w:r>
        <w:rPr>
          <w:rFonts w:ascii="宋体" w:hAnsi="宋体" w:eastAsia="宋体"/>
          <w:b w:val="0"/>
          <w:sz w:val="21"/>
        </w:rPr>
        <w:t>：采用Spearman相关分析和多元回归分析，检验匿名化质量与利用绩效的关联关系。</w:t>
      </w:r>
    </w:p>
    <w:p>
      <w:pPr>
        <w:spacing w:line="360" w:lineRule="auto" w:after="120"/>
        <w:ind w:firstLine="432"/>
      </w:pPr>
      <w:r>
        <w:rPr>
          <w:rFonts w:ascii="宋体" w:hAnsi="宋体" w:eastAsia="宋体"/>
          <w:b w:val="0"/>
          <w:sz w:val="21"/>
        </w:rPr>
      </w:r>
      <w:r>
        <w:rPr>
          <w:rFonts w:ascii="宋体" w:hAnsi="宋体" w:eastAsia="宋体"/>
          <w:b/>
          <w:sz w:val="21"/>
        </w:rPr>
        <w:t>（4）倒U型关系检验</w:t>
      </w:r>
      <w:r>
        <w:rPr>
          <w:rFonts w:ascii="宋体" w:hAnsi="宋体" w:eastAsia="宋体"/>
          <w:b w:val="0"/>
          <w:sz w:val="21"/>
        </w:rPr>
        <w:t>：参考Lind和Mehlum（2010）的方法，对匿名化强度与利用绩效的倒U型关系进行统计检验。</w:t>
      </w:r>
    </w:p>
    <w:p>
      <w:pPr>
        <w:pStyle w:val="Heading1"/>
      </w:pPr>
      <w:r>
        <w:rPr>
          <w:rFonts w:ascii="黑体" w:hAnsi="黑体" w:eastAsia="黑体"/>
          <w:b/>
          <w:sz w:val="28"/>
        </w:rPr>
        <w:t>六、分级分类处理策略</w:t>
      </w:r>
    </w:p>
    <w:p>
      <w:pPr>
        <w:pStyle w:val="Heading2"/>
      </w:pPr>
      <w:r>
        <w:rPr>
          <w:rFonts w:ascii="黑体" w:hAnsi="黑体" w:eastAsia="黑体"/>
          <w:b/>
          <w:sz w:val="24"/>
        </w:rPr>
        <w:t>6.1 "数据集敏感度×匿名化强度"匹配矩阵</w:t>
      </w:r>
    </w:p>
    <w:p>
      <w:pPr>
        <w:spacing w:line="360" w:lineRule="auto" w:after="120"/>
        <w:ind w:firstLine="432"/>
      </w:pPr>
      <w:r>
        <w:rPr>
          <w:rFonts w:ascii="宋体" w:hAnsi="宋体" w:eastAsia="宋体"/>
          <w:b w:val="0"/>
          <w:sz w:val="21"/>
        </w:rPr>
        <w:t>基于评估结果，本研究提出"数据集敏感度×匿名化强度"匹配矩阵，为平台提供差异化的匿名化处理策略：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宋体" w:hAnsi="宋体" w:eastAsia="宋体"/>
                <w:b w:val="0"/>
                <w:sz w:val="18"/>
              </w:rPr>
              <w:t>数据集类型</w:t>
            </w:r>
          </w:p>
        </w:tc>
        <w:tc>
          <w:tcPr>
            <w:tcW w:type="dxa" w:w="1728"/>
          </w:tcPr>
          <w:p>
            <w:r/>
            <w:r>
              <w:rPr>
                <w:rFonts w:ascii="宋体" w:hAnsi="宋体" w:eastAsia="宋体"/>
                <w:b w:val="0"/>
                <w:sz w:val="18"/>
              </w:rPr>
              <w:t>敏感度</w:t>
            </w:r>
          </w:p>
        </w:tc>
        <w:tc>
          <w:tcPr>
            <w:tcW w:type="dxa" w:w="1728"/>
          </w:tcPr>
          <w:p>
            <w:r/>
            <w:r>
              <w:rPr>
                <w:rFonts w:ascii="宋体" w:hAnsi="宋体" w:eastAsia="宋体"/>
                <w:b w:val="0"/>
                <w:sz w:val="18"/>
              </w:rPr>
              <w:t>推荐匿名化强度</w:t>
            </w:r>
          </w:p>
        </w:tc>
        <w:tc>
          <w:tcPr>
            <w:tcW w:type="dxa" w:w="1728"/>
          </w:tcPr>
          <w:p>
            <w:r/>
            <w:r>
              <w:rPr>
                <w:rFonts w:ascii="宋体" w:hAnsi="宋体" w:eastAsia="宋体"/>
                <w:b w:val="0"/>
                <w:sz w:val="18"/>
              </w:rPr>
              <w:t>处理策略</w:t>
            </w:r>
          </w:p>
        </w:tc>
        <w:tc>
          <w:tcPr>
            <w:tcW w:type="dxa" w:w="1728"/>
          </w:tcPr>
          <w:p>
            <w:r/>
            <w:r>
              <w:rPr>
                <w:rFonts w:ascii="宋体" w:hAnsi="宋体" w:eastAsia="宋体"/>
                <w:b w:val="0"/>
                <w:sz w:val="18"/>
              </w:rPr>
              <w:t>目标AQI</w:t>
            </w:r>
          </w:p>
        </w:tc>
      </w:tr>
      <w:tr>
        <w:tc>
          <w:tcPr>
            <w:tcW w:type="dxa" w:w="1728"/>
          </w:tcPr>
          <w:p>
            <w:r/>
            <w:r>
              <w:rPr>
                <w:rFonts w:ascii="宋体" w:hAnsi="宋体" w:eastAsia="宋体"/>
                <w:b w:val="0"/>
                <w:sz w:val="18"/>
              </w:rPr>
              <w:t>人口统计</w:t>
            </w:r>
          </w:p>
        </w:tc>
        <w:tc>
          <w:tcPr>
            <w:tcW w:type="dxa" w:w="1728"/>
          </w:tcPr>
          <w:p>
            <w:r/>
            <w:r>
              <w:rPr>
                <w:rFonts w:ascii="宋体" w:hAnsi="宋体" w:eastAsia="宋体"/>
                <w:b w:val="0"/>
                <w:sz w:val="18"/>
              </w:rPr>
              <w:t>高</w:t>
            </w:r>
          </w:p>
        </w:tc>
        <w:tc>
          <w:tcPr>
            <w:tcW w:type="dxa" w:w="1728"/>
          </w:tcPr>
          <w:p>
            <w:r/>
            <w:r>
              <w:rPr>
                <w:rFonts w:ascii="宋体" w:hAnsi="宋体" w:eastAsia="宋体"/>
                <w:b w:val="0"/>
                <w:sz w:val="18"/>
              </w:rPr>
              <w:t>高强度</w:t>
            </w:r>
          </w:p>
        </w:tc>
        <w:tc>
          <w:tcPr>
            <w:tcW w:type="dxa" w:w="1728"/>
          </w:tcPr>
          <w:p>
            <w:r/>
            <w:r>
              <w:rPr>
                <w:rFonts w:ascii="宋体" w:hAnsi="宋体" w:eastAsia="宋体"/>
                <w:b w:val="0"/>
                <w:sz w:val="18"/>
              </w:rPr>
              <w:t>k-匿名(k≥5) + 差分隐私(ε≤1)</w:t>
            </w:r>
          </w:p>
        </w:tc>
        <w:tc>
          <w:tcPr>
            <w:tcW w:type="dxa" w:w="1728"/>
          </w:tcPr>
          <w:p>
            <w:r/>
            <w:r>
              <w:rPr>
                <w:rFonts w:ascii="宋体" w:hAnsi="宋体" w:eastAsia="宋体"/>
                <w:b w:val="0"/>
                <w:sz w:val="18"/>
              </w:rPr>
              <w:t>4.2-4.8</w:t>
            </w:r>
          </w:p>
        </w:tc>
      </w:tr>
      <w:tr>
        <w:tc>
          <w:tcPr>
            <w:tcW w:type="dxa" w:w="1728"/>
          </w:tcPr>
          <w:p>
            <w:r/>
            <w:r>
              <w:rPr>
                <w:rFonts w:ascii="宋体" w:hAnsi="宋体" w:eastAsia="宋体"/>
                <w:b w:val="0"/>
                <w:sz w:val="18"/>
              </w:rPr>
              <w:t>医疗健康</w:t>
            </w:r>
          </w:p>
        </w:tc>
        <w:tc>
          <w:tcPr>
            <w:tcW w:type="dxa" w:w="1728"/>
          </w:tcPr>
          <w:p>
            <w:r/>
            <w:r>
              <w:rPr>
                <w:rFonts w:ascii="宋体" w:hAnsi="宋体" w:eastAsia="宋体"/>
                <w:b w:val="0"/>
                <w:sz w:val="18"/>
              </w:rPr>
              <w:t>高</w:t>
            </w:r>
          </w:p>
        </w:tc>
        <w:tc>
          <w:tcPr>
            <w:tcW w:type="dxa" w:w="1728"/>
          </w:tcPr>
          <w:p>
            <w:r/>
            <w:r>
              <w:rPr>
                <w:rFonts w:ascii="宋体" w:hAnsi="宋体" w:eastAsia="宋体"/>
                <w:b w:val="0"/>
                <w:sz w:val="18"/>
              </w:rPr>
              <w:t>高强度</w:t>
            </w:r>
          </w:p>
        </w:tc>
        <w:tc>
          <w:tcPr>
            <w:tcW w:type="dxa" w:w="1728"/>
          </w:tcPr>
          <w:p>
            <w:r/>
            <w:r>
              <w:rPr>
                <w:rFonts w:ascii="宋体" w:hAnsi="宋体" w:eastAsia="宋体"/>
                <w:b w:val="0"/>
                <w:sz w:val="18"/>
              </w:rPr>
              <w:t>k-匿名(k≥5) + 敏感属性泛化</w:t>
            </w:r>
          </w:p>
        </w:tc>
        <w:tc>
          <w:tcPr>
            <w:tcW w:type="dxa" w:w="1728"/>
          </w:tcPr>
          <w:p>
            <w:r/>
            <w:r>
              <w:rPr>
                <w:rFonts w:ascii="宋体" w:hAnsi="宋体" w:eastAsia="宋体"/>
                <w:b w:val="0"/>
                <w:sz w:val="18"/>
              </w:rPr>
              <w:t>4.2-4.8</w:t>
            </w:r>
          </w:p>
        </w:tc>
      </w:tr>
      <w:tr>
        <w:tc>
          <w:tcPr>
            <w:tcW w:type="dxa" w:w="1728"/>
          </w:tcPr>
          <w:p>
            <w:r/>
            <w:r>
              <w:rPr>
                <w:rFonts w:ascii="宋体" w:hAnsi="宋体" w:eastAsia="宋体"/>
                <w:b w:val="0"/>
                <w:sz w:val="18"/>
              </w:rPr>
              <w:t>交通轨迹</w:t>
            </w:r>
          </w:p>
        </w:tc>
        <w:tc>
          <w:tcPr>
            <w:tcW w:type="dxa" w:w="1728"/>
          </w:tcPr>
          <w:p>
            <w:r/>
            <w:r>
              <w:rPr>
                <w:rFonts w:ascii="宋体" w:hAnsi="宋体" w:eastAsia="宋体"/>
                <w:b w:val="0"/>
                <w:sz w:val="18"/>
              </w:rPr>
              <w:t>高</w:t>
            </w:r>
          </w:p>
        </w:tc>
        <w:tc>
          <w:tcPr>
            <w:tcW w:type="dxa" w:w="1728"/>
          </w:tcPr>
          <w:p>
            <w:r/>
            <w:r>
              <w:rPr>
                <w:rFonts w:ascii="宋体" w:hAnsi="宋体" w:eastAsia="宋体"/>
                <w:b w:val="0"/>
                <w:sz w:val="18"/>
              </w:rPr>
              <w:t>高强度</w:t>
            </w:r>
          </w:p>
        </w:tc>
        <w:tc>
          <w:tcPr>
            <w:tcW w:type="dxa" w:w="1728"/>
          </w:tcPr>
          <w:p>
            <w:r/>
            <w:r>
              <w:rPr>
                <w:rFonts w:ascii="宋体" w:hAnsi="宋体" w:eastAsia="宋体"/>
                <w:b w:val="0"/>
                <w:sz w:val="18"/>
              </w:rPr>
              <w:t>空间模糊化(≥500m) + 时间区间化(≥1h)</w:t>
            </w:r>
          </w:p>
        </w:tc>
        <w:tc>
          <w:tcPr>
            <w:tcW w:type="dxa" w:w="1728"/>
          </w:tcPr>
          <w:p>
            <w:r/>
            <w:r>
              <w:rPr>
                <w:rFonts w:ascii="宋体" w:hAnsi="宋体" w:eastAsia="宋体"/>
                <w:b w:val="0"/>
                <w:sz w:val="18"/>
              </w:rPr>
              <w:t>4.0-4.5</w:t>
            </w:r>
          </w:p>
        </w:tc>
      </w:tr>
      <w:tr>
        <w:tc>
          <w:tcPr>
            <w:tcW w:type="dxa" w:w="1728"/>
          </w:tcPr>
          <w:p>
            <w:r/>
            <w:r>
              <w:rPr>
                <w:rFonts w:ascii="宋体" w:hAnsi="宋体" w:eastAsia="宋体"/>
                <w:b w:val="0"/>
                <w:sz w:val="18"/>
              </w:rPr>
              <w:t>环境监测</w:t>
            </w:r>
          </w:p>
        </w:tc>
        <w:tc>
          <w:tcPr>
            <w:tcW w:type="dxa" w:w="1728"/>
          </w:tcPr>
          <w:p>
            <w:r/>
            <w:r>
              <w:rPr>
                <w:rFonts w:ascii="宋体" w:hAnsi="宋体" w:eastAsia="宋体"/>
                <w:b w:val="0"/>
                <w:sz w:val="18"/>
              </w:rPr>
              <w:t>中</w:t>
            </w:r>
          </w:p>
        </w:tc>
        <w:tc>
          <w:tcPr>
            <w:tcW w:type="dxa" w:w="1728"/>
          </w:tcPr>
          <w:p>
            <w:r/>
            <w:r>
              <w:rPr>
                <w:rFonts w:ascii="宋体" w:hAnsi="宋体" w:eastAsia="宋体"/>
                <w:b w:val="0"/>
                <w:sz w:val="18"/>
              </w:rPr>
              <w:t>中强度</w:t>
            </w:r>
          </w:p>
        </w:tc>
        <w:tc>
          <w:tcPr>
            <w:tcW w:type="dxa" w:w="1728"/>
          </w:tcPr>
          <w:p>
            <w:r/>
            <w:r>
              <w:rPr>
                <w:rFonts w:ascii="宋体" w:hAnsi="宋体" w:eastAsia="宋体"/>
                <w:b w:val="0"/>
                <w:sz w:val="18"/>
              </w:rPr>
              <w:t>空间模糊化(≥100m)</w:t>
            </w:r>
          </w:p>
        </w:tc>
        <w:tc>
          <w:tcPr>
            <w:tcW w:type="dxa" w:w="1728"/>
          </w:tcPr>
          <w:p>
            <w:r/>
            <w:r>
              <w:rPr>
                <w:rFonts w:ascii="宋体" w:hAnsi="宋体" w:eastAsia="宋体"/>
                <w:b w:val="0"/>
                <w:sz w:val="18"/>
              </w:rPr>
              <w:t>3.5-4.0</w:t>
            </w:r>
          </w:p>
        </w:tc>
      </w:tr>
      <w:tr>
        <w:tc>
          <w:tcPr>
            <w:tcW w:type="dxa" w:w="1728"/>
          </w:tcPr>
          <w:p>
            <w:r/>
            <w:r>
              <w:rPr>
                <w:rFonts w:ascii="宋体" w:hAnsi="宋体" w:eastAsia="宋体"/>
                <w:b w:val="0"/>
                <w:sz w:val="18"/>
              </w:rPr>
              <w:t>经济数据</w:t>
            </w:r>
          </w:p>
        </w:tc>
        <w:tc>
          <w:tcPr>
            <w:tcW w:type="dxa" w:w="1728"/>
          </w:tcPr>
          <w:p>
            <w:r/>
            <w:r>
              <w:rPr>
                <w:rFonts w:ascii="宋体" w:hAnsi="宋体" w:eastAsia="宋体"/>
                <w:b w:val="0"/>
                <w:sz w:val="18"/>
              </w:rPr>
              <w:t>中</w:t>
            </w:r>
          </w:p>
        </w:tc>
        <w:tc>
          <w:tcPr>
            <w:tcW w:type="dxa" w:w="1728"/>
          </w:tcPr>
          <w:p>
            <w:r/>
            <w:r>
              <w:rPr>
                <w:rFonts w:ascii="宋体" w:hAnsi="宋体" w:eastAsia="宋体"/>
                <w:b w:val="0"/>
                <w:sz w:val="18"/>
              </w:rPr>
              <w:t>中强度</w:t>
            </w:r>
          </w:p>
        </w:tc>
        <w:tc>
          <w:tcPr>
            <w:tcW w:type="dxa" w:w="1728"/>
          </w:tcPr>
          <w:p>
            <w:r/>
            <w:r>
              <w:rPr>
                <w:rFonts w:ascii="宋体" w:hAnsi="宋体" w:eastAsia="宋体"/>
                <w:b w:val="0"/>
                <w:sz w:val="18"/>
              </w:rPr>
              <w:t>数值区间化(≥10%)</w:t>
            </w:r>
          </w:p>
        </w:tc>
        <w:tc>
          <w:tcPr>
            <w:tcW w:type="dxa" w:w="1728"/>
          </w:tcPr>
          <w:p>
            <w:r/>
            <w:r>
              <w:rPr>
                <w:rFonts w:ascii="宋体" w:hAnsi="宋体" w:eastAsia="宋体"/>
                <w:b w:val="0"/>
                <w:sz w:val="18"/>
              </w:rPr>
              <w:t>3.2-3.8</w:t>
            </w:r>
          </w:p>
        </w:tc>
      </w:tr>
      <w:tr>
        <w:tc>
          <w:tcPr>
            <w:tcW w:type="dxa" w:w="1728"/>
          </w:tcPr>
          <w:p>
            <w:r/>
            <w:r>
              <w:rPr>
                <w:rFonts w:ascii="宋体" w:hAnsi="宋体" w:eastAsia="宋体"/>
                <w:b w:val="0"/>
                <w:sz w:val="18"/>
              </w:rPr>
              <w:t>教育资源</w:t>
            </w:r>
          </w:p>
        </w:tc>
        <w:tc>
          <w:tcPr>
            <w:tcW w:type="dxa" w:w="1728"/>
          </w:tcPr>
          <w:p>
            <w:r/>
            <w:r>
              <w:rPr>
                <w:rFonts w:ascii="宋体" w:hAnsi="宋体" w:eastAsia="宋体"/>
                <w:b w:val="0"/>
                <w:sz w:val="18"/>
              </w:rPr>
              <w:t>低</w:t>
            </w:r>
          </w:p>
        </w:tc>
        <w:tc>
          <w:tcPr>
            <w:tcW w:type="dxa" w:w="1728"/>
          </w:tcPr>
          <w:p>
            <w:r/>
            <w:r>
              <w:rPr>
                <w:rFonts w:ascii="宋体" w:hAnsi="宋体" w:eastAsia="宋体"/>
                <w:b w:val="0"/>
                <w:sz w:val="18"/>
              </w:rPr>
              <w:t>低强度</w:t>
            </w:r>
          </w:p>
        </w:tc>
        <w:tc>
          <w:tcPr>
            <w:tcW w:type="dxa" w:w="1728"/>
          </w:tcPr>
          <w:p>
            <w:r/>
            <w:r>
              <w:rPr>
                <w:rFonts w:ascii="宋体" w:hAnsi="宋体" w:eastAsia="宋体"/>
                <w:b w:val="0"/>
                <w:sz w:val="18"/>
              </w:rPr>
              <w:t>直接标识符移除</w:t>
            </w:r>
          </w:p>
        </w:tc>
        <w:tc>
          <w:tcPr>
            <w:tcW w:type="dxa" w:w="1728"/>
          </w:tcPr>
          <w:p>
            <w:r/>
            <w:r>
              <w:rPr>
                <w:rFonts w:ascii="宋体" w:hAnsi="宋体" w:eastAsia="宋体"/>
                <w:b w:val="0"/>
                <w:sz w:val="18"/>
              </w:rPr>
              <w:t>3.0-3.5</w:t>
            </w:r>
          </w:p>
        </w:tc>
      </w:tr>
      <w:tr>
        <w:tc>
          <w:tcPr>
            <w:tcW w:type="dxa" w:w="1728"/>
          </w:tcPr>
          <w:p>
            <w:r/>
            <w:r>
              <w:rPr>
                <w:rFonts w:ascii="宋体" w:hAnsi="宋体" w:eastAsia="宋体"/>
                <w:b w:val="0"/>
                <w:sz w:val="18"/>
              </w:rPr>
              <w:t>文化旅游</w:t>
            </w:r>
          </w:p>
        </w:tc>
        <w:tc>
          <w:tcPr>
            <w:tcW w:type="dxa" w:w="1728"/>
          </w:tcPr>
          <w:p>
            <w:r/>
            <w:r>
              <w:rPr>
                <w:rFonts w:ascii="宋体" w:hAnsi="宋体" w:eastAsia="宋体"/>
                <w:b w:val="0"/>
                <w:sz w:val="18"/>
              </w:rPr>
              <w:t>低</w:t>
            </w:r>
          </w:p>
        </w:tc>
        <w:tc>
          <w:tcPr>
            <w:tcW w:type="dxa" w:w="1728"/>
          </w:tcPr>
          <w:p>
            <w:r/>
            <w:r>
              <w:rPr>
                <w:rFonts w:ascii="宋体" w:hAnsi="宋体" w:eastAsia="宋体"/>
                <w:b w:val="0"/>
                <w:sz w:val="18"/>
              </w:rPr>
              <w:t>低强度</w:t>
            </w:r>
          </w:p>
        </w:tc>
        <w:tc>
          <w:tcPr>
            <w:tcW w:type="dxa" w:w="1728"/>
          </w:tcPr>
          <w:p>
            <w:r/>
            <w:r>
              <w:rPr>
                <w:rFonts w:ascii="宋体" w:hAnsi="宋体" w:eastAsia="宋体"/>
                <w:b w:val="0"/>
                <w:sz w:val="18"/>
              </w:rPr>
              <w:t>直接标识符移除</w:t>
            </w:r>
          </w:p>
        </w:tc>
        <w:tc>
          <w:tcPr>
            <w:tcW w:type="dxa" w:w="1728"/>
          </w:tcPr>
          <w:p>
            <w:r/>
            <w:r>
              <w:rPr>
                <w:rFonts w:ascii="宋体" w:hAnsi="宋体" w:eastAsia="宋体"/>
                <w:b w:val="0"/>
                <w:sz w:val="18"/>
              </w:rPr>
              <w:t>3.0-3.5</w:t>
            </w:r>
          </w:p>
        </w:tc>
      </w:tr>
      <w:tr>
        <w:tc>
          <w:tcPr>
            <w:tcW w:type="dxa" w:w="1728"/>
          </w:tcPr>
          <w:p>
            <w:r/>
            <w:r>
              <w:rPr>
                <w:rFonts w:ascii="宋体" w:hAnsi="宋体" w:eastAsia="宋体"/>
                <w:b w:val="0"/>
                <w:sz w:val="18"/>
              </w:rPr>
              <w:t>地理信息</w:t>
            </w:r>
          </w:p>
        </w:tc>
        <w:tc>
          <w:tcPr>
            <w:tcW w:type="dxa" w:w="1728"/>
          </w:tcPr>
          <w:p>
            <w:r/>
            <w:r>
              <w:rPr>
                <w:rFonts w:ascii="宋体" w:hAnsi="宋体" w:eastAsia="宋体"/>
                <w:b w:val="0"/>
                <w:sz w:val="18"/>
              </w:rPr>
              <w:t>中</w:t>
            </w:r>
          </w:p>
        </w:tc>
        <w:tc>
          <w:tcPr>
            <w:tcW w:type="dxa" w:w="1728"/>
          </w:tcPr>
          <w:p>
            <w:r/>
            <w:r>
              <w:rPr>
                <w:rFonts w:ascii="宋体" w:hAnsi="宋体" w:eastAsia="宋体"/>
                <w:b w:val="0"/>
                <w:sz w:val="18"/>
              </w:rPr>
              <w:t>中强度</w:t>
            </w:r>
          </w:p>
        </w:tc>
        <w:tc>
          <w:tcPr>
            <w:tcW w:type="dxa" w:w="1728"/>
          </w:tcPr>
          <w:p>
            <w:r/>
            <w:r>
              <w:rPr>
                <w:rFonts w:ascii="宋体" w:hAnsi="宋体" w:eastAsia="宋体"/>
                <w:b w:val="0"/>
                <w:sz w:val="18"/>
              </w:rPr>
              <w:t>空间模糊化(≥50m)</w:t>
            </w:r>
          </w:p>
        </w:tc>
        <w:tc>
          <w:tcPr>
            <w:tcW w:type="dxa" w:w="1728"/>
          </w:tcPr>
          <w:p>
            <w:r/>
            <w:r>
              <w:rPr>
                <w:rFonts w:ascii="宋体" w:hAnsi="宋体" w:eastAsia="宋体"/>
                <w:b w:val="0"/>
                <w:sz w:val="18"/>
              </w:rPr>
              <w:t>3.5-4.0</w:t>
            </w:r>
          </w:p>
        </w:tc>
      </w:tr>
    </w:tbl>
    <w:p>
      <w:pPr>
        <w:pStyle w:val="Heading2"/>
      </w:pPr>
      <w:r>
        <w:rPr>
          <w:rFonts w:ascii="黑体" w:hAnsi="黑体" w:eastAsia="黑体"/>
          <w:b/>
          <w:sz w:val="24"/>
        </w:rPr>
        <w:t>6.2 平台分级治理建议</w:t>
      </w:r>
    </w:p>
    <w:p>
      <w:pPr>
        <w:spacing w:line="360" w:lineRule="auto" w:after="120"/>
        <w:ind w:firstLine="432"/>
      </w:pPr>
      <w:r>
        <w:rPr>
          <w:rFonts w:ascii="宋体" w:hAnsi="宋体" w:eastAsia="宋体"/>
          <w:b w:val="0"/>
          <w:sz w:val="21"/>
        </w:rPr>
        <w:t>根据当前匿名化处理质量，对23个平台提出分级治理建议：</w:t>
      </w:r>
    </w:p>
    <w:p>
      <w:pPr>
        <w:spacing w:line="360" w:lineRule="auto" w:after="120"/>
        <w:ind w:firstLine="432"/>
      </w:pPr>
      <w:r>
        <w:rPr>
          <w:rFonts w:ascii="宋体" w:hAnsi="宋体" w:eastAsia="宋体"/>
          <w:b w:val="0"/>
          <w:sz w:val="21"/>
        </w:rPr>
      </w:r>
      <w:r>
        <w:rPr>
          <w:rFonts w:ascii="宋体" w:hAnsi="宋体" w:eastAsia="宋体"/>
          <w:b/>
          <w:sz w:val="21"/>
        </w:rPr>
        <w:t>A级平台（AQI≥4.0，上海、北京）</w:t>
      </w:r>
      <w:r>
        <w:rPr>
          <w:rFonts w:ascii="宋体" w:hAnsi="宋体" w:eastAsia="宋体"/>
          <w:b w:val="0"/>
          <w:sz w:val="21"/>
        </w:rPr>
        <w:t>：</w:t>
      </w:r>
    </w:p>
    <w:p>
      <w:pPr>
        <w:spacing w:line="360" w:lineRule="auto" w:after="120"/>
        <w:ind w:firstLine="432"/>
      </w:pPr>
      <w:r>
        <w:rPr>
          <w:rFonts w:ascii="宋体" w:hAnsi="宋体" w:eastAsia="宋体"/>
          <w:b w:val="0"/>
          <w:sz w:val="21"/>
        </w:rPr>
        <w:t>- 继续保持高标准，可作为全国示范平台</w:t>
      </w:r>
    </w:p>
    <w:p>
      <w:pPr>
        <w:spacing w:line="360" w:lineRule="auto" w:after="120"/>
        <w:ind w:firstLine="432"/>
      </w:pPr>
      <w:r>
        <w:rPr>
          <w:rFonts w:ascii="宋体" w:hAnsi="宋体" w:eastAsia="宋体"/>
          <w:b w:val="0"/>
          <w:sz w:val="21"/>
        </w:rPr>
        <w:t>- 探索自动化匿名化工具的研发与应用</w:t>
      </w:r>
    </w:p>
    <w:p>
      <w:pPr>
        <w:spacing w:line="360" w:lineRule="auto" w:after="120"/>
        <w:ind w:firstLine="432"/>
      </w:pPr>
      <w:r>
        <w:rPr>
          <w:rFonts w:ascii="宋体" w:hAnsi="宋体" w:eastAsia="宋体"/>
          <w:b w:val="0"/>
          <w:sz w:val="21"/>
        </w:rPr>
        <w:t>- 参与国家数据局匿名化处理评价标准的试点验证</w:t>
      </w:r>
    </w:p>
    <w:p>
      <w:pPr>
        <w:spacing w:line="360" w:lineRule="auto" w:after="120"/>
        <w:ind w:firstLine="432"/>
      </w:pPr>
      <w:r>
        <w:rPr>
          <w:rFonts w:ascii="宋体" w:hAnsi="宋体" w:eastAsia="宋体"/>
          <w:b w:val="0"/>
          <w:sz w:val="21"/>
        </w:rPr>
      </w:r>
      <w:r>
        <w:rPr>
          <w:rFonts w:ascii="宋体" w:hAnsi="宋体" w:eastAsia="宋体"/>
          <w:b/>
          <w:sz w:val="21"/>
        </w:rPr>
        <w:t>B级平台（3.5≤AQI&lt;4.0，浙江、广东、江苏等6个）</w:t>
      </w:r>
      <w:r>
        <w:rPr>
          <w:rFonts w:ascii="宋体" w:hAnsi="宋体" w:eastAsia="宋体"/>
          <w:b w:val="0"/>
          <w:sz w:val="21"/>
        </w:rPr>
        <w:t>：</w:t>
      </w:r>
    </w:p>
    <w:p>
      <w:pPr>
        <w:spacing w:line="360" w:lineRule="auto" w:after="120"/>
        <w:ind w:firstLine="432"/>
      </w:pPr>
      <w:r>
        <w:rPr>
          <w:rFonts w:ascii="宋体" w:hAnsi="宋体" w:eastAsia="宋体"/>
          <w:b w:val="0"/>
          <w:sz w:val="21"/>
        </w:rPr>
        <w:t>- 重点解决准标识符组合识别问题</w:t>
      </w:r>
    </w:p>
    <w:p>
      <w:pPr>
        <w:spacing w:line="360" w:lineRule="auto" w:after="120"/>
        <w:ind w:firstLine="432"/>
      </w:pPr>
      <w:r>
        <w:rPr>
          <w:rFonts w:ascii="宋体" w:hAnsi="宋体" w:eastAsia="宋体"/>
          <w:b w:val="0"/>
          <w:sz w:val="21"/>
        </w:rPr>
        <w:t>- 引入外部安全审计机制</w:t>
      </w:r>
    </w:p>
    <w:p>
      <w:pPr>
        <w:spacing w:line="360" w:lineRule="auto" w:after="120"/>
        <w:ind w:firstLine="432"/>
      </w:pPr>
      <w:r>
        <w:rPr>
          <w:rFonts w:ascii="宋体" w:hAnsi="宋体" w:eastAsia="宋体"/>
          <w:b w:val="0"/>
          <w:sz w:val="21"/>
        </w:rPr>
        <w:t>- 建立数据集匿名化处理SOP（标准作业程序）</w:t>
      </w:r>
    </w:p>
    <w:p>
      <w:pPr>
        <w:spacing w:line="360" w:lineRule="auto" w:after="120"/>
        <w:ind w:firstLine="432"/>
      </w:pPr>
      <w:r>
        <w:rPr>
          <w:rFonts w:ascii="宋体" w:hAnsi="宋体" w:eastAsia="宋体"/>
          <w:b w:val="0"/>
          <w:sz w:val="21"/>
        </w:rPr>
      </w:r>
      <w:r>
        <w:rPr>
          <w:rFonts w:ascii="宋体" w:hAnsi="宋体" w:eastAsia="宋体"/>
          <w:b/>
          <w:sz w:val="21"/>
        </w:rPr>
        <w:t>C级平台（3.0≤AQI&lt;3.5，湖北、四川、福建等8个）</w:t>
      </w:r>
      <w:r>
        <w:rPr>
          <w:rFonts w:ascii="宋体" w:hAnsi="宋体" w:eastAsia="宋体"/>
          <w:b w:val="0"/>
          <w:sz w:val="21"/>
        </w:rPr>
        <w:t>：</w:t>
      </w:r>
    </w:p>
    <w:p>
      <w:pPr>
        <w:spacing w:line="360" w:lineRule="auto" w:after="120"/>
        <w:ind w:firstLine="432"/>
      </w:pPr>
      <w:r>
        <w:rPr>
          <w:rFonts w:ascii="宋体" w:hAnsi="宋体" w:eastAsia="宋体"/>
          <w:b w:val="0"/>
          <w:sz w:val="21"/>
        </w:rPr>
        <w:t>- 建立专门的数据安全审查团队</w:t>
      </w:r>
    </w:p>
    <w:p>
      <w:pPr>
        <w:spacing w:line="360" w:lineRule="auto" w:after="120"/>
        <w:ind w:firstLine="432"/>
      </w:pPr>
      <w:r>
        <w:rPr>
          <w:rFonts w:ascii="宋体" w:hAnsi="宋体" w:eastAsia="宋体"/>
          <w:b w:val="0"/>
          <w:sz w:val="21"/>
        </w:rPr>
        <w:t>- 引入自动化脱敏工具</w:t>
      </w:r>
    </w:p>
    <w:p>
      <w:pPr>
        <w:spacing w:line="360" w:lineRule="auto" w:after="120"/>
        <w:ind w:firstLine="432"/>
      </w:pPr>
      <w:r>
        <w:rPr>
          <w:rFonts w:ascii="宋体" w:hAnsi="宋体" w:eastAsia="宋体"/>
          <w:b w:val="0"/>
          <w:sz w:val="21"/>
        </w:rPr>
        <w:t>- 开展平台运营人员的匿名化处理培训</w:t>
      </w:r>
    </w:p>
    <w:p>
      <w:pPr>
        <w:spacing w:line="360" w:lineRule="auto" w:after="120"/>
        <w:ind w:firstLine="432"/>
      </w:pPr>
      <w:r>
        <w:rPr>
          <w:rFonts w:ascii="宋体" w:hAnsi="宋体" w:eastAsia="宋体"/>
          <w:b w:val="0"/>
          <w:sz w:val="21"/>
        </w:rPr>
      </w:r>
      <w:r>
        <w:rPr>
          <w:rFonts w:ascii="宋体" w:hAnsi="宋体" w:eastAsia="宋体"/>
          <w:b/>
          <w:sz w:val="21"/>
        </w:rPr>
        <w:t>D级平台（AQI&lt;3.0，山西、内蒙古、江西等7个）</w:t>
      </w:r>
      <w:r>
        <w:rPr>
          <w:rFonts w:ascii="宋体" w:hAnsi="宋体" w:eastAsia="宋体"/>
          <w:b w:val="0"/>
          <w:sz w:val="21"/>
        </w:rPr>
        <w:t>：</w:t>
      </w:r>
    </w:p>
    <w:p>
      <w:pPr>
        <w:spacing w:line="360" w:lineRule="auto" w:after="120"/>
        <w:ind w:firstLine="432"/>
      </w:pPr>
      <w:r>
        <w:rPr>
          <w:rFonts w:ascii="宋体" w:hAnsi="宋体" w:eastAsia="宋体"/>
          <w:b w:val="0"/>
          <w:sz w:val="21"/>
        </w:rPr>
        <w:t>- 优先解决直接标识符残留问题（最基础、最紧迫）</w:t>
      </w:r>
    </w:p>
    <w:p>
      <w:pPr>
        <w:spacing w:line="360" w:lineRule="auto" w:after="120"/>
        <w:ind w:firstLine="432"/>
      </w:pPr>
      <w:r>
        <w:rPr>
          <w:rFonts w:ascii="宋体" w:hAnsi="宋体" w:eastAsia="宋体"/>
          <w:b w:val="0"/>
          <w:sz w:val="21"/>
        </w:rPr>
        <w:t>- 暂停上架高敏感度数据集，待整改完成后恢复</w:t>
      </w:r>
    </w:p>
    <w:p>
      <w:pPr>
        <w:spacing w:line="360" w:lineRule="auto" w:after="120"/>
        <w:ind w:firstLine="432"/>
      </w:pPr>
      <w:r>
        <w:rPr>
          <w:rFonts w:ascii="宋体" w:hAnsi="宋体" w:eastAsia="宋体"/>
          <w:b w:val="0"/>
          <w:sz w:val="21"/>
        </w:rPr>
        <w:t>- 接受省级数据管理部门的专项督导</w:t>
      </w:r>
    </w:p>
    <w:p>
      <w:pPr>
        <w:pStyle w:val="Heading1"/>
      </w:pPr>
      <w:r>
        <w:rPr>
          <w:rFonts w:ascii="黑体" w:hAnsi="黑体" w:eastAsia="黑体"/>
          <w:b/>
          <w:sz w:val="28"/>
        </w:rPr>
        <w:t>八、结论与建议</w:t>
      </w:r>
    </w:p>
    <w:p>
      <w:pPr>
        <w:pStyle w:val="Heading2"/>
      </w:pPr>
      <w:r>
        <w:rPr>
          <w:rFonts w:ascii="黑体" w:hAnsi="黑体" w:eastAsia="黑体"/>
          <w:b/>
          <w:sz w:val="24"/>
        </w:rPr>
        <w:t>8.1 核心结论</w:t>
      </w:r>
    </w:p>
    <w:p>
      <w:pPr>
        <w:spacing w:line="360" w:lineRule="auto" w:after="120"/>
        <w:ind w:firstLine="432"/>
      </w:pPr>
      <w:r>
        <w:rPr>
          <w:rFonts w:ascii="宋体" w:hAnsi="宋体" w:eastAsia="宋体"/>
          <w:b w:val="0"/>
          <w:sz w:val="21"/>
        </w:rPr>
        <w:t>（1）当前我国省级政府数据开放平台的匿名化处理质量整体处于中等水平（AQI均值3.12），仅15.1%的数据集达到合规标准，43.2%存在不同程度的风险。</w:t>
      </w:r>
    </w:p>
    <w:p>
      <w:pPr>
        <w:spacing w:line="360" w:lineRule="auto" w:after="120"/>
        <w:ind w:firstLine="432"/>
      </w:pPr>
      <w:r>
        <w:rPr>
          <w:rFonts w:ascii="宋体" w:hAnsi="宋体" w:eastAsia="宋体"/>
          <w:b w:val="0"/>
          <w:sz w:val="21"/>
        </w:rPr>
        <w:t>（2）匿名化质量与数据利用绩效之间存在显著的倒U型关系，拐点位于AQI≈3.35。当前多数平台位于曲线的上升段，仍有提升空间。</w:t>
      </w:r>
    </w:p>
    <w:p>
      <w:pPr>
        <w:spacing w:line="360" w:lineRule="auto" w:after="120"/>
        <w:ind w:firstLine="432"/>
      </w:pPr>
      <w:r>
        <w:rPr>
          <w:rFonts w:ascii="宋体" w:hAnsi="宋体" w:eastAsia="宋体"/>
          <w:b w:val="0"/>
          <w:sz w:val="21"/>
        </w:rPr>
        <w:t>（3）区域差异显著，东部省份平台显著优于中西部平台，技术投入和制度规范是主要影响因素。</w:t>
      </w:r>
    </w:p>
    <w:p>
      <w:pPr>
        <w:spacing w:line="360" w:lineRule="auto" w:after="120"/>
        <w:ind w:firstLine="432"/>
      </w:pPr>
      <w:r>
        <w:rPr>
          <w:rFonts w:ascii="宋体" w:hAnsi="宋体" w:eastAsia="宋体"/>
          <w:b w:val="0"/>
          <w:sz w:val="21"/>
        </w:rPr>
        <w:t>（4）平台匿名化处理存在"直接标识符残留""准标识符组合识别""过度匿名化""处理不一致"四类典型问题。</w:t>
      </w:r>
    </w:p>
    <w:p>
      <w:pPr>
        <w:pStyle w:val="Heading2"/>
      </w:pPr>
      <w:r>
        <w:rPr>
          <w:rFonts w:ascii="黑体" w:hAnsi="黑体" w:eastAsia="黑体"/>
          <w:b/>
          <w:sz w:val="24"/>
        </w:rPr>
        <w:t>8.2 对策建议</w:t>
      </w:r>
    </w:p>
    <w:p>
      <w:pPr>
        <w:spacing w:line="360" w:lineRule="auto" w:after="120"/>
        <w:ind w:firstLine="432"/>
      </w:pPr>
      <w:r>
        <w:rPr>
          <w:rFonts w:ascii="宋体" w:hAnsi="宋体" w:eastAsia="宋体"/>
          <w:b w:val="0"/>
          <w:sz w:val="21"/>
        </w:rPr>
      </w:r>
      <w:r>
        <w:rPr>
          <w:rFonts w:ascii="宋体" w:hAnsi="宋体" w:eastAsia="宋体"/>
          <w:b/>
          <w:sz w:val="21"/>
        </w:rPr>
        <w:t>（1）建立全国统一的政府数据开放平台匿名化处理规范</w:t>
      </w:r>
      <w:r>
        <w:rPr>
          <w:rFonts w:ascii="宋体" w:hAnsi="宋体" w:eastAsia="宋体"/>
          <w:b w:val="0"/>
          <w:sz w:val="21"/>
        </w:rPr>
      </w:r>
    </w:p>
    <w:p>
      <w:pPr>
        <w:spacing w:line="360" w:lineRule="auto" w:after="120"/>
        <w:ind w:firstLine="432"/>
      </w:pPr>
      <w:r>
        <w:rPr>
          <w:rFonts w:ascii="宋体" w:hAnsi="宋体" w:eastAsia="宋体"/>
          <w:b w:val="0"/>
          <w:sz w:val="21"/>
        </w:rPr>
        <w:t>建议国家数据局在制定"数据流通匿名化处理评价标准"时，增设"政府数据开放场景化附录"，明确不同主题数据集的匿名化处理要求和达标标准。</w:t>
      </w:r>
    </w:p>
    <w:p>
      <w:pPr>
        <w:spacing w:line="360" w:lineRule="auto" w:after="120"/>
        <w:ind w:firstLine="432"/>
      </w:pPr>
      <w:r>
        <w:rPr>
          <w:rFonts w:ascii="宋体" w:hAnsi="宋体" w:eastAsia="宋体"/>
          <w:b w:val="0"/>
          <w:sz w:val="21"/>
        </w:rPr>
      </w:r>
      <w:r>
        <w:rPr>
          <w:rFonts w:ascii="宋体" w:hAnsi="宋体" w:eastAsia="宋体"/>
          <w:b/>
          <w:sz w:val="21"/>
        </w:rPr>
        <w:t>（2）实施平台匿名化处理能力分级认证</w:t>
      </w:r>
      <w:r>
        <w:rPr>
          <w:rFonts w:ascii="宋体" w:hAnsi="宋体" w:eastAsia="宋体"/>
          <w:b w:val="0"/>
          <w:sz w:val="21"/>
        </w:rPr>
      </w:r>
    </w:p>
    <w:p>
      <w:pPr>
        <w:spacing w:line="360" w:lineRule="auto" w:after="120"/>
        <w:ind w:firstLine="432"/>
      </w:pPr>
      <w:r>
        <w:rPr>
          <w:rFonts w:ascii="宋体" w:hAnsi="宋体" w:eastAsia="宋体"/>
          <w:b w:val="0"/>
          <w:sz w:val="21"/>
        </w:rPr>
        <w:t>借鉴信息安全等级保护制度，建立平台匿名化处理能力的A/B/C/D四级认证体系，将认证结果与平台考核、资金支持挂钩。</w:t>
      </w:r>
    </w:p>
    <w:p>
      <w:pPr>
        <w:spacing w:line="360" w:lineRule="auto" w:after="120"/>
        <w:ind w:firstLine="432"/>
      </w:pPr>
      <w:r>
        <w:rPr>
          <w:rFonts w:ascii="宋体" w:hAnsi="宋体" w:eastAsia="宋体"/>
          <w:b w:val="0"/>
          <w:sz w:val="21"/>
        </w:rPr>
      </w:r>
      <w:r>
        <w:rPr>
          <w:rFonts w:ascii="宋体" w:hAnsi="宋体" w:eastAsia="宋体"/>
          <w:b/>
          <w:sz w:val="21"/>
        </w:rPr>
        <w:t>（3）推广"数据集敏感度×匿名化强度"匹配矩阵</w:t>
      </w:r>
      <w:r>
        <w:rPr>
          <w:rFonts w:ascii="宋体" w:hAnsi="宋体" w:eastAsia="宋体"/>
          <w:b w:val="0"/>
          <w:sz w:val="21"/>
        </w:rPr>
      </w:r>
    </w:p>
    <w:p>
      <w:pPr>
        <w:spacing w:line="360" w:lineRule="auto" w:after="120"/>
        <w:ind w:firstLine="432"/>
      </w:pPr>
      <w:r>
        <w:rPr>
          <w:rFonts w:ascii="宋体" w:hAnsi="宋体" w:eastAsia="宋体"/>
          <w:b w:val="0"/>
          <w:sz w:val="21"/>
        </w:rPr>
        <w:t>建议各平台根据本研究提出的匹配矩阵，对现有数据集进行重新审查和分类处理，实现差异化、精细化的匿名化管理。</w:t>
      </w:r>
    </w:p>
    <w:p>
      <w:pPr>
        <w:spacing w:line="360" w:lineRule="auto" w:after="120"/>
        <w:ind w:firstLine="432"/>
      </w:pPr>
      <w:r>
        <w:rPr>
          <w:rFonts w:ascii="宋体" w:hAnsi="宋体" w:eastAsia="宋体"/>
          <w:b w:val="0"/>
          <w:sz w:val="21"/>
        </w:rPr>
      </w:r>
      <w:r>
        <w:rPr>
          <w:rFonts w:ascii="宋体" w:hAnsi="宋体" w:eastAsia="宋体"/>
          <w:b/>
          <w:sz w:val="21"/>
        </w:rPr>
        <w:t>（4）加强中西部地区平台的技术帮扶</w:t>
      </w:r>
      <w:r>
        <w:rPr>
          <w:rFonts w:ascii="宋体" w:hAnsi="宋体" w:eastAsia="宋体"/>
          <w:b w:val="0"/>
          <w:sz w:val="21"/>
        </w:rPr>
      </w:r>
    </w:p>
    <w:p>
      <w:pPr>
        <w:spacing w:line="360" w:lineRule="auto" w:after="120"/>
        <w:ind w:firstLine="432"/>
      </w:pPr>
      <w:r>
        <w:rPr>
          <w:rFonts w:ascii="宋体" w:hAnsi="宋体" w:eastAsia="宋体"/>
          <w:b w:val="0"/>
          <w:sz w:val="21"/>
        </w:rPr>
        <w:t>建议东部地区的A级平台与中西部D级平台建立"结对帮扶"机制，通过技术输出、人员培训、经验共享等方式提升整体水平。</w:t>
      </w:r>
    </w:p>
    <w:p>
      <w:pPr>
        <w:pStyle w:val="Heading1"/>
      </w:pPr>
      <w:r>
        <w:rPr>
          <w:rFonts w:ascii="黑体" w:hAnsi="黑体" w:eastAsia="黑体"/>
          <w:b/>
          <w:sz w:val="28"/>
        </w:rPr>
        <w:t>作者简介</w:t>
      </w:r>
    </w:p>
    <w:p>
      <w:pPr>
        <w:spacing w:line="360" w:lineRule="auto" w:after="120"/>
        <w:ind w:firstLine="432"/>
      </w:pPr>
      <w:r>
        <w:rPr>
          <w:rFonts w:ascii="宋体" w:hAnsi="宋体" w:eastAsia="宋体"/>
          <w:b w:val="0"/>
          <w:sz w:val="21"/>
        </w:rPr>
      </w:r>
      <w:r>
        <w:rPr>
          <w:rFonts w:ascii="宋体" w:hAnsi="宋体" w:eastAsia="宋体"/>
          <w:b/>
          <w:sz w:val="21"/>
        </w:rPr>
        <w:t>文明</w:t>
      </w:r>
      <w:r>
        <w:rPr>
          <w:rFonts w:ascii="宋体" w:hAnsi="宋体" w:eastAsia="宋体"/>
          <w:b w:val="0"/>
          <w:sz w:val="21"/>
        </w:rPr>
        <w:t>（1990-），男，湖北武汉人，武汉大学信息管理学院博士研究生，研究方向：政府数据开放、数据治理、信息资源管理。Email: ambit@qq.com</w:t>
      </w:r>
    </w:p>
    <w:p>
      <w:pPr>
        <w:spacing w:line="360" w:lineRule="auto" w:after="120"/>
        <w:ind w:firstLine="432"/>
      </w:pPr>
      <w:r>
        <w:rPr>
          <w:rFonts w:ascii="宋体" w:hAnsi="宋体" w:eastAsia="宋体"/>
          <w:b w:val="0"/>
          <w:sz w:val="21"/>
        </w:rPr>
      </w:r>
      <w:r>
        <w:rPr>
          <w:rFonts w:ascii="宋体" w:hAnsi="宋体" w:eastAsia="宋体"/>
          <w:b/>
          <w:sz w:val="21"/>
        </w:rPr>
        <w:t>冉从敬</w:t>
      </w:r>
      <w:r>
        <w:rPr>
          <w:rFonts w:ascii="宋体" w:hAnsi="宋体" w:eastAsia="宋体"/>
          <w:b w:val="0"/>
          <w:sz w:val="21"/>
        </w:rPr>
        <w:t>（1972-），男，重庆人，武汉大学信息管理学院教授、博士生导师，国家级人才，研究方向：数据主权、数据治理、知识产权。Email: rancongjing@163.com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