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黑体" w:hAnsi="黑体" w:eastAsia="黑体"/>
          <w:b/>
          <w:sz w:val="32"/>
        </w:rPr>
        <w:t>政府数据开放平台绩效评估的方法论创新——组态思维与因果识别的混合方法框架</w:t>
      </w:r>
    </w:p>
    <w:p>
      <w:pPr>
        <w:spacing w:line="360" w:lineRule="auto" w:after="120"/>
        <w:ind w:firstLine="432"/>
      </w:pPr>
      <w:r>
        <w:rPr>
          <w:rFonts w:ascii="宋体" w:hAnsi="宋体" w:eastAsia="宋体"/>
          <w:b w:val="0"/>
          <w:sz w:val="21"/>
        </w:rPr>
      </w:r>
      <w:r>
        <w:rPr>
          <w:rFonts w:ascii="宋体" w:hAnsi="宋体" w:eastAsia="宋体"/>
          <w:b/>
          <w:sz w:val="21"/>
        </w:rPr>
        <w:t>作者：</w:t>
      </w:r>
      <w:r>
        <w:rPr>
          <w:rFonts w:ascii="宋体" w:hAnsi="宋体" w:eastAsia="宋体"/>
          <w:b w:val="0"/>
          <w:sz w:val="21"/>
        </w:rPr>
        <w:t xml:space="preserve"> 文明（武汉大学信息管理学院）</w:t>
      </w:r>
    </w:p>
    <w:p>
      <w:pPr>
        <w:spacing w:line="360" w:lineRule="auto" w:after="120"/>
        <w:ind w:firstLine="432"/>
      </w:pPr>
      <w:r>
        <w:rPr>
          <w:rFonts w:ascii="宋体" w:hAnsi="宋体" w:eastAsia="宋体"/>
          <w:b w:val="0"/>
          <w:sz w:val="21"/>
        </w:rPr>
      </w:r>
      <w:r>
        <w:rPr>
          <w:rFonts w:ascii="宋体" w:hAnsi="宋体" w:eastAsia="宋体"/>
          <w:b/>
          <w:sz w:val="21"/>
        </w:rPr>
        <w:t>导师：</w:t>
      </w:r>
      <w:r>
        <w:rPr>
          <w:rFonts w:ascii="宋体" w:hAnsi="宋体" w:eastAsia="宋体"/>
          <w:b w:val="0"/>
          <w:sz w:val="21"/>
        </w:rPr>
        <w:t xml:space="preserve"> 陈传夫（武汉大学人文社会科学资深教授）</w:t>
      </w:r>
    </w:p>
    <w:p>
      <w:pPr>
        <w:spacing w:line="360" w:lineRule="auto" w:after="120"/>
        <w:ind w:firstLine="432"/>
      </w:pPr>
      <w:r>
        <w:rPr>
          <w:rFonts w:ascii="宋体" w:hAnsi="宋体" w:eastAsia="宋体"/>
          <w:b w:val="0"/>
          <w:sz w:val="21"/>
        </w:rPr>
      </w:r>
      <w:r>
        <w:rPr>
          <w:rFonts w:ascii="宋体" w:hAnsi="宋体" w:eastAsia="宋体"/>
          <w:b/>
          <w:sz w:val="21"/>
        </w:rPr>
        <w:t>基金项目：</w:t>
      </w:r>
      <w:r>
        <w:rPr>
          <w:rFonts w:ascii="宋体" w:hAnsi="宋体" w:eastAsia="宋体"/>
          <w:b w:val="0"/>
          <w:sz w:val="21"/>
        </w:rPr>
        <w:t xml:space="preserve"> 国家社会科学基金重大项目"信息资源知识产权制度研究"（21&amp;ZDXXX）</w:t>
      </w:r>
    </w:p>
    <w:p>
      <w:pPr>
        <w:pStyle w:val="Heading1"/>
      </w:pPr>
      <w:r>
        <w:rPr>
          <w:rFonts w:ascii="黑体" w:hAnsi="黑体" w:eastAsia="黑体"/>
          <w:b/>
          <w:sz w:val="28"/>
        </w:rPr>
        <w:t>1 引言</w:t>
      </w:r>
    </w:p>
    <w:p>
      <w:pPr>
        <w:pStyle w:val="Heading2"/>
      </w:pPr>
      <w:r>
        <w:rPr>
          <w:rFonts w:ascii="黑体" w:hAnsi="黑体" w:eastAsia="黑体"/>
          <w:b/>
          <w:sz w:val="24"/>
        </w:rPr>
        <w:t>1.1 从"建平台"到"评平台"：一个方法论困境</w:t>
      </w:r>
    </w:p>
    <w:p>
      <w:pPr>
        <w:spacing w:line="360" w:lineRule="auto" w:after="120"/>
        <w:ind w:firstLine="432"/>
      </w:pPr>
      <w:r>
        <w:rPr>
          <w:rFonts w:ascii="宋体" w:hAnsi="宋体" w:eastAsia="宋体"/>
          <w:b w:val="0"/>
          <w:sz w:val="21"/>
        </w:rPr>
        <w:t>中国省级政府数据开放平台建设已走过十年。自2015年国务院印发《促进大数据发展行动纲要》以来，23个省份建成运营数据开放平台，累计开放数据集超30万个。但"建得多"远不等于"用得好"：天津平台数据集仅3,344个、近一年无更新、API接口数为0，TOPSIS绩效得分仅0.234，与山东（63,656个数据集、TOPSIS得分0.955）形成十余倍差距。这种悬殊的绩效分化提出一个尖锐的评估问题：我们如何科学地评价一个平台的绩效？更重要的是：我们如何解释这种绩效差异的成因？</w:t>
      </w:r>
    </w:p>
    <w:p>
      <w:pPr>
        <w:spacing w:line="360" w:lineRule="auto" w:after="120"/>
        <w:ind w:firstLine="432"/>
      </w:pPr>
      <w:r>
        <w:rPr>
          <w:rFonts w:ascii="宋体" w:hAnsi="宋体" w:eastAsia="宋体"/>
          <w:b w:val="0"/>
          <w:sz w:val="21"/>
        </w:rPr>
        <w:t>现有评估方法的回答令人失望。描述性统计只能呈现绩效排名，但无法回答"为什么A比B好"。回归分析可能告诉我们"人均GDP每增加1万，绩效得分提高0.05"，但这一"平均效应"掩盖了巨大的组态异质性——在制度完善的前提下，经济水平一般也能实现高绩效（如路径H1揭示的事实）。指标体系法虽可比较，但隐含"因素可替代"假设（某一维度低分可由另一维度高分补偿），且权重设定高度依赖研究者主观判断。</w:t>
      </w:r>
    </w:p>
    <w:p>
      <w:pPr>
        <w:spacing w:line="360" w:lineRule="auto" w:after="120"/>
        <w:ind w:firstLine="432"/>
      </w:pPr>
      <w:r>
        <w:rPr>
          <w:rFonts w:ascii="宋体" w:hAnsi="宋体" w:eastAsia="宋体"/>
          <w:b w:val="0"/>
          <w:sz w:val="21"/>
        </w:rPr>
        <w:t>更为根本的局限在于：</w:t>
      </w:r>
      <w:r>
        <w:rPr>
          <w:rFonts w:ascii="宋体" w:hAnsi="宋体" w:eastAsia="宋体"/>
          <w:b/>
          <w:sz w:val="21"/>
        </w:rPr>
        <w:t>现有方法止于"相关性"而无法触及"因果性"。</w:t>
      </w:r>
      <w:r>
        <w:rPr>
          <w:rFonts w:ascii="宋体" w:hAnsi="宋体" w:eastAsia="宋体"/>
          <w:b w:val="0"/>
          <w:sz w:val="21"/>
        </w:rPr>
        <w:t xml:space="preserve"> 我们不知道平台绩效的差异是源于平台建设本身的作用，还是建平台的省份本就创新能力更强——这是典型的自选择偏误。回答"平台建设是否产生因果效应"这一核心政策问题，需要从相关性分析向因果推断的方法论跨越。</w:t>
      </w:r>
    </w:p>
    <w:p>
      <w:pPr>
        <w:pStyle w:val="Heading2"/>
      </w:pPr>
      <w:r>
        <w:rPr>
          <w:rFonts w:ascii="黑体" w:hAnsi="黑体" w:eastAsia="黑体"/>
          <w:b/>
          <w:sz w:val="24"/>
        </w:rPr>
        <w:t>1.2 本文的四个核心追问</w:t>
      </w:r>
    </w:p>
    <w:p>
      <w:pPr>
        <w:spacing w:line="360" w:lineRule="auto" w:after="120"/>
        <w:ind w:firstLine="432"/>
      </w:pPr>
      <w:r>
        <w:rPr>
          <w:rFonts w:ascii="宋体" w:hAnsi="宋体" w:eastAsia="宋体"/>
          <w:b w:val="0"/>
          <w:sz w:val="21"/>
        </w:rPr>
        <w:t>本文试图超越上述方法论局限，构建一套能够同时回应以下四个递进问题的混合方法体系：</w:t>
      </w:r>
    </w:p>
    <w:p>
      <w:pPr>
        <w:spacing w:line="360" w:lineRule="auto" w:after="120"/>
        <w:ind w:firstLine="432"/>
      </w:pPr>
      <w:r>
        <w:rPr>
          <w:rFonts w:ascii="宋体" w:hAnsi="宋体" w:eastAsia="宋体"/>
          <w:b w:val="0"/>
          <w:sz w:val="21"/>
        </w:rPr>
      </w:r>
      <w:r>
        <w:rPr>
          <w:rFonts w:ascii="宋体" w:hAnsi="宋体" w:eastAsia="宋体"/>
          <w:b/>
          <w:sz w:val="21"/>
        </w:rPr>
        <w:t>追问一（是什么）：</w:t>
      </w:r>
      <w:r>
        <w:rPr>
          <w:rFonts w:ascii="宋体" w:hAnsi="宋体" w:eastAsia="宋体"/>
          <w:b w:val="0"/>
          <w:sz w:val="21"/>
        </w:rPr>
        <w:t xml:space="preserve"> 各省级平台的绩效水平如何？存在何种分布特征？——需要绩效测度工具</w:t>
      </w:r>
    </w:p>
    <w:p>
      <w:pPr>
        <w:spacing w:line="360" w:lineRule="auto" w:after="120"/>
        <w:ind w:firstLine="432"/>
      </w:pPr>
      <w:r>
        <w:rPr>
          <w:rFonts w:ascii="宋体" w:hAnsi="宋体" w:eastAsia="宋体"/>
          <w:b w:val="0"/>
          <w:sz w:val="21"/>
        </w:rPr>
      </w:r>
      <w:r>
        <w:rPr>
          <w:rFonts w:ascii="宋体" w:hAnsi="宋体" w:eastAsia="宋体"/>
          <w:b/>
          <w:sz w:val="21"/>
        </w:rPr>
        <w:t>追问二（什么驱动）：</w:t>
      </w:r>
      <w:r>
        <w:rPr>
          <w:rFonts w:ascii="宋体" w:hAnsi="宋体" w:eastAsia="宋体"/>
          <w:b w:val="0"/>
          <w:sz w:val="21"/>
        </w:rPr>
        <w:t xml:space="preserve"> 影响平台绩效的关键因素及其因果网络结构是什么？——需要因果网络分析工具</w:t>
      </w:r>
    </w:p>
    <w:p>
      <w:pPr>
        <w:spacing w:line="360" w:lineRule="auto" w:after="120"/>
        <w:ind w:firstLine="432"/>
      </w:pPr>
      <w:r>
        <w:rPr>
          <w:rFonts w:ascii="宋体" w:hAnsi="宋体" w:eastAsia="宋体"/>
          <w:b w:val="0"/>
          <w:sz w:val="21"/>
        </w:rPr>
      </w:r>
      <w:r>
        <w:rPr>
          <w:rFonts w:ascii="宋体" w:hAnsi="宋体" w:eastAsia="宋体"/>
          <w:b/>
          <w:sz w:val="21"/>
        </w:rPr>
        <w:t>追问三（什么组合）：</w:t>
      </w:r>
      <w:r>
        <w:rPr>
          <w:rFonts w:ascii="宋体" w:hAnsi="宋体" w:eastAsia="宋体"/>
          <w:b w:val="0"/>
          <w:sz w:val="21"/>
        </w:rPr>
        <w:t xml:space="preserve"> 产生高/低绩效的条件组态路径有哪些？——需要组态分析工具</w:t>
      </w:r>
    </w:p>
    <w:p>
      <w:pPr>
        <w:spacing w:line="360" w:lineRule="auto" w:after="120"/>
        <w:ind w:firstLine="432"/>
      </w:pPr>
      <w:r>
        <w:rPr>
          <w:rFonts w:ascii="宋体" w:hAnsi="宋体" w:eastAsia="宋体"/>
          <w:b w:val="0"/>
          <w:sz w:val="21"/>
        </w:rPr>
      </w:r>
      <w:r>
        <w:rPr>
          <w:rFonts w:ascii="宋体" w:hAnsi="宋体" w:eastAsia="宋体"/>
          <w:b/>
          <w:sz w:val="21"/>
        </w:rPr>
        <w:t>追问四（是否因果）：</w:t>
      </w:r>
      <w:r>
        <w:rPr>
          <w:rFonts w:ascii="宋体" w:hAnsi="宋体" w:eastAsia="宋体"/>
          <w:b w:val="0"/>
          <w:sz w:val="21"/>
        </w:rPr>
        <w:t xml:space="preserve"> 平台建设对区域创新产出是否产生因果效应？——需要因果识别工具</w:t>
      </w:r>
    </w:p>
    <w:p>
      <w:pPr>
        <w:spacing w:line="360" w:lineRule="auto" w:after="120"/>
        <w:ind w:firstLine="432"/>
      </w:pPr>
      <w:r>
        <w:rPr>
          <w:rFonts w:ascii="宋体" w:hAnsi="宋体" w:eastAsia="宋体"/>
          <w:b w:val="0"/>
          <w:sz w:val="21"/>
        </w:rPr>
        <w:t>四个问题从"描述"到"诊断"到"归因"到"因果"，构成一个认知难度递进的证据链条。单一方法无法同时回应这四个问题——这正是本文构建"方法链"的逻辑起点。</w:t>
      </w:r>
    </w:p>
    <w:p>
      <w:pPr>
        <w:pStyle w:val="Heading2"/>
      </w:pPr>
      <w:r>
        <w:rPr>
          <w:rFonts w:ascii="黑体" w:hAnsi="黑体" w:eastAsia="黑体"/>
          <w:b/>
          <w:sz w:val="24"/>
        </w:rPr>
        <w:t>1.3 研究贡献</w:t>
      </w:r>
    </w:p>
    <w:p>
      <w:pPr>
        <w:spacing w:line="360" w:lineRule="auto" w:after="120"/>
        <w:ind w:firstLine="432"/>
      </w:pPr>
      <w:r>
        <w:rPr>
          <w:rFonts w:ascii="宋体" w:hAnsi="宋体" w:eastAsia="宋体"/>
          <w:b w:val="0"/>
          <w:sz w:val="21"/>
        </w:rPr>
        <w:t>相对于既有研究，本文在三个层面做出增量贡献：</w:t>
      </w:r>
    </w:p>
    <w:p>
      <w:pPr>
        <w:spacing w:line="360" w:lineRule="auto" w:after="120"/>
        <w:ind w:firstLine="432"/>
      </w:pPr>
      <w:r>
        <w:rPr>
          <w:rFonts w:ascii="宋体" w:hAnsi="宋体" w:eastAsia="宋体"/>
          <w:b w:val="0"/>
          <w:sz w:val="21"/>
        </w:rPr>
      </w:r>
      <w:r>
        <w:rPr>
          <w:rFonts w:ascii="宋体" w:hAnsi="宋体" w:eastAsia="宋体"/>
          <w:b/>
          <w:sz w:val="21"/>
        </w:rPr>
        <w:t>方法论层面：</w:t>
      </w:r>
      <w:r>
        <w:rPr>
          <w:rFonts w:ascii="宋体" w:hAnsi="宋体" w:eastAsia="宋体"/>
          <w:b w:val="0"/>
          <w:sz w:val="21"/>
        </w:rPr>
        <w:t xml:space="preserve"> 本文首次将组态思维（fsQCA）与因果识别（DID）整合在一个统一的混合方法框架中。传统研究要么使用fsQCA识别组态路径但不检验因果效应，要么使用DID评估政策效果但不识别条件组态——两种方法论长期各自为战。本文的方法链实现了"组态→因果"的贯通：fsQCA揭示"什么组合产生高绩效"，DID检验"平台建设是否产生因果效应"，两者共同构成一条完整的证据链。</w:t>
      </w:r>
    </w:p>
    <w:p>
      <w:pPr>
        <w:spacing w:line="360" w:lineRule="auto" w:after="120"/>
        <w:ind w:firstLine="432"/>
      </w:pPr>
      <w:r>
        <w:rPr>
          <w:rFonts w:ascii="宋体" w:hAnsi="宋体" w:eastAsia="宋体"/>
          <w:b w:val="0"/>
          <w:sz w:val="21"/>
        </w:rPr>
      </w:r>
      <w:r>
        <w:rPr>
          <w:rFonts w:ascii="宋体" w:hAnsi="宋体" w:eastAsia="宋体"/>
          <w:b/>
          <w:sz w:val="21"/>
        </w:rPr>
        <w:t>实证发现层面：</w:t>
      </w:r>
      <w:r>
        <w:rPr>
          <w:rFonts w:ascii="宋体" w:hAnsi="宋体" w:eastAsia="宋体"/>
          <w:b w:val="0"/>
          <w:sz w:val="21"/>
        </w:rPr>
        <w:t xml:space="preserve"> 本文基于23个省级平台（截至2026年,包含最新数据）系统采集和分析的实际运营数据，提供了中国OGD平台绩效评估的最新实证。具体发现包括：(1)仅1个平台达到DEA有效，平均效率损失37.7%；(2)制度质量是最大"杠杆因素"（中心度最高1.245）；(3)两条等效高绩效路径中的"制度引领型"揭示了制度完善可弥补资源投入不足——这一结论对中西部平台建设具有直接的政策含义。</w:t>
      </w:r>
    </w:p>
    <w:p>
      <w:pPr>
        <w:spacing w:line="360" w:lineRule="auto" w:after="120"/>
        <w:ind w:firstLine="432"/>
      </w:pPr>
      <w:r>
        <w:rPr>
          <w:rFonts w:ascii="宋体" w:hAnsi="宋体" w:eastAsia="宋体"/>
          <w:b w:val="0"/>
          <w:sz w:val="21"/>
        </w:rPr>
      </w:r>
      <w:r>
        <w:rPr>
          <w:rFonts w:ascii="宋体" w:hAnsi="宋体" w:eastAsia="宋体"/>
          <w:b/>
          <w:sz w:val="21"/>
        </w:rPr>
        <w:t>政策含义层面：</w:t>
      </w:r>
      <w:r>
        <w:rPr>
          <w:rFonts w:ascii="宋体" w:hAnsi="宋体" w:eastAsia="宋体"/>
          <w:b w:val="0"/>
          <w:sz w:val="21"/>
        </w:rPr>
        <w:t xml:space="preserve"> 本文为"数字中国"战略和"数据要素×"行动提供了循证依据。DID的因果证据（ATT=+0.187**）为继续推进省级平台建设提供了经验支撑；fsQCA的组态分析为差异化政策设计提供了精准指引——不同条件禀赋的平台应走不同的优化路径。</w:t>
      </w:r>
    </w:p>
    <w:p>
      <w:pPr>
        <w:pStyle w:val="Heading2"/>
      </w:pPr>
      <w:r>
        <w:rPr>
          <w:rFonts w:ascii="黑体" w:hAnsi="黑体" w:eastAsia="黑体"/>
          <w:b/>
          <w:sz w:val="24"/>
        </w:rPr>
        <w:t>2.5 AI时代信息资源管理学科的方法论机遇</w:t>
      </w:r>
    </w:p>
    <w:p>
      <w:pPr>
        <w:spacing w:line="360" w:lineRule="auto" w:after="120"/>
        <w:ind w:firstLine="432"/>
      </w:pPr>
      <w:r>
        <w:rPr>
          <w:rFonts w:ascii="宋体" w:hAnsi="宋体" w:eastAsia="宋体"/>
          <w:b w:val="0"/>
          <w:sz w:val="21"/>
        </w:rPr>
        <w:t>值得特别指出的是，本文的方法论探索是在人工智能技术深刻变革学术研究范式的背景下展开的。大语言模型（LLM）、自动化数据采集（Web Scraping &amp; Playwright）、计算社会科学等技术的兴起，为传统的信息资源管理研究带来了三个层面的方法论机遇：</w:t>
      </w:r>
    </w:p>
    <w:p>
      <w:pPr>
        <w:spacing w:line="360" w:lineRule="auto" w:after="120"/>
        <w:ind w:firstLine="432"/>
      </w:pPr>
      <w:r>
        <w:rPr>
          <w:rFonts w:ascii="宋体" w:hAnsi="宋体" w:eastAsia="宋体"/>
          <w:b w:val="0"/>
          <w:sz w:val="21"/>
        </w:rPr>
      </w:r>
      <w:r>
        <w:rPr>
          <w:rFonts w:ascii="宋体" w:hAnsi="宋体" w:eastAsia="宋体"/>
          <w:b/>
          <w:sz w:val="21"/>
        </w:rPr>
        <w:t>第一，数据获取方式的变革。</w:t>
      </w:r>
      <w:r>
        <w:rPr>
          <w:rFonts w:ascii="宋体" w:hAnsi="宋体" w:eastAsia="宋体"/>
          <w:b w:val="0"/>
          <w:sz w:val="21"/>
        </w:rPr>
        <w:t xml:space="preserve"> 传统OGD研究依赖人工收集或二手数据，数据采集量通常局限于数十个样本点。本研究开发的OGD-Collector Pro自动化采集系统，利用Playwright动态渲染技术攻克了Vue.js单页应用的采集难题（安徽平台案例），实现了全国88个平台的全覆盖自动化采集，数据集总量超过30万个。这一数据获取能力的跃升——从"小样本手工采集"到"全样本自动化采集"——使研究者得以构建覆盖31个省份的完整数据集，显著提升了研究的外部效度。</w:t>
      </w:r>
    </w:p>
    <w:p>
      <w:pPr>
        <w:spacing w:line="360" w:lineRule="auto" w:after="120"/>
        <w:ind w:firstLine="432"/>
      </w:pPr>
      <w:r>
        <w:rPr>
          <w:rFonts w:ascii="宋体" w:hAnsi="宋体" w:eastAsia="宋体"/>
          <w:b w:val="0"/>
          <w:sz w:val="21"/>
        </w:rPr>
      </w:r>
      <w:r>
        <w:rPr>
          <w:rFonts w:ascii="宋体" w:hAnsi="宋体" w:eastAsia="宋体"/>
          <w:b/>
          <w:sz w:val="21"/>
        </w:rPr>
        <w:t>第二，分析方法的拓展。</w:t>
      </w:r>
      <w:r>
        <w:rPr>
          <w:rFonts w:ascii="宋体" w:hAnsi="宋体" w:eastAsia="宋体"/>
          <w:b w:val="0"/>
          <w:sz w:val="21"/>
        </w:rPr>
        <w:t xml:space="preserve"> AI技术不仅提升效率，更拓展了方法选择空间。例如，自然语言处理（NLP）可用于平台数据描述文本的语义分析，机器学习可用于预测不同条件下平台的绩效水平，知识图谱可用于构建因素间关联网络。这些方法虽非本文直接采用，但为方法链的进一步拓展提供了清晰的技术路径。</w:t>
      </w:r>
    </w:p>
    <w:p>
      <w:pPr>
        <w:spacing w:line="360" w:lineRule="auto" w:after="120"/>
        <w:ind w:firstLine="432"/>
      </w:pPr>
      <w:r>
        <w:rPr>
          <w:rFonts w:ascii="宋体" w:hAnsi="宋体" w:eastAsia="宋体"/>
          <w:b w:val="0"/>
          <w:sz w:val="21"/>
        </w:rPr>
      </w:r>
      <w:r>
        <w:rPr>
          <w:rFonts w:ascii="宋体" w:hAnsi="宋体" w:eastAsia="宋体"/>
          <w:b/>
          <w:sz w:val="21"/>
        </w:rPr>
        <w:t>第三，研究过程的可复现性。</w:t>
      </w:r>
      <w:r>
        <w:rPr>
          <w:rFonts w:ascii="宋体" w:hAnsi="宋体" w:eastAsia="宋体"/>
          <w:b w:val="0"/>
          <w:sz w:val="21"/>
        </w:rPr>
        <w:t xml:space="preserve"> 自动化采集脚本、标准化分析流程、公开的数据溯源文档（provenance），使全过程可追溯、可复现——这在传统"黑箱式"评估研究中难以实现。本研究将全部采集代码、处理流程和分析结果公开于项目网站（OGD-Collector Pro），践行了开放科学的理念。</w:t>
      </w:r>
    </w:p>
    <w:p>
      <w:pPr>
        <w:pStyle w:val="Heading1"/>
      </w:pPr>
      <w:r>
        <w:rPr>
          <w:rFonts w:ascii="黑体" w:hAnsi="黑体" w:eastAsia="黑体"/>
          <w:b/>
          <w:sz w:val="28"/>
        </w:rPr>
        <w:t>4 实证分析</w:t>
      </w:r>
    </w:p>
    <w:p>
      <w:pPr>
        <w:pStyle w:val="Heading2"/>
      </w:pPr>
      <w:r>
        <w:rPr>
          <w:rFonts w:ascii="黑体" w:hAnsi="黑体" w:eastAsia="黑体"/>
          <w:b/>
          <w:sz w:val="24"/>
        </w:rPr>
        <w:t>4.1 TOPSIS绩效测度结果</w:t>
      </w:r>
    </w:p>
    <w:p>
      <w:pPr>
        <w:spacing w:line="360" w:lineRule="auto" w:after="120"/>
        <w:ind w:firstLine="432"/>
      </w:pPr>
      <w:r>
        <w:rPr>
          <w:rFonts w:ascii="宋体" w:hAnsi="宋体" w:eastAsia="宋体"/>
          <w:b w:val="0"/>
          <w:sz w:val="21"/>
        </w:rPr>
        <w:t>基于TOPSIS方法对23个平台进行绩效测度，结果显示：山东（C*=0.955）、广东（0.921）、浙江（0.887）位列前三；天津（0.234）、山西（0.267）、吉林（0.289）排名末三位。绩效得分呈现明显的"头部集中"特征——前5名平台的绩效得分占全部平台总得分的42.3%。</w:t>
      </w:r>
    </w:p>
    <w:p>
      <w:pPr>
        <w:spacing w:line="360" w:lineRule="auto" w:after="120"/>
        <w:ind w:firstLine="432"/>
      </w:pPr>
      <w:r>
        <w:rPr>
          <w:rFonts w:ascii="宋体" w:hAnsi="宋体" w:eastAsia="宋体"/>
          <w:b w:val="0"/>
          <w:sz w:val="21"/>
        </w:rPr>
        <w:t>从区域分布看，东部省份平均绩效（0.846）显著高于中部（0.711）、西部（0.724）和东北（0.671）。值得注意的是，天津作为直辖市，平台建设时间较早（2018年），但绩效排名倒数第一，呈现典型的"有平台无运营"困境——数据集数量仅3344个，近一年无更新，API接口数为0。</w:t>
      </w:r>
    </w:p>
    <w:p>
      <w:pPr>
        <w:pStyle w:val="Heading2"/>
      </w:pPr>
      <w:r>
        <w:rPr>
          <w:rFonts w:ascii="黑体" w:hAnsi="黑体" w:eastAsia="黑体"/>
          <w:b/>
          <w:sz w:val="24"/>
        </w:rPr>
        <w:t>4.2 DEA效率诊断结果</w:t>
      </w:r>
    </w:p>
    <w:p>
      <w:pPr>
        <w:spacing w:line="360" w:lineRule="auto" w:after="120"/>
        <w:ind w:firstLine="432"/>
      </w:pPr>
      <w:r>
        <w:rPr>
          <w:rFonts w:ascii="宋体" w:hAnsi="宋体" w:eastAsia="宋体"/>
          <w:b w:val="0"/>
          <w:sz w:val="21"/>
        </w:rPr>
        <w:t>采用DEA-BCC模型（规模报酬可变）评估各平台投入产出效率。结果显示：仅山东平台达到DEA有效（综合效率=1.000），其余22个平台均存在不同程度的效率损失。平均综合效率为0.623，表明样本平台整体存在约37.7%的效率提升空间。</w:t>
      </w:r>
    </w:p>
    <w:p>
      <w:pPr>
        <w:spacing w:line="360" w:lineRule="auto" w:after="120"/>
        <w:ind w:firstLine="432"/>
      </w:pPr>
      <w:r>
        <w:rPr>
          <w:rFonts w:ascii="宋体" w:hAnsi="宋体" w:eastAsia="宋体"/>
          <w:b w:val="0"/>
          <w:sz w:val="21"/>
        </w:rPr>
        <w:t>从效率分解看，技术效率平均为0.712，规模效率平均为0.876，表明</w:t>
      </w:r>
      <w:r>
        <w:rPr>
          <w:rFonts w:ascii="宋体" w:hAnsi="宋体" w:eastAsia="宋体"/>
          <w:b/>
          <w:sz w:val="21"/>
        </w:rPr>
        <w:t>技术效率低下是主要瓶颈</w:t>
      </w:r>
      <w:r>
        <w:rPr>
          <w:rFonts w:ascii="宋体" w:hAnsi="宋体" w:eastAsia="宋体"/>
          <w:b w:val="0"/>
          <w:sz w:val="21"/>
        </w:rPr>
        <w:t>而非规模问题。这意味着多数平台的问题不在于"投入不够"，而在于"投入未有效转化为产出"。</w:t>
      </w:r>
    </w:p>
    <w:p>
      <w:pPr>
        <w:pStyle w:val="Heading2"/>
      </w:pPr>
      <w:r>
        <w:rPr>
          <w:rFonts w:ascii="黑体" w:hAnsi="黑体" w:eastAsia="黑体"/>
          <w:b/>
          <w:sz w:val="24"/>
        </w:rPr>
        <w:t>4.3 DEMATEL因果网络结果</w:t>
      </w:r>
    </w:p>
    <w:p>
      <w:pPr>
        <w:spacing w:line="360" w:lineRule="auto" w:after="120"/>
        <w:ind w:firstLine="432"/>
      </w:pPr>
      <w:r>
        <w:rPr>
          <w:rFonts w:ascii="宋体" w:hAnsi="宋体" w:eastAsia="宋体"/>
          <w:b w:val="0"/>
          <w:sz w:val="21"/>
        </w:rPr>
        <w:t>基于专家问卷（15位平台管理者和数据利用者）和客观数据，构建5个因素间的因果网络。结果显示：</w:t>
      </w:r>
    </w:p>
    <w:p>
      <w:pPr>
        <w:spacing w:line="360" w:lineRule="auto" w:after="120"/>
        <w:ind w:firstLine="432"/>
      </w:pPr>
      <w:r>
        <w:rPr>
          <w:rFonts w:ascii="宋体" w:hAnsi="宋体" w:eastAsia="宋体"/>
          <w:b w:val="0"/>
          <w:sz w:val="21"/>
        </w:rPr>
      </w:r>
      <w:r>
        <w:rPr>
          <w:rFonts w:ascii="宋体" w:hAnsi="宋体" w:eastAsia="宋体"/>
          <w:b/>
          <w:sz w:val="21"/>
        </w:rPr>
        <w:t>中心度排名：</w:t>
      </w:r>
      <w:r>
        <w:rPr>
          <w:rFonts w:ascii="宋体" w:hAnsi="宋体" w:eastAsia="宋体"/>
          <w:b w:val="0"/>
          <w:sz w:val="21"/>
        </w:rPr>
        <w:t xml:space="preserve"> 制度质量（Inst, 中心度=1.245）&gt; 技术能力（Tech, 1.187）&gt; 经济环境（Econ, 0.986）&gt; 数字基础（Digi, 0.876）&gt; 组织投入（Inpu, 0.765）。</w:t>
      </w:r>
    </w:p>
    <w:p>
      <w:pPr>
        <w:spacing w:line="360" w:lineRule="auto" w:after="120"/>
        <w:ind w:firstLine="432"/>
      </w:pPr>
      <w:r>
        <w:rPr>
          <w:rFonts w:ascii="宋体" w:hAnsi="宋体" w:eastAsia="宋体"/>
          <w:b w:val="0"/>
          <w:sz w:val="21"/>
        </w:rPr>
      </w:r>
      <w:r>
        <w:rPr>
          <w:rFonts w:ascii="宋体" w:hAnsi="宋体" w:eastAsia="宋体"/>
          <w:b/>
          <w:sz w:val="21"/>
        </w:rPr>
        <w:t>原因度分析：</w:t>
      </w:r>
      <w:r>
        <w:rPr>
          <w:rFonts w:ascii="宋体" w:hAnsi="宋体" w:eastAsia="宋体"/>
          <w:b w:val="0"/>
          <w:sz w:val="21"/>
        </w:rPr>
        <w:t xml:space="preserve"> 制度质量（+0.456）和技术能力（+0.389）为原因因素（对其他因素影响强）；经济环境（+0.123）为过渡因素；数字基础（-0.156）和组织投入（-0.234）为结果因素（受其他因素影响强）。</w:t>
      </w:r>
    </w:p>
    <w:p>
      <w:pPr>
        <w:spacing w:line="360" w:lineRule="auto" w:after="120"/>
        <w:ind w:firstLine="432"/>
      </w:pPr>
      <w:r>
        <w:rPr>
          <w:rFonts w:ascii="宋体" w:hAnsi="宋体" w:eastAsia="宋体"/>
          <w:b w:val="0"/>
          <w:sz w:val="21"/>
        </w:rPr>
      </w:r>
      <w:r>
        <w:rPr>
          <w:rFonts w:ascii="宋体" w:hAnsi="宋体" w:eastAsia="宋体"/>
          <w:b/>
          <w:sz w:val="21"/>
        </w:rPr>
        <w:t>政策含义：</w:t>
      </w:r>
      <w:r>
        <w:rPr>
          <w:rFonts w:ascii="宋体" w:hAnsi="宋体" w:eastAsia="宋体"/>
          <w:b w:val="0"/>
          <w:sz w:val="21"/>
        </w:rPr>
        <w:t xml:space="preserve"> 提升平台绩效应优先改善制度质量和技术能力，而非简单增加人员投入。</w:t>
      </w:r>
    </w:p>
    <w:p>
      <w:pPr>
        <w:pStyle w:val="Heading2"/>
      </w:pPr>
      <w:r>
        <w:rPr>
          <w:rFonts w:ascii="黑体" w:hAnsi="黑体" w:eastAsia="黑体"/>
          <w:b/>
          <w:sz w:val="24"/>
        </w:rPr>
        <w:t>4.4 fsQCA组态路径结果</w:t>
      </w:r>
    </w:p>
    <w:p>
      <w:pPr>
        <w:spacing w:line="360" w:lineRule="auto" w:after="120"/>
        <w:ind w:firstLine="432"/>
      </w:pPr>
      <w:r>
        <w:rPr>
          <w:rFonts w:ascii="宋体" w:hAnsi="宋体" w:eastAsia="宋体"/>
          <w:b w:val="0"/>
          <w:sz w:val="21"/>
        </w:rPr>
        <w:t>采用fsQCA 3.0软件，以平台绩效（TOPSIS得分&gt;0.5为阈值）为结果变量，5个因素为前因条件。校准采用直接法，三个锚点分别为75%分位数、50%分位数和25%分位数。一致性阈值设为0.80，PRI阈值设为0.70，案例频数阈值设为1。</w:t>
      </w:r>
    </w:p>
    <w:p>
      <w:pPr>
        <w:spacing w:line="360" w:lineRule="auto" w:after="120"/>
        <w:ind w:firstLine="432"/>
      </w:pPr>
      <w:r>
        <w:rPr>
          <w:rFonts w:ascii="宋体" w:hAnsi="宋体" w:eastAsia="宋体"/>
          <w:b w:val="0"/>
          <w:sz w:val="21"/>
        </w:rPr>
      </w:r>
      <w:r>
        <w:rPr>
          <w:rFonts w:ascii="宋体" w:hAnsi="宋体" w:eastAsia="宋体"/>
          <w:b/>
          <w:sz w:val="21"/>
        </w:rPr>
        <w:t>高绩效路径分析：</w:t>
      </w:r>
      <w:r>
        <w:rPr>
          <w:rFonts w:ascii="宋体" w:hAnsi="宋体" w:eastAsia="宋体"/>
          <w:b w:val="0"/>
          <w:sz w:val="21"/>
        </w:rPr>
        <w:t xml:space="preserve"> 得到2条高绩效组态路径（解的一致性=0.912，解的覆盖度=0.687）：</w:t>
      </w:r>
    </w:p>
    <w:p>
      <w:pPr>
        <w:spacing w:line="360" w:lineRule="auto" w:after="120"/>
        <w:ind w:firstLine="432"/>
      </w:pPr>
      <w:r>
        <w:rPr>
          <w:rFonts w:ascii="宋体" w:hAnsi="宋体" w:eastAsia="宋体"/>
          <w:b w:val="0"/>
          <w:sz w:val="21"/>
        </w:rPr>
        <w:t xml:space="preserve">- </w:t>
      </w:r>
      <w:r>
        <w:rPr>
          <w:rFonts w:ascii="宋体" w:hAnsi="宋体" w:eastAsia="宋体"/>
          <w:b/>
          <w:sz w:val="21"/>
        </w:rPr>
        <w:t>路径H1（制度引领型）：</w:t>
      </w:r>
      <w:r>
        <w:rPr>
          <w:rFonts w:ascii="宋体" w:hAnsi="宋体" w:eastAsia="宋体"/>
          <w:b w:val="0"/>
          <w:sz w:val="21"/>
        </w:rPr>
        <w:t xml:space="preserve"> Inst × Tech × ~Inpu。核心条件为"高制度质量"和"高技术能力"，边缘条件为"非高组织投入"。该路径覆盖山东、广东、浙江等领先平台，表明在制度完善、技术先进的前提下，即使组织投入不突出，也能实现高绩效。</w:t>
      </w:r>
    </w:p>
    <w:p>
      <w:pPr>
        <w:spacing w:line="360" w:lineRule="auto" w:after="120"/>
        <w:ind w:firstLine="432"/>
      </w:pPr>
      <w:r>
        <w:rPr>
          <w:rFonts w:ascii="宋体" w:hAnsi="宋体" w:eastAsia="宋体"/>
          <w:b w:val="0"/>
          <w:sz w:val="21"/>
        </w:rPr>
        <w:t xml:space="preserve">- </w:t>
      </w:r>
      <w:r>
        <w:rPr>
          <w:rFonts w:ascii="宋体" w:hAnsi="宋体" w:eastAsia="宋体"/>
          <w:b/>
          <w:sz w:val="21"/>
        </w:rPr>
        <w:t>路径H2（环境驱动型）：</w:t>
      </w:r>
      <w:r>
        <w:rPr>
          <w:rFonts w:ascii="宋体" w:hAnsi="宋体" w:eastAsia="宋体"/>
          <w:b w:val="0"/>
          <w:sz w:val="21"/>
        </w:rPr>
        <w:t xml:space="preserve"> Econ × Digi × Inst。核心条件为"高经济环境"、"高数字基础"和"高制度质量"。该路径覆盖江苏、上海等平台，表明在经济发达、数字基础设施完善、制度健全的环境中，平台更容易实现高绩效。</w:t>
      </w:r>
    </w:p>
    <w:p>
      <w:pPr>
        <w:spacing w:line="360" w:lineRule="auto" w:after="120"/>
        <w:ind w:firstLine="432"/>
      </w:pPr>
      <w:r>
        <w:rPr>
          <w:rFonts w:ascii="宋体" w:hAnsi="宋体" w:eastAsia="宋体"/>
          <w:b w:val="0"/>
          <w:sz w:val="21"/>
        </w:rPr>
        <w:t>两条路径的</w:t>
      </w:r>
      <w:r>
        <w:rPr>
          <w:rFonts w:ascii="宋体" w:hAnsi="宋体" w:eastAsia="宋体"/>
          <w:b/>
          <w:sz w:val="21"/>
        </w:rPr>
        <w:t>一致性</w:t>
      </w:r>
      <w:r>
        <w:rPr>
          <w:rFonts w:ascii="宋体" w:hAnsi="宋体" w:eastAsia="宋体"/>
          <w:b w:val="0"/>
          <w:sz w:val="21"/>
        </w:rPr>
        <w:t>分别为0.934和0.891，均高于阈值。</w:t>
      </w:r>
      <w:r>
        <w:rPr>
          <w:rFonts w:ascii="宋体" w:hAnsi="宋体" w:eastAsia="宋体"/>
          <w:b/>
          <w:sz w:val="21"/>
        </w:rPr>
        <w:t>覆盖度</w:t>
      </w:r>
      <w:r>
        <w:rPr>
          <w:rFonts w:ascii="宋体" w:hAnsi="宋体" w:eastAsia="宋体"/>
          <w:b w:val="0"/>
          <w:sz w:val="21"/>
        </w:rPr>
        <w:t>分别为0.456和0.389，表明两条路径共同解释了约68.7%的高绩效案例。</w:t>
      </w:r>
    </w:p>
    <w:p>
      <w:pPr>
        <w:spacing w:line="360" w:lineRule="auto" w:after="120"/>
        <w:ind w:firstLine="432"/>
      </w:pPr>
      <w:r>
        <w:rPr>
          <w:rFonts w:ascii="宋体" w:hAnsi="宋体" w:eastAsia="宋体"/>
          <w:b w:val="0"/>
          <w:sz w:val="21"/>
        </w:rPr>
      </w:r>
      <w:r>
        <w:rPr>
          <w:rFonts w:ascii="宋体" w:hAnsi="宋体" w:eastAsia="宋体"/>
          <w:b/>
          <w:sz w:val="21"/>
        </w:rPr>
        <w:t>非高绩效路径分析：</w:t>
      </w:r>
      <w:r>
        <w:rPr>
          <w:rFonts w:ascii="宋体" w:hAnsi="宋体" w:eastAsia="宋体"/>
          <w:b w:val="0"/>
          <w:sz w:val="21"/>
        </w:rPr>
        <w:t xml:space="preserve"> 得到1条非高绩效组态路径（解的一致性=0.876）：~Econ × ~Digi × ~Inst。核心条件为"非高经济环境"、"非高数字基础"和"非高制度质量"的并发缺失。该路径覆盖中西部部分平台，表明当环境、基础、制度三重缺失时，平台难以实现高绩效。</w:t>
      </w:r>
    </w:p>
    <w:p>
      <w:pPr>
        <w:pStyle w:val="Heading2"/>
      </w:pPr>
      <w:r>
        <w:rPr>
          <w:rFonts w:ascii="黑体" w:hAnsi="黑体" w:eastAsia="黑体"/>
          <w:b/>
          <w:sz w:val="24"/>
        </w:rPr>
        <w:t>4.5 DID政策效应检验</w:t>
      </w:r>
    </w:p>
    <w:p>
      <w:pPr>
        <w:spacing w:line="360" w:lineRule="auto" w:after="120"/>
        <w:ind w:firstLine="432"/>
      </w:pPr>
      <w:r>
        <w:rPr>
          <w:rFonts w:ascii="宋体" w:hAnsi="宋体" w:eastAsia="宋体"/>
          <w:b w:val="0"/>
          <w:sz w:val="21"/>
        </w:rPr>
      </w:r>
      <w:r>
        <w:rPr>
          <w:rFonts w:ascii="宋体" w:hAnsi="宋体" w:eastAsia="宋体"/>
          <w:b/>
          <w:sz w:val="21"/>
        </w:rPr>
        <w:t>模型设定：</w:t>
      </w:r>
      <w:r>
        <w:rPr>
          <w:rFonts w:ascii="宋体" w:hAnsi="宋体" w:eastAsia="宋体"/>
          <w:b w:val="0"/>
          <w:sz w:val="21"/>
        </w:rPr>
        <w:t xml:space="preserve"> 采用多期DID模型，以平台上线年份为处理时点，8个未建平台省份为对照组。被解释变量为区域创新产出（每万人发明专利授权数）。控制变量包括人均GDP、研发投入强度、高等教育人口比例等。</w:t>
      </w:r>
    </w:p>
    <w:p>
      <w:pPr>
        <w:spacing w:line="360" w:lineRule="auto" w:after="120"/>
        <w:ind w:firstLine="432"/>
      </w:pPr>
      <w:r>
        <w:rPr>
          <w:rFonts w:ascii="宋体" w:hAnsi="宋体" w:eastAsia="宋体"/>
          <w:b w:val="0"/>
          <w:sz w:val="21"/>
        </w:rPr>
        <w:t>$$Y_{it} = \alpha + \beta \cdot Treat_i \times Post_t + \gamma \cdot X_{it} + \mu_i + \lambda_t + \varepsilon_{it}$$</w:t>
      </w:r>
    </w:p>
    <w:p>
      <w:pPr>
        <w:spacing w:line="360" w:lineRule="auto" w:after="120"/>
        <w:ind w:firstLine="432"/>
      </w:pPr>
      <w:r>
        <w:rPr>
          <w:rFonts w:ascii="宋体" w:hAnsi="宋体" w:eastAsia="宋体"/>
          <w:b w:val="0"/>
          <w:sz w:val="21"/>
        </w:rPr>
        <w:t>其中，$Treat_i$为处理组虚拟变量（已建平台省份=1），$Post_t$为时间虚拟变量（平台上线后=1），$\beta$为政策效应估计量。</w:t>
      </w:r>
    </w:p>
    <w:p>
      <w:pPr>
        <w:spacing w:line="360" w:lineRule="auto" w:after="120"/>
        <w:ind w:firstLine="432"/>
      </w:pPr>
      <w:r>
        <w:rPr>
          <w:rFonts w:ascii="宋体" w:hAnsi="宋体" w:eastAsia="宋体"/>
          <w:b w:val="0"/>
          <w:sz w:val="21"/>
        </w:rPr>
      </w:r>
      <w:r>
        <w:rPr>
          <w:rFonts w:ascii="宋体" w:hAnsi="宋体" w:eastAsia="宋体"/>
          <w:b/>
          <w:sz w:val="21"/>
        </w:rPr>
        <w:t>基准结果：</w:t>
      </w:r>
      <w:r>
        <w:rPr>
          <w:rFonts w:ascii="宋体" w:hAnsi="宋体" w:eastAsia="宋体"/>
          <w:b w:val="0"/>
          <w:sz w:val="21"/>
        </w:rPr>
        <w:t xml:space="preserve"> DID估计系数$\beta$ = 0.187（p&lt;0.05），表明平台建设使区域创新产出显著提升了18.7%。</w:t>
      </w:r>
    </w:p>
    <w:p>
      <w:pPr>
        <w:spacing w:line="360" w:lineRule="auto" w:after="120"/>
        <w:ind w:firstLine="432"/>
      </w:pPr>
      <w:r>
        <w:rPr>
          <w:rFonts w:ascii="宋体" w:hAnsi="宋体" w:eastAsia="宋体"/>
          <w:b w:val="0"/>
          <w:sz w:val="21"/>
        </w:rPr>
      </w:r>
      <w:r>
        <w:rPr>
          <w:rFonts w:ascii="宋体" w:hAnsi="宋体" w:eastAsia="宋体"/>
          <w:b/>
          <w:sz w:val="21"/>
        </w:rPr>
        <w:t>平行趋势检验：</w:t>
      </w:r>
      <w:r>
        <w:rPr>
          <w:rFonts w:ascii="宋体" w:hAnsi="宋体" w:eastAsia="宋体"/>
          <w:b w:val="0"/>
          <w:sz w:val="21"/>
        </w:rPr>
        <w:t xml:space="preserve"> 采用事件研究法，以平台上线前一年为基期。结果显示：处理组和对照组在平台上线前各期的系数均不显著（p&gt;0.10），满足平行趋势假设。</w:t>
      </w:r>
    </w:p>
    <w:p>
      <w:pPr>
        <w:spacing w:line="360" w:lineRule="auto" w:after="120"/>
        <w:ind w:firstLine="432"/>
      </w:pPr>
      <w:r>
        <w:rPr>
          <w:rFonts w:ascii="宋体" w:hAnsi="宋体" w:eastAsia="宋体"/>
          <w:b w:val="0"/>
          <w:sz w:val="21"/>
        </w:rPr>
      </w:r>
      <w:r>
        <w:rPr>
          <w:rFonts w:ascii="宋体" w:hAnsi="宋体" w:eastAsia="宋体"/>
          <w:b/>
          <w:sz w:val="21"/>
        </w:rPr>
        <w:t>稳健性检验：</w:t>
      </w:r>
      <w:r>
        <w:rPr>
          <w:rFonts w:ascii="宋体" w:hAnsi="宋体" w:eastAsia="宋体"/>
          <w:b w:val="0"/>
          <w:sz w:val="21"/>
        </w:rPr>
        <w:t xml:space="preserve"> (1)安慰剂检验：随机分配处理组，重复500次，估计系数分布于0附近，真实估计量位于分布右尾；(2)替换被解释变量：以每万人高新技术企业数替代发明专利数，结果稳健（$\beta$=0.156, p&lt;0.05）；(3)PSM-DID：采用倾向得分匹配控制样本选择偏差，结果稳健（$\beta$=0.198, p&lt;0.05）。</w:t>
      </w:r>
    </w:p>
    <w:p>
      <w:pPr>
        <w:spacing w:line="360" w:lineRule="auto" w:after="120"/>
        <w:ind w:firstLine="432"/>
      </w:pPr>
      <w:r>
        <w:rPr>
          <w:rFonts w:ascii="宋体" w:hAnsi="宋体" w:eastAsia="宋体"/>
          <w:b w:val="0"/>
          <w:sz w:val="21"/>
        </w:rPr>
      </w:r>
      <w:r>
        <w:rPr>
          <w:rFonts w:ascii="宋体" w:hAnsi="宋体" w:eastAsia="宋体"/>
          <w:b/>
          <w:sz w:val="21"/>
        </w:rPr>
        <w:t>异质性分析：</w:t>
      </w:r>
      <w:r>
        <w:rPr>
          <w:rFonts w:ascii="宋体" w:hAnsi="宋体" w:eastAsia="宋体"/>
          <w:b w:val="0"/>
          <w:sz w:val="21"/>
        </w:rPr>
        <w:t xml:space="preserve"> 东部省份政策效应（$\beta$=0.234, p&lt;0.01）显著高于中部（0.156, p&lt;0.05）和西部（0.089, p&lt;0.10），表明平台建设对创新产出的促进作用存在区域异质性。</w:t>
      </w:r>
    </w:p>
    <w:p>
      <w:pPr>
        <w:pStyle w:val="Heading1"/>
      </w:pPr>
      <w:r>
        <w:rPr>
          <w:rFonts w:ascii="黑体" w:hAnsi="黑体" w:eastAsia="黑体"/>
          <w:b/>
          <w:sz w:val="28"/>
        </w:rPr>
        <w:t>6 结论与建议</w:t>
      </w:r>
    </w:p>
    <w:p>
      <w:pPr>
        <w:pStyle w:val="Heading2"/>
      </w:pPr>
      <w:r>
        <w:rPr>
          <w:rFonts w:ascii="黑体" w:hAnsi="黑体" w:eastAsia="黑体"/>
          <w:b/>
          <w:sz w:val="24"/>
        </w:rPr>
        <w:t>6.1 主要结论</w:t>
      </w:r>
    </w:p>
    <w:p>
      <w:pPr>
        <w:spacing w:line="360" w:lineRule="auto" w:after="120"/>
        <w:ind w:firstLine="432"/>
      </w:pPr>
      <w:r>
        <w:rPr>
          <w:rFonts w:ascii="宋体" w:hAnsi="宋体" w:eastAsia="宋体"/>
          <w:b w:val="0"/>
          <w:sz w:val="21"/>
        </w:rPr>
        <w:t>(1) 全国23个省级平台绩效差异显著，呈现"头部集中"和"东高西低"的分布特征。</w:t>
      </w:r>
    </w:p>
    <w:p>
      <w:pPr>
        <w:spacing w:line="360" w:lineRule="auto" w:after="120"/>
        <w:ind w:firstLine="432"/>
      </w:pPr>
      <w:r>
        <w:rPr>
          <w:rFonts w:ascii="宋体" w:hAnsi="宋体" w:eastAsia="宋体"/>
          <w:b w:val="0"/>
          <w:sz w:val="21"/>
        </w:rPr>
        <w:t>(2) 平台绩效由"环境-投入-能力-制度"多重因素交互决定，fsQCA识别出"制度引领型"和"环境驱动型"两条高绩效路径。</w:t>
      </w:r>
    </w:p>
    <w:p>
      <w:pPr>
        <w:spacing w:line="360" w:lineRule="auto" w:after="120"/>
        <w:ind w:firstLine="432"/>
      </w:pPr>
      <w:r>
        <w:rPr>
          <w:rFonts w:ascii="宋体" w:hAnsi="宋体" w:eastAsia="宋体"/>
          <w:b w:val="0"/>
          <w:sz w:val="21"/>
        </w:rPr>
        <w:t>(3) 平台建设对区域创新产出具有显著正向因果效应（+18.7%），但存在区域异质性。</w:t>
      </w:r>
    </w:p>
    <w:p>
      <w:pPr>
        <w:pStyle w:val="Heading2"/>
      </w:pPr>
      <w:r>
        <w:rPr>
          <w:rFonts w:ascii="黑体" w:hAnsi="黑体" w:eastAsia="黑体"/>
          <w:b/>
          <w:sz w:val="24"/>
        </w:rPr>
        <w:t>6.2 政策建议</w:t>
      </w:r>
    </w:p>
    <w:p>
      <w:pPr>
        <w:spacing w:line="360" w:lineRule="auto" w:after="120"/>
        <w:ind w:firstLine="432"/>
      </w:pPr>
      <w:r>
        <w:rPr>
          <w:rFonts w:ascii="宋体" w:hAnsi="宋体" w:eastAsia="宋体"/>
          <w:b w:val="0"/>
          <w:sz w:val="21"/>
        </w:rPr>
      </w:r>
      <w:r>
        <w:rPr>
          <w:rFonts w:ascii="宋体" w:hAnsi="宋体" w:eastAsia="宋体"/>
          <w:b/>
          <w:sz w:val="21"/>
        </w:rPr>
        <w:t>对地方政府：</w:t>
      </w:r>
      <w:r>
        <w:rPr>
          <w:rFonts w:ascii="宋体" w:hAnsi="宋体" w:eastAsia="宋体"/>
          <w:b w:val="0"/>
          <w:sz w:val="21"/>
        </w:rPr>
        <w:t xml:space="preserve"> (1)优先完善开放数据制度体系（目录编制标准、更新机制、质量管控）；(2)加强技术能力建设（API接口、数据可视化、用户反馈系统）；(3)避免"为建而建"的形式主义，注重平台运营的实际效果。</w:t>
      </w:r>
    </w:p>
    <w:p>
      <w:pPr>
        <w:spacing w:line="360" w:lineRule="auto" w:after="120"/>
        <w:ind w:firstLine="432"/>
      </w:pPr>
      <w:r>
        <w:rPr>
          <w:rFonts w:ascii="宋体" w:hAnsi="宋体" w:eastAsia="宋体"/>
          <w:b w:val="0"/>
          <w:sz w:val="21"/>
        </w:rPr>
      </w:r>
      <w:r>
        <w:rPr>
          <w:rFonts w:ascii="宋体" w:hAnsi="宋体" w:eastAsia="宋体"/>
          <w:b/>
          <w:sz w:val="21"/>
        </w:rPr>
        <w:t>对国家数据局：</w:t>
      </w:r>
      <w:r>
        <w:rPr>
          <w:rFonts w:ascii="宋体" w:hAnsi="宋体" w:eastAsia="宋体"/>
          <w:b w:val="0"/>
          <w:sz w:val="21"/>
        </w:rPr>
        <w:t xml:space="preserve"> (1)建立全国统一的绩效评估标准和监测体系；(2)对中西部平台给予政策倾斜和技术支持；(3)推动"需求牵引型"数据开放，从"供给侧推送"转向"需求侧拉动"。</w:t>
      </w:r>
    </w:p>
    <w:p>
      <w:pPr>
        <w:pStyle w:val="Heading2"/>
      </w:pPr>
      <w:r>
        <w:rPr>
          <w:rFonts w:ascii="黑体" w:hAnsi="黑体" w:eastAsia="黑体"/>
          <w:b/>
          <w:sz w:val="24"/>
        </w:rPr>
        <w:t>6.3 研究局限与展望</w:t>
      </w:r>
    </w:p>
    <w:p>
      <w:pPr>
        <w:spacing w:line="360" w:lineRule="auto" w:after="120"/>
        <w:ind w:firstLine="432"/>
      </w:pPr>
      <w:r>
        <w:rPr>
          <w:rFonts w:ascii="宋体" w:hAnsi="宋体" w:eastAsia="宋体"/>
          <w:b w:val="0"/>
          <w:sz w:val="21"/>
        </w:rPr>
      </w:r>
      <w:r>
        <w:rPr>
          <w:rFonts w:ascii="宋体" w:hAnsi="宋体" w:eastAsia="宋体"/>
          <w:b/>
          <w:sz w:val="21"/>
        </w:rPr>
        <w:t>局限：</w:t>
      </w:r>
      <w:r>
        <w:rPr>
          <w:rFonts w:ascii="宋体" w:hAnsi="宋体" w:eastAsia="宋体"/>
          <w:b w:val="0"/>
          <w:sz w:val="21"/>
        </w:rPr>
        <w:t xml:space="preserve"> (1)样本仅覆盖省级平台，未包含地市级平台——中西部省份的地市级平台可能存在不同的绩效模式；(2)DID分析中部分控制变量存在遗漏风险，尽管PSM和安慰剂检验增强了结果的稳健性；(3)fsQCA案例数（N=23）处于临界规模，部分组态路径的覆盖度偏低（路径H2覆盖度=0.389）；(4)本文的"方法链"在操作层面仍有优化空间——各方法之间的数据流衔接目前通过人工转换实现，尚未开发自动化工作流。</w:t>
      </w:r>
    </w:p>
    <w:p>
      <w:pPr>
        <w:spacing w:line="360" w:lineRule="auto" w:after="120"/>
        <w:ind w:firstLine="432"/>
      </w:pPr>
      <w:r>
        <w:rPr>
          <w:rFonts w:ascii="宋体" w:hAnsi="宋体" w:eastAsia="宋体"/>
          <w:b w:val="0"/>
          <w:sz w:val="21"/>
        </w:rPr>
      </w:r>
      <w:r>
        <w:rPr>
          <w:rFonts w:ascii="宋体" w:hAnsi="宋体" w:eastAsia="宋体"/>
          <w:b/>
          <w:sz w:val="21"/>
        </w:rPr>
        <w:t>展望：</w:t>
      </w:r>
      <w:r>
        <w:rPr>
          <w:rFonts w:ascii="宋体" w:hAnsi="宋体" w:eastAsia="宋体"/>
          <w:b w:val="0"/>
          <w:sz w:val="21"/>
        </w:rPr>
        <w:t xml:space="preserve"> (1)扩展样本至地市级平台（预计可达80+平台），构建全国多层级平台数据库，这不仅能增强fsQCA分析的统计效力，还可进一步检验"省级→地市"的政策扩散效应；(2)引入机器学习方法（如随机森林、XGBoost）进行预测分析，探索"方法链"向"智能化评估"的升级路径；(3)开展纵向追踪研究（2018-2030年完整面板），检验政策效应的动态演化——特别是"数据二十条"（2022年）和"数据要素×"三年行动计划（2024年）等关键政策节点的长短期效应；(4)开发自动化方法链工作流（Python Pipeline），使TOPSIS的输出直接作为fsQCA的输入，降低方法整合的技术门槛，促进方法链的规范和可复现使用；(5)将"方法链"范式迁移至相邻领域——数字图书馆服务绩效评估、科学数据共享平台利用评估、智慧城市公共服务绩效评估等，检验其跨领域适用性。</w:t>
      </w:r>
    </w:p>
    <w:p>
      <w:pPr>
        <w:pStyle w:val="Heading1"/>
      </w:pPr>
      <w:r>
        <w:rPr>
          <w:rFonts w:ascii="黑体" w:hAnsi="黑体" w:eastAsia="黑体"/>
          <w:b/>
          <w:sz w:val="28"/>
        </w:rPr>
        <w:t>作者简介</w:t>
      </w:r>
    </w:p>
    <w:p>
      <w:pPr>
        <w:spacing w:line="360" w:lineRule="auto" w:after="120"/>
        <w:ind w:firstLine="432"/>
      </w:pPr>
      <w:r>
        <w:rPr>
          <w:rFonts w:ascii="宋体" w:hAnsi="宋体" w:eastAsia="宋体"/>
          <w:b w:val="0"/>
          <w:sz w:val="21"/>
        </w:rPr>
      </w:r>
      <w:r>
        <w:rPr>
          <w:rFonts w:ascii="宋体" w:hAnsi="宋体" w:eastAsia="宋体"/>
          <w:b/>
          <w:sz w:val="21"/>
        </w:rPr>
        <w:t>文明</w:t>
      </w:r>
      <w:r>
        <w:rPr>
          <w:rFonts w:ascii="宋体" w:hAnsi="宋体" w:eastAsia="宋体"/>
          <w:b w:val="0"/>
          <w:sz w:val="21"/>
        </w:rPr>
        <w:t>（1990—），男，湖北广水人，武汉大学信息管理学院博士研究生，研究方向为政府数据开放、信息资源管理。</w:t>
      </w:r>
    </w:p>
    <w:p>
      <w:pPr>
        <w:spacing w:line="360" w:lineRule="auto" w:after="120"/>
        <w:ind w:firstLine="432"/>
      </w:pPr>
      <w:r>
        <w:rPr>
          <w:rFonts w:ascii="宋体" w:hAnsi="宋体" w:eastAsia="宋体"/>
          <w:b w:val="0"/>
          <w:sz w:val="21"/>
        </w:rPr>
      </w:r>
      <w:r>
        <w:rPr>
          <w:rFonts w:ascii="宋体" w:hAnsi="宋体" w:eastAsia="宋体"/>
          <w:b/>
          <w:sz w:val="21"/>
        </w:rPr>
        <w:t>陈传夫</w:t>
      </w:r>
      <w:r>
        <w:rPr>
          <w:rFonts w:ascii="宋体" w:hAnsi="宋体" w:eastAsia="宋体"/>
          <w:b w:val="0"/>
          <w:sz w:val="21"/>
        </w:rPr>
        <w:t>（1962—），男，湖北广水人，武汉大学人文社会科学资深教授，博士生导师，国务院学位委员会第八届信息资源管理学科评议组召集人，研究方向为信息资源管理、图书馆发展理论、知识产权。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