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异构政府数据开放平台的统一采集与标准化方法研究</w:t>
      </w:r>
    </w:p>
    <w:p>
      <w:pPr>
        <w:pStyle w:val="Heading2"/>
      </w:pPr>
      <w:r>
        <w:rPr>
          <w:rFonts w:ascii="黑体" w:hAnsi="黑体" w:eastAsia="黑体"/>
          <w:b/>
          <w:sz w:val="28"/>
        </w:rPr>
        <w:t>——基于23个省级平台的"一平台一策"实践</w:t>
      </w:r>
    </w:p>
    <w:p>
      <w:r>
        <w:rPr>
          <w:rFonts w:ascii="宋体" w:hAnsi="宋体" w:eastAsia="宋体"/>
          <w:b w:val="0"/>
          <w:sz w:val="24"/>
        </w:rPr>
      </w:r>
      <w:r>
        <w:rPr>
          <w:rFonts w:ascii="宋体" w:hAnsi="宋体" w:eastAsia="宋体"/>
          <w:b/>
          <w:sz w:val="24"/>
        </w:rPr>
        <w:t>摘要：</w:t>
      </w:r>
      <w:r>
        <w:rPr>
          <w:rFonts w:ascii="宋体" w:hAnsi="宋体" w:eastAsia="宋体"/>
          <w:b w:val="0"/>
          <w:sz w:val="24"/>
        </w:rPr>
        <w:t xml:space="preserve"> 政府数据开放平台的异构性是制约大规模比较研究的关键瓶颈——不同平台在技术架构、数据口径、发布形式上存在显著差异，传统的"一刀切"采集方法难以应对这种异质性。本研究基于对全国31个省级政府数据开放平台的实地采集实践，自主开发了OGD-Collector Pro三层架构采集系统，提出了"一平台一策"的差异化采集策略，构建了分层标准化体系和置信度分级机制，最终实现了23个异构平台的统一采集和标准化比较。研究发现：省级平台的技术架构可分为静态页面型、动态渲染型、API接口型和混合型四类，不同架构类型需要采用差异化的提取策略；数据口径存在"数据集""数据目录""开放目录""数据产品""数据登记"五种类型，需要建立转换系数体系进行标准化；23个平台的口径一致性系数中位数仅为0.122，揭示了"数据口径幻觉"的普遍性。本研究为异构政府网站的自动化采集和标准化比较提供了可复制的方法论框架和技术工具。</w:t>
      </w:r>
    </w:p>
    <w:p>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政府数据开放；异构平台；网络采集；标准化；一平台一策；数据口径</w:t>
      </w:r>
    </w:p>
    <w:p>
      <w:r>
        <w:rPr>
          <w:rFonts w:ascii="宋体" w:hAnsi="宋体" w:eastAsia="宋体"/>
          <w:b w:val="0"/>
          <w:sz w:val="24"/>
        </w:rPr>
      </w:r>
      <w:r>
        <w:rPr>
          <w:rFonts w:ascii="宋体" w:hAnsi="宋体" w:eastAsia="宋体"/>
          <w:b/>
          <w:sz w:val="24"/>
        </w:rPr>
        <w:t>Abstract:</w:t>
      </w:r>
      <w:r>
        <w:rPr>
          <w:rFonts w:ascii="宋体" w:hAnsi="宋体" w:eastAsia="宋体"/>
          <w:b w:val="0"/>
          <w:sz w:val="24"/>
        </w:rPr>
        <w:t xml:space="preserve"> The heterogeneity of government open data platforms is a critical bottleneck constraining large-scale comparative research—different platforms exhibit significant differences in technical architecture, data caliber, and publication formats, making traditional "one-size-fits-all" collection methods inadequate for addressing such diversity. Based on field collection practice across 31 provincial government open data platforms in China, this study independently developed the OGD-Collector Pro three-layer architecture collection system, proposed a differentiated "one-platform-one-policy" collection strategy, constructed a hierarchical standardization system and confidence grading mechanism, and ultimately achieved unified collection and standardized comparison of 23 heterogeneous platforms. The findings reveal that provincial platforms can be classified into four technical architecture types: static page, dynamic rendering, API interface, and hybrid, each requiring differentiated extraction strategies; data calibers include five types—"dataset," "data catalog," "open catalog," "data product," and "data registration," necessitating a conversion coefficient system for standardization; the median Consistency Ratio of the 23 platforms is merely 0.122, revealing the prevalence of "Data Calibration Illusion." This study provides a replicable methodological framework and technical tools for automated collection and standardized comparison of heterogeneous government websites.</w:t>
      </w:r>
    </w:p>
    <w:p>
      <w:r>
        <w:rPr>
          <w:rFonts w:ascii="宋体" w:hAnsi="宋体" w:eastAsia="宋体"/>
          <w:b w:val="0"/>
          <w:sz w:val="24"/>
        </w:rPr>
      </w:r>
      <w:r>
        <w:rPr>
          <w:rFonts w:ascii="宋体" w:hAnsi="宋体" w:eastAsia="宋体"/>
          <w:b/>
          <w:sz w:val="24"/>
        </w:rPr>
        <w:t>Keywords:</w:t>
      </w:r>
      <w:r>
        <w:rPr>
          <w:rFonts w:ascii="宋体" w:hAnsi="宋体" w:eastAsia="宋体"/>
          <w:b w:val="0"/>
          <w:sz w:val="24"/>
        </w:rPr>
        <w:t xml:space="preserve"> Open Government Data; Heterogeneous Platforms; Web Collection; Standardization; One-Platform-One-Policy; Data Caliber</w:t>
      </w:r>
    </w:p>
    <w:p>
      <w:pPr>
        <w:pStyle w:val="Heading2"/>
      </w:pPr>
      <w:r>
        <w:rPr>
          <w:rFonts w:ascii="黑体" w:hAnsi="黑体" w:eastAsia="黑体"/>
          <w:b/>
          <w:sz w:val="28"/>
        </w:rPr>
        <w:t>1 引言</w:t>
      </w:r>
    </w:p>
    <w:p>
      <w:pPr>
        <w:pStyle w:val="Heading3"/>
      </w:pPr>
      <w:r>
        <w:rPr>
          <w:rFonts w:ascii="黑体" w:hAnsi="黑体" w:eastAsia="黑体"/>
          <w:b/>
          <w:sz w:val="24"/>
        </w:rPr>
        <w:t>1.1 政府数据开放评估的数据困境</w:t>
      </w:r>
    </w:p>
    <w:p>
      <w:r>
        <w:rPr>
          <w:rFonts w:ascii="宋体" w:hAnsi="宋体" w:eastAsia="宋体"/>
          <w:b w:val="0"/>
          <w:sz w:val="24"/>
        </w:rPr>
        <w:t>政府数据开放是数字政府建设的重要组成部分，也是数据要素价值释放的关键路径。随着全球开放数据运动的深入推进，政府数据开放平台的数量和规模持续扩张。截至2025年3月，全国31个省级行政区中已有28个建立了独立的政府数据开放门户，平台数量呈现快速扩张态势。</w:t>
      </w:r>
    </w:p>
    <w:p>
      <w:r>
        <w:rPr>
          <w:rFonts w:ascii="宋体" w:hAnsi="宋体" w:eastAsia="宋体"/>
          <w:b w:val="0"/>
          <w:sz w:val="24"/>
        </w:rPr>
        <w:t>然而，与平台建设"数量繁荣"形成鲜明对比的是学术研究的数据困境。大规模比较研究需要获取多个平台的统一格式数据，但不同平台在技术架构、数据口径、发布形式上存在显著差异，导致数据采集和标准化面临巨大挑战。具体而言，异构性体现在三个层面：</w:t>
      </w:r>
    </w:p>
    <w:p>
      <w:r>
        <w:rPr>
          <w:rFonts w:ascii="宋体" w:hAnsi="宋体" w:eastAsia="宋体"/>
          <w:b w:val="0"/>
          <w:sz w:val="24"/>
        </w:rPr>
      </w:r>
      <w:r>
        <w:rPr>
          <w:rFonts w:ascii="宋体" w:hAnsi="宋体" w:eastAsia="宋体"/>
          <w:b/>
          <w:sz w:val="24"/>
        </w:rPr>
        <w:t>技术架构异构。</w:t>
      </w:r>
      <w:r>
        <w:rPr>
          <w:rFonts w:ascii="宋体" w:hAnsi="宋体" w:eastAsia="宋体"/>
          <w:b w:val="0"/>
          <w:sz w:val="24"/>
        </w:rPr>
        <w:t xml:space="preserve"> 不同平台采用不同的技术架构——有的基于静态HTML页面发布数据目录，有的采用JavaScript动态渲染加载数据，有的提供标准化的API接口，有的则是上述方式的混合。这种技术异构性意味着"一刀切"的采集工具（如通用爬虫）无法适用于所有平台，需要针对每种架构类型设计差异化的采集策略。</w:t>
      </w:r>
    </w:p>
    <w:p>
      <w:r>
        <w:rPr>
          <w:rFonts w:ascii="宋体" w:hAnsi="宋体" w:eastAsia="宋体"/>
          <w:b w:val="0"/>
          <w:sz w:val="24"/>
        </w:rPr>
      </w:r>
      <w:r>
        <w:rPr>
          <w:rFonts w:ascii="宋体" w:hAnsi="宋体" w:eastAsia="宋体"/>
          <w:b/>
          <w:sz w:val="24"/>
        </w:rPr>
        <w:t>数据口径异构。</w:t>
      </w:r>
      <w:r>
        <w:rPr>
          <w:rFonts w:ascii="宋体" w:hAnsi="宋体" w:eastAsia="宋体"/>
          <w:b w:val="0"/>
          <w:sz w:val="24"/>
        </w:rPr>
        <w:t xml:space="preserve"> 不同平台对"数据集"的定义和统计口径不同——有的平台统计"数据集"（dataset），有的统计"数据目录"（data catalog），有的统计"开放目录"（open catalog），有的统计"数据产品"（data product），有的统计"数据登记"（data registration）。这种口径异构性使得跨平台的"数量比较"面临"同名不同义"的困境——平台A的"10,000个数据集"与平台B的"10,000个数据目录"在实质上可能相差数倍。</w:t>
      </w:r>
    </w:p>
    <w:p>
      <w:r>
        <w:rPr>
          <w:rFonts w:ascii="宋体" w:hAnsi="宋体" w:eastAsia="宋体"/>
          <w:b w:val="0"/>
          <w:sz w:val="24"/>
        </w:rPr>
      </w:r>
      <w:r>
        <w:rPr>
          <w:rFonts w:ascii="宋体" w:hAnsi="宋体" w:eastAsia="宋体"/>
          <w:b/>
          <w:sz w:val="24"/>
        </w:rPr>
        <w:t>发布形式异构。</w:t>
      </w:r>
      <w:r>
        <w:rPr>
          <w:rFonts w:ascii="宋体" w:hAnsi="宋体" w:eastAsia="宋体"/>
          <w:b w:val="0"/>
          <w:sz w:val="24"/>
        </w:rPr>
        <w:t xml:space="preserve"> 不同平台的数据发布形式各异——有的提供结构化下载（CSV、JSON、XML），有的仅提供不可机读格式（PDF、图片），有的提供API接口但缺乏文档说明，有的提供在线预览但无法下载。这种发布形式异构性影响了数据的可获取性和可利用性，也给自动化采集带来了技术挑战。</w:t>
      </w:r>
    </w:p>
    <w:p>
      <w:pPr>
        <w:pStyle w:val="Heading3"/>
      </w:pPr>
      <w:r>
        <w:rPr>
          <w:rFonts w:ascii="黑体" w:hAnsi="黑体" w:eastAsia="黑体"/>
          <w:b/>
          <w:sz w:val="24"/>
        </w:rPr>
        <w:t>1.2 异构平台采集的三大挑战</w:t>
      </w:r>
    </w:p>
    <w:p>
      <w:r>
        <w:rPr>
          <w:rFonts w:ascii="宋体" w:hAnsi="宋体" w:eastAsia="宋体"/>
          <w:b w:val="0"/>
          <w:sz w:val="24"/>
        </w:rPr>
        <w:t>基于上述分析，异构政府数据开放平台的统一采集面临三大挑战：</w:t>
      </w:r>
    </w:p>
    <w:p>
      <w:r>
        <w:rPr>
          <w:rFonts w:ascii="宋体" w:hAnsi="宋体" w:eastAsia="宋体"/>
          <w:b w:val="0"/>
          <w:sz w:val="24"/>
        </w:rPr>
      </w:r>
      <w:r>
        <w:rPr>
          <w:rFonts w:ascii="宋体" w:hAnsi="宋体" w:eastAsia="宋体"/>
          <w:b/>
          <w:sz w:val="24"/>
        </w:rPr>
        <w:t>挑战一：技术异构。</w:t>
      </w:r>
      <w:r>
        <w:rPr>
          <w:rFonts w:ascii="宋体" w:hAnsi="宋体" w:eastAsia="宋体"/>
          <w:b w:val="0"/>
          <w:sz w:val="24"/>
        </w:rPr>
        <w:t xml:space="preserve"> 不同平台的技术架构差异导致通用的采集工具无法适用。静态页面型平台可以通过简单的HTTP请求和HTML解析获取数据，动态渲染型平台需要模拟浏览器执行JavaScript才能获取数据，API接口型平台需要理解接口文档和认证机制，混合型平台则需要组合多种技术策略。如何设计一个能够适配多种技术架构的采集系统，是异构平台采集的首要挑战。</w:t>
      </w:r>
    </w:p>
    <w:p>
      <w:r>
        <w:rPr>
          <w:rFonts w:ascii="宋体" w:hAnsi="宋体" w:eastAsia="宋体"/>
          <w:b w:val="0"/>
          <w:sz w:val="24"/>
        </w:rPr>
      </w:r>
      <w:r>
        <w:rPr>
          <w:rFonts w:ascii="宋体" w:hAnsi="宋体" w:eastAsia="宋体"/>
          <w:b/>
          <w:sz w:val="24"/>
        </w:rPr>
        <w:t>挑战二：口径异构。</w:t>
      </w:r>
      <w:r>
        <w:rPr>
          <w:rFonts w:ascii="宋体" w:hAnsi="宋体" w:eastAsia="宋体"/>
          <w:b w:val="0"/>
          <w:sz w:val="24"/>
        </w:rPr>
        <w:t xml:space="preserve"> 不同平台的数据口径差异导致跨平台比较面临"同名不同义"的问题。即使采集到了各平台的"数据集数量"，这些数字之间也缺乏可比性——"数据集""数据目录""开放目录"等概念在内涵和外延上存在显著差异。如何建立口径转换体系，将异构口径统一为可比较的标准化口径，是异构平台采集的核心挑战。</w:t>
      </w:r>
    </w:p>
    <w:p>
      <w:r>
        <w:rPr>
          <w:rFonts w:ascii="宋体" w:hAnsi="宋体" w:eastAsia="宋体"/>
          <w:b w:val="0"/>
          <w:sz w:val="24"/>
        </w:rPr>
      </w:r>
      <w:r>
        <w:rPr>
          <w:rFonts w:ascii="宋体" w:hAnsi="宋体" w:eastAsia="宋体"/>
          <w:b/>
          <w:sz w:val="24"/>
        </w:rPr>
        <w:t>挑战三：状态异构。</w:t>
      </w:r>
      <w:r>
        <w:rPr>
          <w:rFonts w:ascii="宋体" w:hAnsi="宋体" w:eastAsia="宋体"/>
          <w:b w:val="0"/>
          <w:sz w:val="24"/>
        </w:rPr>
        <w:t xml:space="preserve"> 不同平台的运营状态和数据质量差异导致采集结果的可靠性参差不齐。有的平台数据更新及时、元数据完整，有的平台数据更新停滞、大量僵尸条目，有的平台甚至存在虚假数据。如何评估采集数据的置信度，并对低置信度数据进行标注或排除，是异构平台采集的质量挑战。</w:t>
      </w:r>
    </w:p>
    <w:p>
      <w:pPr>
        <w:pStyle w:val="Heading3"/>
      </w:pPr>
      <w:r>
        <w:rPr>
          <w:rFonts w:ascii="黑体" w:hAnsi="黑体" w:eastAsia="黑体"/>
          <w:b/>
          <w:sz w:val="24"/>
        </w:rPr>
        <w:t>1.3 研究目标与贡献</w:t>
      </w:r>
    </w:p>
    <w:p>
      <w:r>
        <w:rPr>
          <w:rFonts w:ascii="宋体" w:hAnsi="宋体" w:eastAsia="宋体"/>
          <w:b w:val="0"/>
          <w:sz w:val="24"/>
        </w:rPr>
        <w:t>基于上述挑战，本研究旨在构建一套异构政府数据开放平台的统一采集与标准化方法体系，具体目标包括：</w:t>
      </w:r>
    </w:p>
    <w:p>
      <w:r>
        <w:rPr>
          <w:rFonts w:ascii="宋体" w:hAnsi="宋体" w:eastAsia="宋体"/>
          <w:b w:val="0"/>
          <w:sz w:val="24"/>
        </w:rPr>
      </w:r>
      <w:r>
        <w:rPr>
          <w:rFonts w:ascii="宋体" w:hAnsi="宋体" w:eastAsia="宋体"/>
          <w:b/>
          <w:sz w:val="24"/>
        </w:rPr>
        <w:t>目标一：</w:t>
      </w:r>
      <w:r>
        <w:rPr>
          <w:rFonts w:ascii="宋体" w:hAnsi="宋体" w:eastAsia="宋体"/>
          <w:b w:val="0"/>
          <w:sz w:val="24"/>
        </w:rPr>
        <w:t xml:space="preserve"> 设计适配多种技术架构的采集系统，实现"一平台一策"的差异化采集。</w:t>
      </w:r>
    </w:p>
    <w:p>
      <w:r>
        <w:rPr>
          <w:rFonts w:ascii="宋体" w:hAnsi="宋体" w:eastAsia="宋体"/>
          <w:b w:val="0"/>
          <w:sz w:val="24"/>
        </w:rPr>
      </w:r>
      <w:r>
        <w:rPr>
          <w:rFonts w:ascii="宋体" w:hAnsi="宋体" w:eastAsia="宋体"/>
          <w:b/>
          <w:sz w:val="24"/>
        </w:rPr>
        <w:t>目标二：</w:t>
      </w:r>
      <w:r>
        <w:rPr>
          <w:rFonts w:ascii="宋体" w:hAnsi="宋体" w:eastAsia="宋体"/>
          <w:b w:val="0"/>
          <w:sz w:val="24"/>
        </w:rPr>
        <w:t xml:space="preserve"> 建立分层标准化体系，将异构口径统一为可比较的标准化口径。</w:t>
      </w:r>
    </w:p>
    <w:p>
      <w:r>
        <w:rPr>
          <w:rFonts w:ascii="宋体" w:hAnsi="宋体" w:eastAsia="宋体"/>
          <w:b w:val="0"/>
          <w:sz w:val="24"/>
        </w:rPr>
      </w:r>
      <w:r>
        <w:rPr>
          <w:rFonts w:ascii="宋体" w:hAnsi="宋体" w:eastAsia="宋体"/>
          <w:b/>
          <w:sz w:val="24"/>
        </w:rPr>
        <w:t>目标三：</w:t>
      </w:r>
      <w:r>
        <w:rPr>
          <w:rFonts w:ascii="宋体" w:hAnsi="宋体" w:eastAsia="宋体"/>
          <w:b w:val="0"/>
          <w:sz w:val="24"/>
        </w:rPr>
        <w:t xml:space="preserve"> 构建置信度分级机制，对采集数据的可靠性进行系统评估。</w:t>
      </w:r>
    </w:p>
    <w:p>
      <w:r>
        <w:rPr>
          <w:rFonts w:ascii="宋体" w:hAnsi="宋体" w:eastAsia="宋体"/>
          <w:b w:val="0"/>
          <w:sz w:val="24"/>
        </w:rPr>
        <w:t>本研究的理论贡献在于：第一，提出了"概念等价性"（conceptual equivalence）替代"技术同质性"（technical homogeneity）的方法论思路——异构数据的统一比较不应追求技术层面的完全一致，而应追求概念层面的等价映射；第二，构建了"采集-标准化-验证"的三层方法论框架，为异构政府网站的自动化采集提供了可复制的方法论示范。</w:t>
      </w:r>
    </w:p>
    <w:p>
      <w:r>
        <w:rPr>
          <w:rFonts w:ascii="宋体" w:hAnsi="宋体" w:eastAsia="宋体"/>
          <w:b w:val="0"/>
          <w:sz w:val="24"/>
        </w:rPr>
        <w:t>本研究的实践贡献在于：第一，自主开发了OGD-Collector Pro采集系统，已在全国31个省级平台的采集实践中得到验证；第二，建立了可操作的口径转换系数体系和置信度分级标准，可直接应用于其他异构数据采集场景。</w:t>
      </w:r>
    </w:p>
    <w:p>
      <w:pPr>
        <w:pStyle w:val="Heading2"/>
      </w:pPr>
      <w:r>
        <w:rPr>
          <w:rFonts w:ascii="黑体" w:hAnsi="黑体" w:eastAsia="黑体"/>
          <w:b/>
          <w:sz w:val="28"/>
        </w:rPr>
        <w:t>2 文献综述</w:t>
      </w:r>
    </w:p>
    <w:p>
      <w:pPr>
        <w:pStyle w:val="Heading3"/>
      </w:pPr>
      <w:r>
        <w:rPr>
          <w:rFonts w:ascii="黑体" w:hAnsi="黑体" w:eastAsia="黑体"/>
          <w:b/>
          <w:sz w:val="24"/>
        </w:rPr>
        <w:t>2.1 网络数据采集方法</w:t>
      </w:r>
    </w:p>
    <w:p>
      <w:r>
        <w:rPr>
          <w:rFonts w:ascii="宋体" w:hAnsi="宋体" w:eastAsia="宋体"/>
          <w:b w:val="0"/>
          <w:sz w:val="24"/>
        </w:rPr>
        <w:t>网络数据采集方法主要包括三类：通用爬虫、API调用和浏览器自动化。</w:t>
      </w:r>
    </w:p>
    <w:p>
      <w:r>
        <w:rPr>
          <w:rFonts w:ascii="宋体" w:hAnsi="宋体" w:eastAsia="宋体"/>
          <w:b w:val="0"/>
          <w:sz w:val="24"/>
        </w:rPr>
      </w:r>
      <w:r>
        <w:rPr>
          <w:rFonts w:ascii="宋体" w:hAnsi="宋体" w:eastAsia="宋体"/>
          <w:b/>
          <w:sz w:val="24"/>
        </w:rPr>
        <w:t>通用爬虫</w:t>
      </w:r>
      <w:r>
        <w:rPr>
          <w:rFonts w:ascii="宋体" w:hAnsi="宋体" w:eastAsia="宋体"/>
          <w:b w:val="0"/>
          <w:sz w:val="24"/>
        </w:rPr>
        <w:t>是最传统的网络数据采集方法，基于HTTP协议发送请求，通过HTML解析器（如BeautifulSoup、lxml）提取页面内容。通用爬虫的优点是简单高效、资源消耗低，适用于结构规则的静态页面；缺点是无法处理JavaScript动态渲染的内容，容易被反爬机制拦截。在政府数据开放领域，通用爬虫适用于基于静态HTML页面发布数据目录的平台（如部分早期建设的平台），但对于采用现代前端框架（React、Vue等）的动态平台则无能为力。</w:t>
      </w:r>
    </w:p>
    <w:p>
      <w:r>
        <w:rPr>
          <w:rFonts w:ascii="宋体" w:hAnsi="宋体" w:eastAsia="宋体"/>
          <w:b w:val="0"/>
          <w:sz w:val="24"/>
        </w:rPr>
      </w:r>
      <w:r>
        <w:rPr>
          <w:rFonts w:ascii="宋体" w:hAnsi="宋体" w:eastAsia="宋体"/>
          <w:b/>
          <w:sz w:val="24"/>
        </w:rPr>
        <w:t>API调用</w:t>
      </w:r>
      <w:r>
        <w:rPr>
          <w:rFonts w:ascii="宋体" w:hAnsi="宋体" w:eastAsia="宋体"/>
          <w:b w:val="0"/>
          <w:sz w:val="24"/>
        </w:rPr>
        <w:t>是通过平台提供的应用程序接口获取数据的方法。API的优点是数据格式规范（通常为JSON或XML）、获取效率高、结构化程度好；缺点是并非所有平台都提供API，且API文档的完备性和接口的稳定性参差不齐。在政府数据开放领域，部分先进平台（如广东、浙江）提供了较为完善的API接口，但大多数平台仅提供前端浏览功能，未开放后端API。</w:t>
      </w:r>
    </w:p>
    <w:p>
      <w:r>
        <w:rPr>
          <w:rFonts w:ascii="宋体" w:hAnsi="宋体" w:eastAsia="宋体"/>
          <w:b w:val="0"/>
          <w:sz w:val="24"/>
        </w:rPr>
      </w:r>
      <w:r>
        <w:rPr>
          <w:rFonts w:ascii="宋体" w:hAnsi="宋体" w:eastAsia="宋体"/>
          <w:b/>
          <w:sz w:val="24"/>
        </w:rPr>
        <w:t>浏览器自动化</w:t>
      </w:r>
      <w:r>
        <w:rPr>
          <w:rFonts w:ascii="宋体" w:hAnsi="宋体" w:eastAsia="宋体"/>
          <w:b w:val="0"/>
          <w:sz w:val="24"/>
        </w:rPr>
        <w:t>是通过模拟浏览器行为（如Selenium、Playwright）来获取数据的方法。浏览器自动化的优点是能够处理JavaScript动态渲染的内容，模拟用户的真实访问行为，绕过部分反爬机制；缺点是资源消耗大、执行速度慢、稳定性受页面结构变化影响。在政府数据开放领域，浏览器自动化是处理动态渲染型平台的主流技术方案。</w:t>
      </w:r>
    </w:p>
    <w:p>
      <w:r>
        <w:rPr>
          <w:rFonts w:ascii="宋体" w:hAnsi="宋体" w:eastAsia="宋体"/>
          <w:b w:val="0"/>
          <w:sz w:val="24"/>
        </w:rPr>
        <w:t>三类方法的比较如表2-1所示。</w:t>
      </w:r>
    </w:p>
    <w:p>
      <w:r>
        <w:rPr>
          <w:rFonts w:ascii="宋体" w:hAnsi="宋体" w:eastAsia="宋体"/>
          <w:b w:val="0"/>
          <w:sz w:val="24"/>
        </w:rPr>
      </w:r>
      <w:r>
        <w:rPr>
          <w:rFonts w:ascii="宋体" w:hAnsi="宋体" w:eastAsia="宋体"/>
          <w:b/>
          <w:sz w:val="24"/>
        </w:rPr>
        <w:t>表2-1 网络数据采集方法比较</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方法</w:t>
            </w:r>
          </w:p>
        </w:tc>
        <w:tc>
          <w:tcPr>
            <w:tcW w:type="dxa" w:w="1728"/>
          </w:tcPr>
          <w:p>
            <w:r>
              <w:rPr>
                <w:rFonts w:ascii="宋体" w:hAnsi="宋体" w:eastAsia="宋体"/>
                <w:b w:val="0"/>
                <w:sz w:val="24"/>
              </w:rPr>
              <w:t>适用场景</w:t>
            </w:r>
          </w:p>
        </w:tc>
        <w:tc>
          <w:tcPr>
            <w:tcW w:type="dxa" w:w="1728"/>
          </w:tcPr>
          <w:p>
            <w:r>
              <w:rPr>
                <w:rFonts w:ascii="宋体" w:hAnsi="宋体" w:eastAsia="宋体"/>
                <w:b w:val="0"/>
                <w:sz w:val="24"/>
              </w:rPr>
              <w:t>优点</w:t>
            </w:r>
          </w:p>
        </w:tc>
        <w:tc>
          <w:tcPr>
            <w:tcW w:type="dxa" w:w="1728"/>
          </w:tcPr>
          <w:p>
            <w:r>
              <w:rPr>
                <w:rFonts w:ascii="宋体" w:hAnsi="宋体" w:eastAsia="宋体"/>
                <w:b w:val="0"/>
                <w:sz w:val="24"/>
              </w:rPr>
              <w:t>缺点</w:t>
            </w:r>
          </w:p>
        </w:tc>
        <w:tc>
          <w:tcPr>
            <w:tcW w:type="dxa" w:w="1728"/>
          </w:tcPr>
          <w:p>
            <w:r>
              <w:rPr>
                <w:rFonts w:ascii="宋体" w:hAnsi="宋体" w:eastAsia="宋体"/>
                <w:b w:val="0"/>
                <w:sz w:val="24"/>
              </w:rPr>
              <w:t>代表性工具</w:t>
            </w:r>
          </w:p>
        </w:tc>
      </w:tr>
      <w:tr>
        <w:tc>
          <w:tcPr>
            <w:tcW w:type="dxa" w:w="1728"/>
          </w:tcPr>
          <w:p>
            <w:r>
              <w:rPr>
                <w:rFonts w:ascii="宋体" w:hAnsi="宋体" w:eastAsia="宋体"/>
                <w:b w:val="0"/>
                <w:sz w:val="24"/>
              </w:rPr>
              <w:t>通用爬虫</w:t>
            </w:r>
          </w:p>
        </w:tc>
        <w:tc>
          <w:tcPr>
            <w:tcW w:type="dxa" w:w="1728"/>
          </w:tcPr>
          <w:p>
            <w:r>
              <w:rPr>
                <w:rFonts w:ascii="宋体" w:hAnsi="宋体" w:eastAsia="宋体"/>
                <w:b w:val="0"/>
                <w:sz w:val="24"/>
              </w:rPr>
              <w:t>静态页面</w:t>
            </w:r>
          </w:p>
        </w:tc>
        <w:tc>
          <w:tcPr>
            <w:tcW w:type="dxa" w:w="1728"/>
          </w:tcPr>
          <w:p>
            <w:r>
              <w:rPr>
                <w:rFonts w:ascii="宋体" w:hAnsi="宋体" w:eastAsia="宋体"/>
                <w:b w:val="0"/>
                <w:sz w:val="24"/>
              </w:rPr>
              <w:t>简单高效、资源消耗低</w:t>
            </w:r>
          </w:p>
        </w:tc>
        <w:tc>
          <w:tcPr>
            <w:tcW w:type="dxa" w:w="1728"/>
          </w:tcPr>
          <w:p>
            <w:r>
              <w:rPr>
                <w:rFonts w:ascii="宋体" w:hAnsi="宋体" w:eastAsia="宋体"/>
                <w:b w:val="0"/>
                <w:sz w:val="24"/>
              </w:rPr>
              <w:t>无法处理动态内容</w:t>
            </w:r>
          </w:p>
        </w:tc>
        <w:tc>
          <w:tcPr>
            <w:tcW w:type="dxa" w:w="1728"/>
          </w:tcPr>
          <w:p>
            <w:r>
              <w:rPr>
                <w:rFonts w:ascii="宋体" w:hAnsi="宋体" w:eastAsia="宋体"/>
                <w:b w:val="0"/>
                <w:sz w:val="24"/>
              </w:rPr>
              <w:t>BeautifulSoup, Scrapy</w:t>
            </w:r>
          </w:p>
        </w:tc>
      </w:tr>
      <w:tr>
        <w:tc>
          <w:tcPr>
            <w:tcW w:type="dxa" w:w="1728"/>
          </w:tcPr>
          <w:p>
            <w:r>
              <w:rPr>
                <w:rFonts w:ascii="宋体" w:hAnsi="宋体" w:eastAsia="宋体"/>
                <w:b w:val="0"/>
                <w:sz w:val="24"/>
              </w:rPr>
              <w:t>API调用</w:t>
            </w:r>
          </w:p>
        </w:tc>
        <w:tc>
          <w:tcPr>
            <w:tcW w:type="dxa" w:w="1728"/>
          </w:tcPr>
          <w:p>
            <w:r>
              <w:rPr>
                <w:rFonts w:ascii="宋体" w:hAnsi="宋体" w:eastAsia="宋体"/>
                <w:b w:val="0"/>
                <w:sz w:val="24"/>
              </w:rPr>
              <w:t>提供API的平台</w:t>
            </w:r>
          </w:p>
        </w:tc>
        <w:tc>
          <w:tcPr>
            <w:tcW w:type="dxa" w:w="1728"/>
          </w:tcPr>
          <w:p>
            <w:r>
              <w:rPr>
                <w:rFonts w:ascii="宋体" w:hAnsi="宋体" w:eastAsia="宋体"/>
                <w:b w:val="0"/>
                <w:sz w:val="24"/>
              </w:rPr>
              <w:t>格式规范、效率高</w:t>
            </w:r>
          </w:p>
        </w:tc>
        <w:tc>
          <w:tcPr>
            <w:tcW w:type="dxa" w:w="1728"/>
          </w:tcPr>
          <w:p>
            <w:r>
              <w:rPr>
                <w:rFonts w:ascii="宋体" w:hAnsi="宋体" w:eastAsia="宋体"/>
                <w:b w:val="0"/>
                <w:sz w:val="24"/>
              </w:rPr>
              <w:t>非所有平台提供API</w:t>
            </w:r>
          </w:p>
        </w:tc>
        <w:tc>
          <w:tcPr>
            <w:tcW w:type="dxa" w:w="1728"/>
          </w:tcPr>
          <w:p>
            <w:r>
              <w:rPr>
                <w:rFonts w:ascii="宋体" w:hAnsi="宋体" w:eastAsia="宋体"/>
                <w:b w:val="0"/>
                <w:sz w:val="24"/>
              </w:rPr>
              <w:t>requests, axios</w:t>
            </w:r>
          </w:p>
        </w:tc>
      </w:tr>
      <w:tr>
        <w:tc>
          <w:tcPr>
            <w:tcW w:type="dxa" w:w="1728"/>
          </w:tcPr>
          <w:p>
            <w:r>
              <w:rPr>
                <w:rFonts w:ascii="宋体" w:hAnsi="宋体" w:eastAsia="宋体"/>
                <w:b w:val="0"/>
                <w:sz w:val="24"/>
              </w:rPr>
              <w:t>浏览器自动化</w:t>
            </w:r>
          </w:p>
        </w:tc>
        <w:tc>
          <w:tcPr>
            <w:tcW w:type="dxa" w:w="1728"/>
          </w:tcPr>
          <w:p>
            <w:r>
              <w:rPr>
                <w:rFonts w:ascii="宋体" w:hAnsi="宋体" w:eastAsia="宋体"/>
                <w:b w:val="0"/>
                <w:sz w:val="24"/>
              </w:rPr>
              <w:t>动态渲染页面</w:t>
            </w:r>
          </w:p>
        </w:tc>
        <w:tc>
          <w:tcPr>
            <w:tcW w:type="dxa" w:w="1728"/>
          </w:tcPr>
          <w:p>
            <w:r>
              <w:rPr>
                <w:rFonts w:ascii="宋体" w:hAnsi="宋体" w:eastAsia="宋体"/>
                <w:b w:val="0"/>
                <w:sz w:val="24"/>
              </w:rPr>
              <w:t>处理动态内容、模拟用户行为</w:t>
            </w:r>
          </w:p>
        </w:tc>
        <w:tc>
          <w:tcPr>
            <w:tcW w:type="dxa" w:w="1728"/>
          </w:tcPr>
          <w:p>
            <w:r>
              <w:rPr>
                <w:rFonts w:ascii="宋体" w:hAnsi="宋体" w:eastAsia="宋体"/>
                <w:b w:val="0"/>
                <w:sz w:val="24"/>
              </w:rPr>
              <w:t>资源消耗大、速度慢</w:t>
            </w:r>
          </w:p>
        </w:tc>
        <w:tc>
          <w:tcPr>
            <w:tcW w:type="dxa" w:w="1728"/>
          </w:tcPr>
          <w:p>
            <w:r>
              <w:rPr>
                <w:rFonts w:ascii="宋体" w:hAnsi="宋体" w:eastAsia="宋体"/>
                <w:b w:val="0"/>
                <w:sz w:val="24"/>
              </w:rPr>
              <w:t>Selenium, Playwright</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pPr>
        <w:pStyle w:val="Heading3"/>
      </w:pPr>
      <w:r>
        <w:rPr>
          <w:rFonts w:ascii="黑体" w:hAnsi="黑体" w:eastAsia="黑体"/>
          <w:b/>
          <w:sz w:val="24"/>
        </w:rPr>
        <w:t>2.2 异构数据标准化</w:t>
      </w:r>
    </w:p>
    <w:p>
      <w:r>
        <w:rPr>
          <w:rFonts w:ascii="宋体" w:hAnsi="宋体" w:eastAsia="宋体"/>
          <w:b w:val="0"/>
          <w:sz w:val="24"/>
        </w:rPr>
        <w:t>异构数据标准化是数据集成和比较分析的前提。现有的标准化方法主要包括三类：数据融合、本体对齐和模式匹配。</w:t>
      </w:r>
    </w:p>
    <w:p>
      <w:r>
        <w:rPr>
          <w:rFonts w:ascii="宋体" w:hAnsi="宋体" w:eastAsia="宋体"/>
          <w:b w:val="0"/>
          <w:sz w:val="24"/>
        </w:rPr>
      </w:r>
      <w:r>
        <w:rPr>
          <w:rFonts w:ascii="宋体" w:hAnsi="宋体" w:eastAsia="宋体"/>
          <w:b/>
          <w:sz w:val="24"/>
        </w:rPr>
        <w:t>数据融合</w:t>
      </w:r>
      <w:r>
        <w:rPr>
          <w:rFonts w:ascii="宋体" w:hAnsi="宋体" w:eastAsia="宋体"/>
          <w:b w:val="0"/>
          <w:sz w:val="24"/>
        </w:rPr>
        <w:t>（Data Fusion）关注如何将来自多个数据源的数据合并为统一的数据集。数据融合的关键问题包括：实体识别（识别不同数据源中的同一实体）、冲突解决（处理同一实体的不一致属性值）和数据补全（利用多源数据填补缺失值）。在政府数据开放领域，数据融合的应用场景包括：合并同一数据在不同平台的发布版本、整合分散在不同部门的相关数据集等。</w:t>
      </w:r>
    </w:p>
    <w:p>
      <w:r>
        <w:rPr>
          <w:rFonts w:ascii="宋体" w:hAnsi="宋体" w:eastAsia="宋体"/>
          <w:b w:val="0"/>
          <w:sz w:val="24"/>
        </w:rPr>
      </w:r>
      <w:r>
        <w:rPr>
          <w:rFonts w:ascii="宋体" w:hAnsi="宋体" w:eastAsia="宋体"/>
          <w:b/>
          <w:sz w:val="24"/>
        </w:rPr>
        <w:t>本体对齐</w:t>
      </w:r>
      <w:r>
        <w:rPr>
          <w:rFonts w:ascii="宋体" w:hAnsi="宋体" w:eastAsia="宋体"/>
          <w:b w:val="0"/>
          <w:sz w:val="24"/>
        </w:rPr>
        <w:t>（Ontology Alignment）关注如何将不同数据源的概念体系映射到统一的本体。本体对齐的关键问题包括：概念映射（识别不同本体中的等价概念）、关系映射（识别不同本体中的等价关系）和实例匹配（识别不同本体中的等价实例）。在政府数据开放领域，本体对齐的应用场景包括：将不同平台的主题分类体系映射到统一的主题词表、将不同平台的元数据标准映射到统一的元数据规范等。</w:t>
      </w:r>
    </w:p>
    <w:p>
      <w:r>
        <w:rPr>
          <w:rFonts w:ascii="宋体" w:hAnsi="宋体" w:eastAsia="宋体"/>
          <w:b w:val="0"/>
          <w:sz w:val="24"/>
        </w:rPr>
      </w:r>
      <w:r>
        <w:rPr>
          <w:rFonts w:ascii="宋体" w:hAnsi="宋体" w:eastAsia="宋体"/>
          <w:b/>
          <w:sz w:val="24"/>
        </w:rPr>
        <w:t>模式匹配</w:t>
      </w:r>
      <w:r>
        <w:rPr>
          <w:rFonts w:ascii="宋体" w:hAnsi="宋体" w:eastAsia="宋体"/>
          <w:b w:val="0"/>
          <w:sz w:val="24"/>
        </w:rPr>
        <w:t>（Schema Matching）关注如何将不同数据源的数据模式（schema）映射到统一的模式。模式匹配的关键问题包括：元素匹配（识别不同模式中的等价属性）、结构匹配（识别不同模式中的等价结构）和语义匹配（利用语义信息提高匹配精度）。在政府数据开放领域，模式匹配的应用场景包括：将不同平台的数据集元数据字段映射到统一的元数据标准、将不同平台的数据格式映射到统一的数据格式规范等。</w:t>
      </w:r>
    </w:p>
    <w:p>
      <w:r>
        <w:rPr>
          <w:rFonts w:ascii="宋体" w:hAnsi="宋体" w:eastAsia="宋体"/>
          <w:b w:val="0"/>
          <w:sz w:val="24"/>
        </w:rPr>
        <w:t>本研究借鉴了上述方法的核心思想，但采用了更为务实的方法论策略——不是追求"完美"的本体对齐或模式匹配，而是建立"足够好"的转换系数体系，在保证可比性的前提下降低技术复杂度。这一务实策略的理论依据是Herbert Simon提出的"有限理性"（bounded rationality）理论——在信息不完备和时间有限的条件下，决策者无法追求"最优解"，而应寻求"满意解"。在异构数据标准化领域，"完美"的本体对齐需要投入巨大的时间和技术成本，且在实际应用中往往"过犹不及"——过于复杂的对齐规则难以维护，且容易因平台的变化而失效。本研究的转换系数体系虽然在精度上不及本体对齐，但在可操作性、可维护性和可扩展性方面具有显著优势。</w:t>
      </w:r>
    </w:p>
    <w:p>
      <w:pPr>
        <w:pStyle w:val="Heading3"/>
      </w:pPr>
      <w:r>
        <w:rPr>
          <w:rFonts w:ascii="黑体" w:hAnsi="黑体" w:eastAsia="黑体"/>
          <w:b/>
          <w:sz w:val="24"/>
        </w:rPr>
        <w:t>2.3 政府数据开放数据采集现状与不足</w:t>
      </w:r>
    </w:p>
    <w:p>
      <w:r>
        <w:rPr>
          <w:rFonts w:ascii="宋体" w:hAnsi="宋体" w:eastAsia="宋体"/>
          <w:b w:val="0"/>
          <w:sz w:val="24"/>
        </w:rPr>
        <w:t>现有政府数据开放研究的数据采集方式主要包括三类：平台自我申报、第三方评估机构采集和学术研究者自主采集。</w:t>
      </w:r>
    </w:p>
    <w:p>
      <w:r>
        <w:rPr>
          <w:rFonts w:ascii="宋体" w:hAnsi="宋体" w:eastAsia="宋体"/>
          <w:b w:val="0"/>
          <w:sz w:val="24"/>
        </w:rPr>
      </w:r>
      <w:r>
        <w:rPr>
          <w:rFonts w:ascii="宋体" w:hAnsi="宋体" w:eastAsia="宋体"/>
          <w:b/>
          <w:sz w:val="24"/>
        </w:rPr>
        <w:t>平台自我申报</w:t>
      </w:r>
      <w:r>
        <w:rPr>
          <w:rFonts w:ascii="宋体" w:hAnsi="宋体" w:eastAsia="宋体"/>
          <w:b w:val="0"/>
          <w:sz w:val="24"/>
        </w:rPr>
        <w:t>是最常见的数据获取方式——评估机构向平台运营者发放问卷或数据表格，由平台运营者自行填报相关数据。这种方式的优点是成本低、获取速度快；缺点是数据的可验证性差，平台运营者有动力夸大绩效数据。开放数林指数的数据采集虽然采用了"实地访问"的方式，但本质上仍依赖平台的配合和自我申报。</w:t>
      </w:r>
    </w:p>
    <w:p>
      <w:r>
        <w:rPr>
          <w:rFonts w:ascii="宋体" w:hAnsi="宋体" w:eastAsia="宋体"/>
          <w:b w:val="0"/>
          <w:sz w:val="24"/>
        </w:rPr>
      </w:r>
      <w:r>
        <w:rPr>
          <w:rFonts w:ascii="宋体" w:hAnsi="宋体" w:eastAsia="宋体"/>
          <w:b/>
          <w:sz w:val="24"/>
        </w:rPr>
        <w:t>第三方评估机构采集</w:t>
      </w:r>
      <w:r>
        <w:rPr>
          <w:rFonts w:ascii="宋体" w:hAnsi="宋体" w:eastAsia="宋体"/>
          <w:b w:val="0"/>
          <w:sz w:val="24"/>
        </w:rPr>
        <w:t>是由专业的评估机构（如咨询公司、研究机构）进行数据采集。这种方式的优点是专业性较强、数据质量相对较高；缺点是成本高昂、覆盖范围有限，且不同评估机构的采集标准和方法可能存在差异，导致跨评估机构的数据不可比。</w:t>
      </w:r>
    </w:p>
    <w:p>
      <w:r>
        <w:rPr>
          <w:rFonts w:ascii="宋体" w:hAnsi="宋体" w:eastAsia="宋体"/>
          <w:b w:val="0"/>
          <w:sz w:val="24"/>
        </w:rPr>
      </w:r>
      <w:r>
        <w:rPr>
          <w:rFonts w:ascii="宋体" w:hAnsi="宋体" w:eastAsia="宋体"/>
          <w:b/>
          <w:sz w:val="24"/>
        </w:rPr>
        <w:t>学术研究者自主采集</w:t>
      </w:r>
      <w:r>
        <w:rPr>
          <w:rFonts w:ascii="宋体" w:hAnsi="宋体" w:eastAsia="宋体"/>
          <w:b w:val="0"/>
          <w:sz w:val="24"/>
        </w:rPr>
        <w:t>是由研究者自行开发采集工具进行数据采集。这种方式的优点是数据采集过程完全透明、可重复、可验证；缺点是技术门槛高、时间成本高，且单个研究者的资源有限，难以实现大规模的平台覆盖。</w:t>
      </w:r>
    </w:p>
    <w:p>
      <w:r>
        <w:rPr>
          <w:rFonts w:ascii="宋体" w:hAnsi="宋体" w:eastAsia="宋体"/>
          <w:b w:val="0"/>
          <w:sz w:val="24"/>
        </w:rPr>
        <w:t>本研究采用"学术研究者自主采集"的方式，但通过系统化的方法论设计和工具化的技术实现，克服了传统自主采集的局限性——OGD-Collector Pro采集系统实现了对31个平台的自动化采集，采集过程完全透明（所有代码开源），采集结果可追溯（所有数据带有时间戳和来源标识）。</w:t>
      </w:r>
    </w:p>
    <w:p>
      <w:r>
        <w:rPr>
          <w:rFonts w:ascii="宋体" w:hAnsi="宋体" w:eastAsia="宋体"/>
          <w:b w:val="0"/>
          <w:sz w:val="24"/>
        </w:rPr>
        <w:t>OGD-Collector Pro系统的透明性设计体现在三个层面：第一，代码开源——系统的所有源代码在GitHub平台公开发布，任何人都可以审查采集逻辑、提取规则和数据处理流程；第二，规则公开——每个平台的提取规则以JSON格式存储，规则的设定依据和版本变更历史均有记录；第三，数据可追溯——每条采集记录都包含采集时间、采集URL、使用的提取规则版本、原始HTML片段和提取结果，便于回溯和验证。这种"全流程透明"的设计使得本研究的数据采集过程具有高度的可验证性和可重复性——其他研究者可以复现整个采集流程，验证采集结果的准确性。</w:t>
      </w:r>
    </w:p>
    <w:p>
      <w:pPr>
        <w:pStyle w:val="Heading2"/>
      </w:pPr>
      <w:r>
        <w:rPr>
          <w:rFonts w:ascii="黑体" w:hAnsi="黑体" w:eastAsia="黑体"/>
          <w:b/>
          <w:sz w:val="28"/>
        </w:rPr>
        <w:t>3 方法论框架</w:t>
      </w:r>
    </w:p>
    <w:p>
      <w:pPr>
        <w:pStyle w:val="Heading3"/>
      </w:pPr>
      <w:r>
        <w:rPr>
          <w:rFonts w:ascii="黑体" w:hAnsi="黑体" w:eastAsia="黑体"/>
          <w:b/>
          <w:sz w:val="24"/>
        </w:rPr>
        <w:t>3.1 整体架构：三层采集系统</w:t>
      </w:r>
    </w:p>
    <w:p>
      <w:r>
        <w:rPr>
          <w:rFonts w:ascii="宋体" w:hAnsi="宋体" w:eastAsia="宋体"/>
          <w:b w:val="0"/>
          <w:sz w:val="24"/>
        </w:rPr>
        <w:t>本研究自主开发了OGD-Collector Pro采集系统，采用三层架构设计（图3-1）。</w:t>
      </w:r>
    </w:p>
    <w:p>
      <w:r>
        <w:rPr>
          <w:rFonts w:ascii="宋体" w:hAnsi="宋体" w:eastAsia="宋体"/>
          <w:b w:val="0"/>
          <w:sz w:val="24"/>
        </w:rPr>
      </w:r>
      <w:r>
        <w:rPr>
          <w:rFonts w:ascii="宋体" w:hAnsi="宋体" w:eastAsia="宋体"/>
          <w:b/>
          <w:sz w:val="24"/>
        </w:rPr>
        <w:t>图3-1 OGD-Collector Pro三层架构</w:t>
      </w:r>
      <w:r>
        <w:rPr>
          <w:rFonts w:ascii="宋体" w:hAnsi="宋体" w:eastAsia="宋体"/>
          <w:b w:val="0"/>
          <w:sz w:val="24"/>
        </w:rPr>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应用层 (Application Layer)              │</w:t>
      </w:r>
    </w:p>
    <w:p>
      <w:r>
        <w:rPr>
          <w:rFonts w:ascii="宋体" w:hAnsi="宋体" w:eastAsia="宋体"/>
          <w:b w:val="0"/>
          <w:sz w:val="24"/>
        </w:rPr>
        <w:t>│  ┌─────────┐  ┌─────────┐  ┌─────────┐  ┌─────────┐   │</w:t>
      </w:r>
    </w:p>
    <w:p>
      <w:r>
        <w:rPr>
          <w:rFonts w:ascii="宋体" w:hAnsi="宋体" w:eastAsia="宋体"/>
          <w:b w:val="0"/>
          <w:sz w:val="24"/>
        </w:rPr>
        <w:t>│  │ 可视化   │  │  API   │  │ 数据导出 │  │ 质量报告 │   │</w:t>
      </w:r>
    </w:p>
    <w:p>
      <w:r>
        <w:rPr>
          <w:rFonts w:ascii="宋体" w:hAnsi="宋体" w:eastAsia="宋体"/>
          <w:b w:val="0"/>
          <w:sz w:val="24"/>
        </w:rPr>
        <w:t>│  │ 展示    │  │ 服务   │  │ (CSV/JSON)│  │ 生成    │   │</w:t>
      </w:r>
    </w:p>
    <w:p>
      <w:r>
        <w:rPr>
          <w:rFonts w:ascii="宋体" w:hAnsi="宋体" w:eastAsia="宋体"/>
          <w:b w:val="0"/>
          <w:sz w:val="24"/>
        </w:rPr>
        <w:t>│  └─────────┘  └─────────┘  └─────────┘  └─────────┘   │</w:t>
      </w:r>
    </w:p>
    <w:p>
      <w:r>
        <w:rPr>
          <w:rFonts w:ascii="宋体" w:hAnsi="宋体" w:eastAsia="宋体"/>
          <w:b w:val="0"/>
          <w:sz w:val="24"/>
        </w:rPr>
        <w:t>├─────────────────────────────────────────────────────────┤</w:t>
      </w:r>
    </w:p>
    <w:p>
      <w:r>
        <w:rPr>
          <w:rFonts w:ascii="宋体" w:hAnsi="宋体" w:eastAsia="宋体"/>
          <w:b w:val="0"/>
          <w:sz w:val="24"/>
        </w:rPr>
        <w:t>│                    采集层 (Collection Layer)             │</w:t>
      </w:r>
    </w:p>
    <w:p>
      <w:r>
        <w:rPr>
          <w:rFonts w:ascii="宋体" w:hAnsi="宋体" w:eastAsia="宋体"/>
          <w:b w:val="0"/>
          <w:sz w:val="24"/>
        </w:rPr>
        <w:t>│  ┌─────────┐  ┌─────────┐  ┌─────────┐  ┌─────────┐   │</w:t>
      </w:r>
    </w:p>
    <w:p>
      <w:r>
        <w:rPr>
          <w:rFonts w:ascii="宋体" w:hAnsi="宋体" w:eastAsia="宋体"/>
          <w:b w:val="0"/>
          <w:sz w:val="24"/>
        </w:rPr>
        <w:t>│  │ Playwright│ │BeautifulSoup│ │ 正则表达式 │  │ 反爬策略 │   │</w:t>
      </w:r>
    </w:p>
    <w:p>
      <w:r>
        <w:rPr>
          <w:rFonts w:ascii="宋体" w:hAnsi="宋体" w:eastAsia="宋体"/>
          <w:b w:val="0"/>
          <w:sz w:val="24"/>
        </w:rPr>
        <w:t>│  │ 浏览器  │  │ HTML解析 │  │ 文本提取 │  │ (UA轮换/ │   │</w:t>
      </w:r>
    </w:p>
    <w:p>
      <w:r>
        <w:rPr>
          <w:rFonts w:ascii="宋体" w:hAnsi="宋体" w:eastAsia="宋体"/>
          <w:b w:val="0"/>
          <w:sz w:val="24"/>
        </w:rPr>
        <w:t>│  │ 自动化  │  │        │  │        │  │ 频率控制)│   │</w:t>
      </w:r>
    </w:p>
    <w:p>
      <w:r>
        <w:rPr>
          <w:rFonts w:ascii="宋体" w:hAnsi="宋体" w:eastAsia="宋体"/>
          <w:b w:val="0"/>
          <w:sz w:val="24"/>
        </w:rPr>
        <w:t>│  └─────────┘  └─────────┘  └─────────┘  └─────────┘   │</w:t>
      </w:r>
    </w:p>
    <w:p>
      <w:r>
        <w:rPr>
          <w:rFonts w:ascii="宋体" w:hAnsi="宋体" w:eastAsia="宋体"/>
          <w:b w:val="0"/>
          <w:sz w:val="24"/>
        </w:rPr>
        <w:t>├─────────────────────────────────────────────────────────┤</w:t>
      </w:r>
    </w:p>
    <w:p>
      <w:r>
        <w:rPr>
          <w:rFonts w:ascii="宋体" w:hAnsi="宋体" w:eastAsia="宋体"/>
          <w:b w:val="0"/>
          <w:sz w:val="24"/>
        </w:rPr>
        <w:t>│                    数据层 (Data Layer)                   │</w:t>
      </w:r>
    </w:p>
    <w:p>
      <w:r>
        <w:rPr>
          <w:rFonts w:ascii="宋体" w:hAnsi="宋体" w:eastAsia="宋体"/>
          <w:b w:val="0"/>
          <w:sz w:val="24"/>
        </w:rPr>
        <w:t>│  ┌─────────┐  ┌─────────┐  ┌─────────┐  ┌─────────┐   │</w:t>
      </w:r>
    </w:p>
    <w:p>
      <w:r>
        <w:rPr>
          <w:rFonts w:ascii="宋体" w:hAnsi="宋体" w:eastAsia="宋体"/>
          <w:b w:val="0"/>
          <w:sz w:val="24"/>
        </w:rPr>
        <w:t>│  │ SQLite  │  │ JSON规则 │  │ 日志记录 │  │ 备份恢复 │   │</w:t>
      </w:r>
    </w:p>
    <w:p>
      <w:r>
        <w:rPr>
          <w:rFonts w:ascii="宋体" w:hAnsi="宋体" w:eastAsia="宋体"/>
          <w:b w:val="0"/>
          <w:sz w:val="24"/>
        </w:rPr>
        <w:t>│  │ 数据库  │  │ 映射表  │  │ 系统    │  │ 机制    │   │</w:t>
      </w:r>
    </w:p>
    <w:p>
      <w:r>
        <w:rPr>
          <w:rFonts w:ascii="宋体" w:hAnsi="宋体" w:eastAsia="宋体"/>
          <w:b w:val="0"/>
          <w:sz w:val="24"/>
        </w:rPr>
        <w:t>│  └─────────┘  └─────────┘  └─────────┘  └─────────┘   │</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r>
      <w:r>
        <w:rPr>
          <w:rFonts w:ascii="宋体" w:hAnsi="宋体" w:eastAsia="宋体"/>
          <w:b w:val="0"/>
          <w:i/>
          <w:sz w:val="24"/>
        </w:rPr>
        <w:t>数据来源：作者绘制。</w:t>
      </w:r>
      <w:r>
        <w:rPr>
          <w:rFonts w:ascii="宋体" w:hAnsi="宋体" w:eastAsia="宋体"/>
          <w:b w:val="0"/>
          <w:sz w:val="24"/>
        </w:rPr>
      </w:r>
    </w:p>
    <w:p>
      <w:r>
        <w:rPr>
          <w:rFonts w:ascii="宋体" w:hAnsi="宋体" w:eastAsia="宋体"/>
          <w:b w:val="0"/>
          <w:sz w:val="24"/>
        </w:rPr>
      </w:r>
      <w:r>
        <w:rPr>
          <w:rFonts w:ascii="宋体" w:hAnsi="宋体" w:eastAsia="宋体"/>
          <w:b/>
          <w:sz w:val="24"/>
        </w:rPr>
        <w:t>数据层</w:t>
      </w:r>
      <w:r>
        <w:rPr>
          <w:rFonts w:ascii="宋体" w:hAnsi="宋体" w:eastAsia="宋体"/>
          <w:b w:val="0"/>
          <w:sz w:val="24"/>
        </w:rPr>
        <w:t>负责平台信息的存储和管理，包括三个核心组件：SQLite数据库存储采集结果和平台元数据；JSON规则映射表管理各平台的提取规则（"一平台一策"的核心载体）；日志记录系统记录采集过程的完整信息（时间戳、请求URL、响应状态、异常信息等），确保采集过程可追溯。</w:t>
      </w:r>
    </w:p>
    <w:p>
      <w:r>
        <w:rPr>
          <w:rFonts w:ascii="宋体" w:hAnsi="宋体" w:eastAsia="宋体"/>
          <w:b w:val="0"/>
          <w:sz w:val="24"/>
        </w:rPr>
      </w:r>
      <w:r>
        <w:rPr>
          <w:rFonts w:ascii="宋体" w:hAnsi="宋体" w:eastAsia="宋体"/>
          <w:b/>
          <w:sz w:val="24"/>
        </w:rPr>
        <w:t>采集层</w:t>
      </w:r>
      <w:r>
        <w:rPr>
          <w:rFonts w:ascii="宋体" w:hAnsi="宋体" w:eastAsia="宋体"/>
          <w:b w:val="0"/>
          <w:sz w:val="24"/>
        </w:rPr>
        <w:t>负责浏览器自动化和多策略数据提取，包括四个核心组件：Playwright负责模拟浏览器行为，处理JavaScript动态渲染的页面；BeautifulSoup负责HTML解析和结构化数据提取；正则表达式负责文本模式匹配和非结构化数据提取；反爬策略组件负责User-Agent轮换、请求频率控制和IP代理池管理，确保采集的可持续性和稳定性。</w:t>
      </w:r>
    </w:p>
    <w:p>
      <w:r>
        <w:rPr>
          <w:rFonts w:ascii="宋体" w:hAnsi="宋体" w:eastAsia="宋体"/>
          <w:b w:val="0"/>
          <w:sz w:val="24"/>
        </w:rPr>
      </w:r>
      <w:r>
        <w:rPr>
          <w:rFonts w:ascii="宋体" w:hAnsi="宋体" w:eastAsia="宋体"/>
          <w:b/>
          <w:sz w:val="24"/>
        </w:rPr>
        <w:t>应用层</w:t>
      </w:r>
      <w:r>
        <w:rPr>
          <w:rFonts w:ascii="宋体" w:hAnsi="宋体" w:eastAsia="宋体"/>
          <w:b w:val="0"/>
          <w:sz w:val="24"/>
        </w:rPr>
        <w:t>负责数据可视化和API服务，包括四个核心组件：可视化展示模块基于ECharts提供交互式数据可视化；API服务模块基于Flask提供RESTful API，支持外部系统调用；数据导出模块支持CSV和JSON格式的数据导出；质量报告模块自动生成采集质量报告，包括采集成功率、数据完整率、异常统计等。</w:t>
      </w:r>
    </w:p>
    <w:p>
      <w:pPr>
        <w:pStyle w:val="Heading3"/>
      </w:pPr>
      <w:r>
        <w:rPr>
          <w:rFonts w:ascii="黑体" w:hAnsi="黑体" w:eastAsia="黑体"/>
          <w:b/>
          <w:sz w:val="24"/>
        </w:rPr>
        <w:t>3.2 "一平台一策"规则映射</w:t>
      </w:r>
    </w:p>
    <w:p>
      <w:r>
        <w:rPr>
          <w:rFonts w:ascii="宋体" w:hAnsi="宋体" w:eastAsia="宋体"/>
          <w:b w:val="0"/>
          <w:sz w:val="24"/>
        </w:rPr>
        <w:t>"一平台一策"是本研究应对技术异构性的核心策略。针对每个平台的技术架构特点，设计差异化的提取规则，存储在JSON规则映射表中。表3-1展示了部分平台的提取规则示例。</w:t>
      </w:r>
    </w:p>
    <w:p>
      <w:r>
        <w:rPr>
          <w:rFonts w:ascii="宋体" w:hAnsi="宋体" w:eastAsia="宋体"/>
          <w:b w:val="0"/>
          <w:sz w:val="24"/>
        </w:rPr>
      </w:r>
      <w:r>
        <w:rPr>
          <w:rFonts w:ascii="宋体" w:hAnsi="宋体" w:eastAsia="宋体"/>
          <w:b/>
          <w:sz w:val="24"/>
        </w:rPr>
        <w:t>表3-1 部分平台提取规则示例</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t>平台</w:t>
            </w:r>
          </w:p>
        </w:tc>
        <w:tc>
          <w:tcPr>
            <w:tcW w:type="dxa" w:w="1440"/>
          </w:tcPr>
          <w:p>
            <w:r>
              <w:rPr>
                <w:rFonts w:ascii="宋体" w:hAnsi="宋体" w:eastAsia="宋体"/>
                <w:b w:val="0"/>
                <w:sz w:val="24"/>
              </w:rPr>
              <w:t>架构类型</w:t>
            </w:r>
          </w:p>
        </w:tc>
        <w:tc>
          <w:tcPr>
            <w:tcW w:type="dxa" w:w="1440"/>
          </w:tcPr>
          <w:p>
            <w:r>
              <w:rPr>
                <w:rFonts w:ascii="宋体" w:hAnsi="宋体" w:eastAsia="宋体"/>
                <w:b w:val="0"/>
                <w:sz w:val="24"/>
              </w:rPr>
              <w:t>提取策略</w:t>
            </w:r>
          </w:p>
        </w:tc>
        <w:tc>
          <w:tcPr>
            <w:tcW w:type="dxa" w:w="1440"/>
          </w:tcPr>
          <w:p>
            <w:r>
              <w:rPr>
                <w:rFonts w:ascii="宋体" w:hAnsi="宋体" w:eastAsia="宋体"/>
                <w:b w:val="0"/>
                <w:sz w:val="24"/>
              </w:rPr>
              <w:t>选择器/正则</w:t>
            </w:r>
          </w:p>
        </w:tc>
        <w:tc>
          <w:tcPr>
            <w:tcW w:type="dxa" w:w="1440"/>
          </w:tcPr>
          <w:p>
            <w:r>
              <w:rPr>
                <w:rFonts w:ascii="宋体" w:hAnsi="宋体" w:eastAsia="宋体"/>
                <w:b w:val="0"/>
                <w:sz w:val="24"/>
              </w:rPr>
              <w:t>输出字段</w:t>
            </w:r>
          </w:p>
        </w:tc>
        <w:tc>
          <w:tcPr>
            <w:tcW w:type="dxa" w:w="1440"/>
          </w:tcPr>
          <w:p>
            <w:r>
              <w:rPr>
                <w:rFonts w:ascii="宋体" w:hAnsi="宋体" w:eastAsia="宋体"/>
                <w:b w:val="0"/>
                <w:sz w:val="24"/>
              </w:rPr>
              <w:t>备注</w:t>
            </w:r>
          </w:p>
        </w:tc>
      </w:tr>
      <w:tr>
        <w:tc>
          <w:tcPr>
            <w:tcW w:type="dxa" w:w="1440"/>
          </w:tcPr>
          <w:p>
            <w:r>
              <w:rPr>
                <w:rFonts w:ascii="宋体" w:hAnsi="宋体" w:eastAsia="宋体"/>
                <w:b w:val="0"/>
                <w:sz w:val="24"/>
              </w:rPr>
              <w:t>广东</w:t>
            </w:r>
          </w:p>
        </w:tc>
        <w:tc>
          <w:tcPr>
            <w:tcW w:type="dxa" w:w="1440"/>
          </w:tcPr>
          <w:p>
            <w:r>
              <w:rPr>
                <w:rFonts w:ascii="宋体" w:hAnsi="宋体" w:eastAsia="宋体"/>
                <w:b w:val="0"/>
                <w:sz w:val="24"/>
              </w:rPr>
              <w:t>动态渲染</w:t>
            </w:r>
          </w:p>
        </w:tc>
        <w:tc>
          <w:tcPr>
            <w:tcW w:type="dxa" w:w="1440"/>
          </w:tcPr>
          <w:p>
            <w:r>
              <w:rPr>
                <w:rFonts w:ascii="宋体" w:hAnsi="宋体" w:eastAsia="宋体"/>
                <w:b w:val="0"/>
                <w:sz w:val="24"/>
              </w:rPr>
              <w:t>首页正则</w:t>
            </w:r>
          </w:p>
        </w:tc>
        <w:tc>
          <w:tcPr>
            <w:tcW w:type="dxa" w:w="1440"/>
          </w:tcPr>
          <w:p>
            <w:r>
              <w:rPr>
                <w:rFonts w:ascii="宋体" w:hAnsi="宋体" w:eastAsia="宋体"/>
                <w:b w:val="0"/>
                <w:sz w:val="24"/>
              </w:rPr>
              <w:t>`数据集\s*([0-9,]+)`</w:t>
            </w:r>
          </w:p>
        </w:tc>
        <w:tc>
          <w:tcPr>
            <w:tcW w:type="dxa" w:w="1440"/>
          </w:tcPr>
          <w:p>
            <w:r>
              <w:rPr>
                <w:rFonts w:ascii="宋体" w:hAnsi="宋体" w:eastAsia="宋体"/>
                <w:b w:val="0"/>
                <w:sz w:val="24"/>
              </w:rPr>
              <w:t>数据集数量</w:t>
            </w:r>
          </w:p>
        </w:tc>
        <w:tc>
          <w:tcPr>
            <w:tcW w:type="dxa" w:w="1440"/>
          </w:tcPr>
          <w:p>
            <w:r>
              <w:rPr>
                <w:rFonts w:ascii="宋体" w:hAnsi="宋体" w:eastAsia="宋体"/>
                <w:b w:val="0"/>
                <w:sz w:val="24"/>
              </w:rPr>
              <w:t>数字计数器动态渲染</w:t>
            </w:r>
          </w:p>
        </w:tc>
      </w:tr>
      <w:tr>
        <w:tc>
          <w:tcPr>
            <w:tcW w:type="dxa" w:w="1440"/>
          </w:tcPr>
          <w:p>
            <w:r>
              <w:rPr>
                <w:rFonts w:ascii="宋体" w:hAnsi="宋体" w:eastAsia="宋体"/>
                <w:b w:val="0"/>
                <w:sz w:val="24"/>
              </w:rPr>
              <w:t>福建</w:t>
            </w:r>
          </w:p>
        </w:tc>
        <w:tc>
          <w:tcPr>
            <w:tcW w:type="dxa" w:w="1440"/>
          </w:tcPr>
          <w:p>
            <w:r>
              <w:rPr>
                <w:rFonts w:ascii="宋体" w:hAnsi="宋体" w:eastAsia="宋体"/>
                <w:b w:val="0"/>
                <w:sz w:val="24"/>
              </w:rPr>
              <w:t>静态页面</w:t>
            </w:r>
          </w:p>
        </w:tc>
        <w:tc>
          <w:tcPr>
            <w:tcW w:type="dxa" w:w="1440"/>
          </w:tcPr>
          <w:p>
            <w:r>
              <w:rPr>
                <w:rFonts w:ascii="宋体" w:hAnsi="宋体" w:eastAsia="宋体"/>
                <w:b w:val="0"/>
                <w:sz w:val="24"/>
              </w:rPr>
              <w:t>首页CSS</w:t>
            </w:r>
          </w:p>
        </w:tc>
        <w:tc>
          <w:tcPr>
            <w:tcW w:type="dxa" w:w="1440"/>
          </w:tcPr>
          <w:p>
            <w:r>
              <w:rPr>
                <w:rFonts w:ascii="宋体" w:hAnsi="宋体" w:eastAsia="宋体"/>
                <w:b w:val="0"/>
                <w:sz w:val="24"/>
              </w:rPr>
              <w:t>`.num`类元素</w:t>
            </w:r>
          </w:p>
        </w:tc>
        <w:tc>
          <w:tcPr>
            <w:tcW w:type="dxa" w:w="1440"/>
          </w:tcPr>
          <w:p>
            <w:r>
              <w:rPr>
                <w:rFonts w:ascii="宋体" w:hAnsi="宋体" w:eastAsia="宋体"/>
                <w:b w:val="0"/>
                <w:sz w:val="24"/>
              </w:rPr>
              <w:t>目录数</w:t>
            </w:r>
          </w:p>
        </w:tc>
        <w:tc>
          <w:tcPr>
            <w:tcW w:type="dxa" w:w="1440"/>
          </w:tcPr>
          <w:p>
            <w:r>
              <w:rPr>
                <w:rFonts w:ascii="宋体" w:hAnsi="宋体" w:eastAsia="宋体"/>
                <w:b w:val="0"/>
                <w:sz w:val="24"/>
              </w:rPr>
              <w:t>静态HTML直接解析</w:t>
            </w:r>
          </w:p>
        </w:tc>
      </w:tr>
      <w:tr>
        <w:tc>
          <w:tcPr>
            <w:tcW w:type="dxa" w:w="1440"/>
          </w:tcPr>
          <w:p>
            <w:r>
              <w:rPr>
                <w:rFonts w:ascii="宋体" w:hAnsi="宋体" w:eastAsia="宋体"/>
                <w:b w:val="0"/>
                <w:sz w:val="24"/>
              </w:rPr>
              <w:t>贵州</w:t>
            </w:r>
          </w:p>
        </w:tc>
        <w:tc>
          <w:tcPr>
            <w:tcW w:type="dxa" w:w="1440"/>
          </w:tcPr>
          <w:p>
            <w:r>
              <w:rPr>
                <w:rFonts w:ascii="宋体" w:hAnsi="宋体" w:eastAsia="宋体"/>
                <w:b w:val="0"/>
                <w:sz w:val="24"/>
              </w:rPr>
              <w:t>动态渲染</w:t>
            </w:r>
          </w:p>
        </w:tc>
        <w:tc>
          <w:tcPr>
            <w:tcW w:type="dxa" w:w="1440"/>
          </w:tcPr>
          <w:p>
            <w:r>
              <w:rPr>
                <w:rFonts w:ascii="宋体" w:hAnsi="宋体" w:eastAsia="宋体"/>
                <w:b w:val="0"/>
                <w:sz w:val="24"/>
              </w:rPr>
              <w:t>数字计数器</w:t>
            </w:r>
          </w:p>
        </w:tc>
        <w:tc>
          <w:tcPr>
            <w:tcW w:type="dxa" w:w="1440"/>
          </w:tcPr>
          <w:p>
            <w:r>
              <w:rPr>
                <w:rFonts w:ascii="宋体" w:hAnsi="宋体" w:eastAsia="宋体"/>
                <w:b w:val="0"/>
                <w:sz w:val="24"/>
              </w:rPr>
              <w:t>动态渲染后读取</w:t>
            </w:r>
          </w:p>
        </w:tc>
        <w:tc>
          <w:tcPr>
            <w:tcW w:type="dxa" w:w="1440"/>
          </w:tcPr>
          <w:p>
            <w:r>
              <w:rPr>
                <w:rFonts w:ascii="宋体" w:hAnsi="宋体" w:eastAsia="宋体"/>
                <w:b w:val="0"/>
                <w:sz w:val="24"/>
              </w:rPr>
              <w:t>数据集数量</w:t>
            </w:r>
          </w:p>
        </w:tc>
        <w:tc>
          <w:tcPr>
            <w:tcW w:type="dxa" w:w="1440"/>
          </w:tcPr>
          <w:p>
            <w:r>
              <w:rPr>
                <w:rFonts w:ascii="宋体" w:hAnsi="宋体" w:eastAsia="宋体"/>
                <w:b w:val="0"/>
                <w:sz w:val="24"/>
              </w:rPr>
              <w:t>需等待JS执行完成</w:t>
            </w:r>
          </w:p>
        </w:tc>
      </w:tr>
      <w:tr>
        <w:tc>
          <w:tcPr>
            <w:tcW w:type="dxa" w:w="1440"/>
          </w:tcPr>
          <w:p>
            <w:r>
              <w:rPr>
                <w:rFonts w:ascii="宋体" w:hAnsi="宋体" w:eastAsia="宋体"/>
                <w:b w:val="0"/>
                <w:sz w:val="24"/>
              </w:rPr>
              <w:t>湖南</w:t>
            </w:r>
          </w:p>
        </w:tc>
        <w:tc>
          <w:tcPr>
            <w:tcW w:type="dxa" w:w="1440"/>
          </w:tcPr>
          <w:p>
            <w:r>
              <w:rPr>
                <w:rFonts w:ascii="宋体" w:hAnsi="宋体" w:eastAsia="宋体"/>
                <w:b w:val="0"/>
                <w:sz w:val="24"/>
              </w:rPr>
              <w:t>静态页面</w:t>
            </w:r>
          </w:p>
        </w:tc>
        <w:tc>
          <w:tcPr>
            <w:tcW w:type="dxa" w:w="1440"/>
          </w:tcPr>
          <w:p>
            <w:r>
              <w:rPr>
                <w:rFonts w:ascii="宋体" w:hAnsi="宋体" w:eastAsia="宋体"/>
                <w:b w:val="0"/>
                <w:sz w:val="24"/>
              </w:rPr>
              <w:t>目录页分页</w:t>
            </w:r>
          </w:p>
        </w:tc>
        <w:tc>
          <w:tcPr>
            <w:tcW w:type="dxa" w:w="1440"/>
          </w:tcPr>
          <w:p>
            <w:r>
              <w:rPr>
                <w:rFonts w:ascii="宋体" w:hAnsi="宋体" w:eastAsia="宋体"/>
                <w:b w:val="0"/>
                <w:sz w:val="24"/>
              </w:rPr>
              <w:t>`共\s</w:t>
            </w:r>
            <w:r>
              <w:rPr>
                <w:rFonts w:ascii="宋体" w:hAnsi="宋体" w:eastAsia="宋体"/>
                <w:b w:val="0"/>
                <w:i/>
                <w:sz w:val="24"/>
              </w:rPr>
              <w:t>([0-9,]+)\s</w:t>
            </w:r>
            <w:r>
              <w:rPr>
                <w:rFonts w:ascii="宋体" w:hAnsi="宋体" w:eastAsia="宋体"/>
                <w:b w:val="0"/>
                <w:sz w:val="24"/>
              </w:rPr>
              <w:t>条目录`</w:t>
            </w:r>
          </w:p>
        </w:tc>
        <w:tc>
          <w:tcPr>
            <w:tcW w:type="dxa" w:w="1440"/>
          </w:tcPr>
          <w:p>
            <w:r>
              <w:rPr>
                <w:rFonts w:ascii="宋体" w:hAnsi="宋体" w:eastAsia="宋体"/>
                <w:b w:val="0"/>
                <w:sz w:val="24"/>
              </w:rPr>
              <w:t>目录数</w:t>
            </w:r>
          </w:p>
        </w:tc>
        <w:tc>
          <w:tcPr>
            <w:tcW w:type="dxa" w:w="1440"/>
          </w:tcPr>
          <w:p>
            <w:r>
              <w:rPr>
                <w:rFonts w:ascii="宋体" w:hAnsi="宋体" w:eastAsia="宋体"/>
                <w:b w:val="0"/>
                <w:sz w:val="24"/>
              </w:rPr>
              <w:t>分页统计总条目</w:t>
            </w:r>
          </w:p>
        </w:tc>
      </w:tr>
      <w:tr>
        <w:tc>
          <w:tcPr>
            <w:tcW w:type="dxa" w:w="1440"/>
          </w:tcPr>
          <w:p>
            <w:r>
              <w:rPr>
                <w:rFonts w:ascii="宋体" w:hAnsi="宋体" w:eastAsia="宋体"/>
                <w:b w:val="0"/>
                <w:sz w:val="24"/>
              </w:rPr>
              <w:t>四川</w:t>
            </w:r>
          </w:p>
        </w:tc>
        <w:tc>
          <w:tcPr>
            <w:tcW w:type="dxa" w:w="1440"/>
          </w:tcPr>
          <w:p>
            <w:r>
              <w:rPr>
                <w:rFonts w:ascii="宋体" w:hAnsi="宋体" w:eastAsia="宋体"/>
                <w:b w:val="0"/>
                <w:sz w:val="24"/>
              </w:rPr>
              <w:t>静态页面</w:t>
            </w:r>
          </w:p>
        </w:tc>
        <w:tc>
          <w:tcPr>
            <w:tcW w:type="dxa" w:w="1440"/>
          </w:tcPr>
          <w:p>
            <w:r>
              <w:rPr>
                <w:rFonts w:ascii="宋体" w:hAnsi="宋体" w:eastAsia="宋体"/>
                <w:b w:val="0"/>
                <w:sz w:val="24"/>
              </w:rPr>
              <w:t>目录页正则</w:t>
            </w:r>
          </w:p>
        </w:tc>
        <w:tc>
          <w:tcPr>
            <w:tcW w:type="dxa" w:w="1440"/>
          </w:tcPr>
          <w:p>
            <w:r>
              <w:rPr>
                <w:rFonts w:ascii="宋体" w:hAnsi="宋体" w:eastAsia="宋体"/>
                <w:b w:val="0"/>
                <w:sz w:val="24"/>
              </w:rPr>
              <w:t>`目录数量\s*([0-9,]+)`</w:t>
            </w:r>
          </w:p>
        </w:tc>
        <w:tc>
          <w:tcPr>
            <w:tcW w:type="dxa" w:w="1440"/>
          </w:tcPr>
          <w:p>
            <w:r>
              <w:rPr>
                <w:rFonts w:ascii="宋体" w:hAnsi="宋体" w:eastAsia="宋体"/>
                <w:b w:val="0"/>
                <w:sz w:val="24"/>
              </w:rPr>
              <w:t>目录数量</w:t>
            </w:r>
          </w:p>
        </w:tc>
        <w:tc>
          <w:tcPr>
            <w:tcW w:type="dxa" w:w="1440"/>
          </w:tcPr>
          <w:p>
            <w:r>
              <w:rPr>
                <w:rFonts w:ascii="宋体" w:hAnsi="宋体" w:eastAsia="宋体"/>
                <w:b w:val="0"/>
                <w:sz w:val="24"/>
              </w:rPr>
              <w:t>页面顶部统计信息</w:t>
            </w:r>
          </w:p>
        </w:tc>
      </w:tr>
      <w:tr>
        <w:tc>
          <w:tcPr>
            <w:tcW w:type="dxa" w:w="1440"/>
          </w:tcPr>
          <w:p>
            <w:r>
              <w:rPr>
                <w:rFonts w:ascii="宋体" w:hAnsi="宋体" w:eastAsia="宋体"/>
                <w:b w:val="0"/>
                <w:sz w:val="24"/>
              </w:rPr>
              <w:t>河南</w:t>
            </w:r>
          </w:p>
        </w:tc>
        <w:tc>
          <w:tcPr>
            <w:tcW w:type="dxa" w:w="1440"/>
          </w:tcPr>
          <w:p>
            <w:r>
              <w:rPr>
                <w:rFonts w:ascii="宋体" w:hAnsi="宋体" w:eastAsia="宋体"/>
                <w:b w:val="0"/>
                <w:sz w:val="24"/>
              </w:rPr>
              <w:t>混合型</w:t>
            </w:r>
          </w:p>
        </w:tc>
        <w:tc>
          <w:tcPr>
            <w:tcW w:type="dxa" w:w="1440"/>
          </w:tcPr>
          <w:p>
            <w:r>
              <w:rPr>
                <w:rFonts w:ascii="宋体" w:hAnsi="宋体" w:eastAsia="宋体"/>
                <w:b w:val="0"/>
                <w:sz w:val="24"/>
              </w:rPr>
              <w:t>产品中心</w:t>
            </w:r>
          </w:p>
        </w:tc>
        <w:tc>
          <w:tcPr>
            <w:tcW w:type="dxa" w:w="1440"/>
          </w:tcPr>
          <w:p>
            <w:r>
              <w:rPr>
                <w:rFonts w:ascii="宋体" w:hAnsi="宋体" w:eastAsia="宋体"/>
                <w:b w:val="0"/>
                <w:sz w:val="24"/>
              </w:rPr>
              <w:t>新URL访问+页面解析</w:t>
            </w:r>
          </w:p>
        </w:tc>
        <w:tc>
          <w:tcPr>
            <w:tcW w:type="dxa" w:w="1440"/>
          </w:tcPr>
          <w:p>
            <w:r>
              <w:rPr>
                <w:rFonts w:ascii="宋体" w:hAnsi="宋体" w:eastAsia="宋体"/>
                <w:b w:val="0"/>
                <w:sz w:val="24"/>
              </w:rPr>
              <w:t>数据产品数</w:t>
            </w:r>
          </w:p>
        </w:tc>
        <w:tc>
          <w:tcPr>
            <w:tcW w:type="dxa" w:w="1440"/>
          </w:tcPr>
          <w:p>
            <w:r>
              <w:rPr>
                <w:rFonts w:ascii="宋体" w:hAnsi="宋体" w:eastAsia="宋体"/>
                <w:b w:val="0"/>
                <w:sz w:val="24"/>
              </w:rPr>
              <w:t>需访问独立产品页面</w:t>
            </w:r>
          </w:p>
        </w:tc>
      </w:tr>
      <w:tr>
        <w:tc>
          <w:tcPr>
            <w:tcW w:type="dxa" w:w="1440"/>
          </w:tcPr>
          <w:p>
            <w:r>
              <w:rPr>
                <w:rFonts w:ascii="宋体" w:hAnsi="宋体" w:eastAsia="宋体"/>
                <w:b w:val="0"/>
                <w:sz w:val="24"/>
              </w:rPr>
              <w:t>山东</w:t>
            </w:r>
          </w:p>
        </w:tc>
        <w:tc>
          <w:tcPr>
            <w:tcW w:type="dxa" w:w="1440"/>
          </w:tcPr>
          <w:p>
            <w:r>
              <w:rPr>
                <w:rFonts w:ascii="宋体" w:hAnsi="宋体" w:eastAsia="宋体"/>
                <w:b w:val="0"/>
                <w:sz w:val="24"/>
              </w:rPr>
              <w:t>动态渲染</w:t>
            </w:r>
          </w:p>
        </w:tc>
        <w:tc>
          <w:tcPr>
            <w:tcW w:type="dxa" w:w="1440"/>
          </w:tcPr>
          <w:p>
            <w:r>
              <w:rPr>
                <w:rFonts w:ascii="宋体" w:hAnsi="宋体" w:eastAsia="宋体"/>
                <w:b w:val="0"/>
                <w:sz w:val="24"/>
              </w:rPr>
              <w:t>首页正则</w:t>
            </w:r>
          </w:p>
        </w:tc>
        <w:tc>
          <w:tcPr>
            <w:tcW w:type="dxa" w:w="1440"/>
          </w:tcPr>
          <w:p>
            <w:r>
              <w:rPr>
                <w:rFonts w:ascii="宋体" w:hAnsi="宋体" w:eastAsia="宋体"/>
                <w:b w:val="0"/>
                <w:sz w:val="24"/>
              </w:rPr>
              <w:t>`数据目录\s*([0-9,]+)`</w:t>
            </w:r>
          </w:p>
        </w:tc>
        <w:tc>
          <w:tcPr>
            <w:tcW w:type="dxa" w:w="1440"/>
          </w:tcPr>
          <w:p>
            <w:r>
              <w:rPr>
                <w:rFonts w:ascii="宋体" w:hAnsi="宋体" w:eastAsia="宋体"/>
                <w:b w:val="0"/>
                <w:sz w:val="24"/>
              </w:rPr>
              <w:t>数据目录数</w:t>
            </w:r>
          </w:p>
        </w:tc>
        <w:tc>
          <w:tcPr>
            <w:tcW w:type="dxa" w:w="1440"/>
          </w:tcPr>
          <w:p>
            <w:r>
              <w:rPr>
                <w:rFonts w:ascii="宋体" w:hAnsi="宋体" w:eastAsia="宋体"/>
                <w:b w:val="0"/>
                <w:sz w:val="24"/>
              </w:rPr>
              <w:t>动态加载后提取</w:t>
            </w:r>
          </w:p>
        </w:tc>
      </w:tr>
      <w:tr>
        <w:tc>
          <w:tcPr>
            <w:tcW w:type="dxa" w:w="1440"/>
          </w:tcPr>
          <w:p>
            <w:r>
              <w:rPr>
                <w:rFonts w:ascii="宋体" w:hAnsi="宋体" w:eastAsia="宋体"/>
                <w:b w:val="0"/>
                <w:sz w:val="24"/>
              </w:rPr>
              <w:t>浙江</w:t>
            </w:r>
          </w:p>
        </w:tc>
        <w:tc>
          <w:tcPr>
            <w:tcW w:type="dxa" w:w="1440"/>
          </w:tcPr>
          <w:p>
            <w:r>
              <w:rPr>
                <w:rFonts w:ascii="宋体" w:hAnsi="宋体" w:eastAsia="宋体"/>
                <w:b w:val="0"/>
                <w:sz w:val="24"/>
              </w:rPr>
              <w:t>动态渲染</w:t>
            </w:r>
          </w:p>
        </w:tc>
        <w:tc>
          <w:tcPr>
            <w:tcW w:type="dxa" w:w="1440"/>
          </w:tcPr>
          <w:p>
            <w:r>
              <w:rPr>
                <w:rFonts w:ascii="宋体" w:hAnsi="宋体" w:eastAsia="宋体"/>
                <w:b w:val="0"/>
                <w:sz w:val="24"/>
              </w:rPr>
              <w:t>首页正则</w:t>
            </w:r>
          </w:p>
        </w:tc>
        <w:tc>
          <w:tcPr>
            <w:tcW w:type="dxa" w:w="1440"/>
          </w:tcPr>
          <w:p>
            <w:r>
              <w:rPr>
                <w:rFonts w:ascii="宋体" w:hAnsi="宋体" w:eastAsia="宋体"/>
                <w:b w:val="0"/>
                <w:sz w:val="24"/>
              </w:rPr>
              <w:t>`公共数据集\s*([0-9,]+)`</w:t>
            </w:r>
          </w:p>
        </w:tc>
        <w:tc>
          <w:tcPr>
            <w:tcW w:type="dxa" w:w="1440"/>
          </w:tcPr>
          <w:p>
            <w:r>
              <w:rPr>
                <w:rFonts w:ascii="宋体" w:hAnsi="宋体" w:eastAsia="宋体"/>
                <w:b w:val="0"/>
                <w:sz w:val="24"/>
              </w:rPr>
              <w:t>公共数据集数</w:t>
            </w:r>
          </w:p>
        </w:tc>
        <w:tc>
          <w:tcPr>
            <w:tcW w:type="dxa" w:w="1440"/>
          </w:tcPr>
          <w:p>
            <w:r>
              <w:rPr>
                <w:rFonts w:ascii="宋体" w:hAnsi="宋体" w:eastAsia="宋体"/>
                <w:b w:val="0"/>
                <w:sz w:val="24"/>
              </w:rPr>
              <w:t>Vue框架渲染</w:t>
            </w:r>
          </w:p>
        </w:tc>
      </w:tr>
      <w:tr>
        <w:tc>
          <w:tcPr>
            <w:tcW w:type="dxa" w:w="1440"/>
          </w:tcPr>
          <w:p>
            <w:r>
              <w:rPr>
                <w:rFonts w:ascii="宋体" w:hAnsi="宋体" w:eastAsia="宋体"/>
                <w:b w:val="0"/>
                <w:sz w:val="24"/>
              </w:rPr>
              <w:t>海南</w:t>
            </w:r>
          </w:p>
        </w:tc>
        <w:tc>
          <w:tcPr>
            <w:tcW w:type="dxa" w:w="1440"/>
          </w:tcPr>
          <w:p>
            <w:r>
              <w:rPr>
                <w:rFonts w:ascii="宋体" w:hAnsi="宋体" w:eastAsia="宋体"/>
                <w:b w:val="0"/>
                <w:sz w:val="24"/>
              </w:rPr>
              <w:t>静态页面</w:t>
            </w:r>
          </w:p>
        </w:tc>
        <w:tc>
          <w:tcPr>
            <w:tcW w:type="dxa" w:w="1440"/>
          </w:tcPr>
          <w:p>
            <w:r>
              <w:rPr>
                <w:rFonts w:ascii="宋体" w:hAnsi="宋体" w:eastAsia="宋体"/>
                <w:b w:val="0"/>
                <w:sz w:val="24"/>
              </w:rPr>
              <w:t>首页正则</w:t>
            </w:r>
          </w:p>
        </w:tc>
        <w:tc>
          <w:tcPr>
            <w:tcW w:type="dxa" w:w="1440"/>
          </w:tcPr>
          <w:p>
            <w:r>
              <w:rPr>
                <w:rFonts w:ascii="宋体" w:hAnsi="宋体" w:eastAsia="宋体"/>
                <w:b w:val="0"/>
                <w:sz w:val="24"/>
              </w:rPr>
              <w:t>`目录\s*([0-9,]+)`</w:t>
            </w:r>
          </w:p>
        </w:tc>
        <w:tc>
          <w:tcPr>
            <w:tcW w:type="dxa" w:w="1440"/>
          </w:tcPr>
          <w:p>
            <w:r>
              <w:rPr>
                <w:rFonts w:ascii="宋体" w:hAnsi="宋体" w:eastAsia="宋体"/>
                <w:b w:val="0"/>
                <w:sz w:val="24"/>
              </w:rPr>
              <w:t>目录数</w:t>
            </w:r>
          </w:p>
        </w:tc>
        <w:tc>
          <w:tcPr>
            <w:tcW w:type="dxa" w:w="1440"/>
          </w:tcPr>
          <w:p>
            <w:r>
              <w:rPr>
                <w:rFonts w:ascii="宋体" w:hAnsi="宋体" w:eastAsia="宋体"/>
                <w:b w:val="0"/>
                <w:sz w:val="24"/>
              </w:rPr>
              <w:t>静态HTML直接解析</w:t>
            </w:r>
          </w:p>
        </w:tc>
      </w:tr>
      <w:tr>
        <w:tc>
          <w:tcPr>
            <w:tcW w:type="dxa" w:w="1440"/>
          </w:tcPr>
          <w:p>
            <w:r>
              <w:rPr>
                <w:rFonts w:ascii="宋体" w:hAnsi="宋体" w:eastAsia="宋体"/>
                <w:b w:val="0"/>
                <w:sz w:val="24"/>
              </w:rPr>
              <w:t>湖北</w:t>
            </w:r>
          </w:p>
        </w:tc>
        <w:tc>
          <w:tcPr>
            <w:tcW w:type="dxa" w:w="1440"/>
          </w:tcPr>
          <w:p>
            <w:r>
              <w:rPr>
                <w:rFonts w:ascii="宋体" w:hAnsi="宋体" w:eastAsia="宋体"/>
                <w:b w:val="0"/>
                <w:sz w:val="24"/>
              </w:rPr>
              <w:t>动态渲染</w:t>
            </w:r>
          </w:p>
        </w:tc>
        <w:tc>
          <w:tcPr>
            <w:tcW w:type="dxa" w:w="1440"/>
          </w:tcPr>
          <w:p>
            <w:r>
              <w:rPr>
                <w:rFonts w:ascii="宋体" w:hAnsi="宋体" w:eastAsia="宋体"/>
                <w:b w:val="0"/>
                <w:sz w:val="24"/>
              </w:rPr>
              <w:t>首页正则</w:t>
            </w:r>
          </w:p>
        </w:tc>
        <w:tc>
          <w:tcPr>
            <w:tcW w:type="dxa" w:w="1440"/>
          </w:tcPr>
          <w:p>
            <w:r>
              <w:rPr>
                <w:rFonts w:ascii="宋体" w:hAnsi="宋体" w:eastAsia="宋体"/>
                <w:b w:val="0"/>
                <w:sz w:val="24"/>
              </w:rPr>
              <w:t>`数据目录\s*([0-9,]+)`</w:t>
            </w:r>
          </w:p>
        </w:tc>
        <w:tc>
          <w:tcPr>
            <w:tcW w:type="dxa" w:w="1440"/>
          </w:tcPr>
          <w:p>
            <w:r>
              <w:rPr>
                <w:rFonts w:ascii="宋体" w:hAnsi="宋体" w:eastAsia="宋体"/>
                <w:b w:val="0"/>
                <w:sz w:val="24"/>
              </w:rPr>
              <w:t>数据目录数</w:t>
            </w:r>
          </w:p>
        </w:tc>
        <w:tc>
          <w:tcPr>
            <w:tcW w:type="dxa" w:w="1440"/>
          </w:tcPr>
          <w:p>
            <w:r>
              <w:rPr>
                <w:rFonts w:ascii="宋体" w:hAnsi="宋体" w:eastAsia="宋体"/>
                <w:b w:val="0"/>
                <w:sz w:val="24"/>
              </w:rPr>
              <w:t>React框架渲染</w:t>
            </w:r>
          </w:p>
        </w:tc>
      </w:tr>
    </w:tbl>
    <w:p>
      <w:r>
        <w:rPr>
          <w:rFonts w:ascii="宋体" w:hAnsi="宋体" w:eastAsia="宋体"/>
          <w:b w:val="0"/>
          <w:sz w:val="24"/>
        </w:rPr>
      </w:r>
      <w:r>
        <w:rPr>
          <w:rFonts w:ascii="宋体" w:hAnsi="宋体" w:eastAsia="宋体"/>
          <w:b w:val="0"/>
          <w:i/>
          <w:sz w:val="24"/>
        </w:rPr>
        <w:t>数据来源：OGD-Collector Pro规则映射表，2025年3月。</w:t>
      </w:r>
      <w:r>
        <w:rPr>
          <w:rFonts w:ascii="宋体" w:hAnsi="宋体" w:eastAsia="宋体"/>
          <w:b w:val="0"/>
          <w:sz w:val="24"/>
        </w:rPr>
      </w:r>
    </w:p>
    <w:p>
      <w:r>
        <w:rPr>
          <w:rFonts w:ascii="宋体" w:hAnsi="宋体" w:eastAsia="宋体"/>
          <w:b w:val="0"/>
          <w:sz w:val="24"/>
        </w:rPr>
        <w:t>提取规则的设计遵循了"最小侵入"原则——仅采集公开可见的数据（如首页显示的数据集数量、目录页面的条目统计），不尝试绕过平台的访问控制或获取未公开数据。同时，提取规则的设计考虑了平台的页面结构变化——通过多重验证机制（如同时匹配多个选择器、检查数据格式合理性）来降低因页面改版导致的采集失败风险。</w:t>
      </w:r>
    </w:p>
    <w:p>
      <w:pPr>
        <w:pStyle w:val="Heading3"/>
      </w:pPr>
      <w:r>
        <w:rPr>
          <w:rFonts w:ascii="黑体" w:hAnsi="黑体" w:eastAsia="黑体"/>
          <w:b/>
          <w:sz w:val="24"/>
        </w:rPr>
        <w:t>3.3 分层标准化体系</w:t>
      </w:r>
    </w:p>
    <w:p>
      <w:r>
        <w:rPr>
          <w:rFonts w:ascii="宋体" w:hAnsi="宋体" w:eastAsia="宋体"/>
          <w:b w:val="0"/>
          <w:sz w:val="24"/>
        </w:rPr>
        <w:t>分层标准化体系是本研究应对口径异构性的核心策略。针对五种数据口径类型，建立了转换系数体系，将异构口径统一为"标准数据集"数量（表3-2）。</w:t>
      </w:r>
    </w:p>
    <w:p>
      <w:r>
        <w:rPr>
          <w:rFonts w:ascii="宋体" w:hAnsi="宋体" w:eastAsia="宋体"/>
          <w:b w:val="0"/>
          <w:sz w:val="24"/>
        </w:rPr>
      </w:r>
      <w:r>
        <w:rPr>
          <w:rFonts w:ascii="宋体" w:hAnsi="宋体" w:eastAsia="宋体"/>
          <w:b/>
          <w:sz w:val="24"/>
        </w:rPr>
        <w:t>表3-2 数据口径转换系数</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原始口径</w:t>
            </w:r>
          </w:p>
        </w:tc>
        <w:tc>
          <w:tcPr>
            <w:tcW w:type="dxa" w:w="2160"/>
          </w:tcPr>
          <w:p>
            <w:r>
              <w:rPr>
                <w:rFonts w:ascii="宋体" w:hAnsi="宋体" w:eastAsia="宋体"/>
                <w:b w:val="0"/>
                <w:sz w:val="24"/>
              </w:rPr>
              <w:t>标准化口径</w:t>
            </w:r>
          </w:p>
        </w:tc>
        <w:tc>
          <w:tcPr>
            <w:tcW w:type="dxa" w:w="2160"/>
          </w:tcPr>
          <w:p>
            <w:r>
              <w:rPr>
                <w:rFonts w:ascii="宋体" w:hAnsi="宋体" w:eastAsia="宋体"/>
                <w:b w:val="0"/>
                <w:sz w:val="24"/>
              </w:rPr>
              <w:t>转换系数</w:t>
            </w:r>
          </w:p>
        </w:tc>
        <w:tc>
          <w:tcPr>
            <w:tcW w:type="dxa" w:w="2160"/>
          </w:tcPr>
          <w:p>
            <w:r>
              <w:rPr>
                <w:rFonts w:ascii="宋体" w:hAnsi="宋体" w:eastAsia="宋体"/>
                <w:b w:val="0"/>
                <w:sz w:val="24"/>
              </w:rPr>
              <w:t>理论依据</w:t>
            </w:r>
          </w:p>
        </w:tc>
      </w:tr>
      <w:tr>
        <w:tc>
          <w:tcPr>
            <w:tcW w:type="dxa" w:w="2160"/>
          </w:tcPr>
          <w:p>
            <w:r>
              <w:rPr>
                <w:rFonts w:ascii="宋体" w:hAnsi="宋体" w:eastAsia="宋体"/>
                <w:b w:val="0"/>
                <w:sz w:val="24"/>
              </w:rPr>
              <w:t>数据集（Dataset）</w:t>
            </w:r>
          </w:p>
        </w:tc>
        <w:tc>
          <w:tcPr>
            <w:tcW w:type="dxa" w:w="2160"/>
          </w:tcPr>
          <w:p>
            <w:r>
              <w:rPr>
                <w:rFonts w:ascii="宋体" w:hAnsi="宋体" w:eastAsia="宋体"/>
                <w:b w:val="0"/>
                <w:sz w:val="24"/>
              </w:rPr>
              <w:t>标准数据集</w:t>
            </w:r>
          </w:p>
        </w:tc>
        <w:tc>
          <w:tcPr>
            <w:tcW w:type="dxa" w:w="2160"/>
          </w:tcPr>
          <w:p>
            <w:r>
              <w:rPr>
                <w:rFonts w:ascii="宋体" w:hAnsi="宋体" w:eastAsia="宋体"/>
                <w:b w:val="0"/>
                <w:sz w:val="24"/>
              </w:rPr>
              <w:t>1.0</w:t>
            </w:r>
          </w:p>
        </w:tc>
        <w:tc>
          <w:tcPr>
            <w:tcW w:type="dxa" w:w="2160"/>
          </w:tcPr>
          <w:p>
            <w:r>
              <w:rPr>
                <w:rFonts w:ascii="宋体" w:hAnsi="宋体" w:eastAsia="宋体"/>
                <w:b w:val="0"/>
                <w:sz w:val="24"/>
              </w:rPr>
              <w:t>直接对应，一个数据集即一个标准数据集</w:t>
            </w:r>
          </w:p>
        </w:tc>
      </w:tr>
      <w:tr>
        <w:tc>
          <w:tcPr>
            <w:tcW w:type="dxa" w:w="2160"/>
          </w:tcPr>
          <w:p>
            <w:r>
              <w:rPr>
                <w:rFonts w:ascii="宋体" w:hAnsi="宋体" w:eastAsia="宋体"/>
                <w:b w:val="0"/>
                <w:sz w:val="24"/>
              </w:rPr>
              <w:t>数据目录（Data Catalog）</w:t>
            </w:r>
          </w:p>
        </w:tc>
        <w:tc>
          <w:tcPr>
            <w:tcW w:type="dxa" w:w="2160"/>
          </w:tcPr>
          <w:p>
            <w:r>
              <w:rPr>
                <w:rFonts w:ascii="宋体" w:hAnsi="宋体" w:eastAsia="宋体"/>
                <w:b w:val="0"/>
                <w:sz w:val="24"/>
              </w:rPr>
              <w:t>标准数据集</w:t>
            </w:r>
          </w:p>
        </w:tc>
        <w:tc>
          <w:tcPr>
            <w:tcW w:type="dxa" w:w="2160"/>
          </w:tcPr>
          <w:p>
            <w:r>
              <w:rPr>
                <w:rFonts w:ascii="宋体" w:hAnsi="宋体" w:eastAsia="宋体"/>
                <w:b w:val="0"/>
                <w:sz w:val="24"/>
              </w:rPr>
              <w:t>0.8</w:t>
            </w:r>
          </w:p>
        </w:tc>
        <w:tc>
          <w:tcPr>
            <w:tcW w:type="dxa" w:w="2160"/>
          </w:tcPr>
          <w:p>
            <w:r>
              <w:rPr>
                <w:rFonts w:ascii="宋体" w:hAnsi="宋体" w:eastAsia="宋体"/>
                <w:b w:val="0"/>
                <w:sz w:val="24"/>
              </w:rPr>
              <w:t>一个目录可能包含多个子集或重复条目，按80%折算</w:t>
            </w:r>
          </w:p>
        </w:tc>
      </w:tr>
      <w:tr>
        <w:tc>
          <w:tcPr>
            <w:tcW w:type="dxa" w:w="2160"/>
          </w:tcPr>
          <w:p>
            <w:r>
              <w:rPr>
                <w:rFonts w:ascii="宋体" w:hAnsi="宋体" w:eastAsia="宋体"/>
                <w:b w:val="0"/>
                <w:sz w:val="24"/>
              </w:rPr>
              <w:t>开放目录（Open Catalog）</w:t>
            </w:r>
          </w:p>
        </w:tc>
        <w:tc>
          <w:tcPr>
            <w:tcW w:type="dxa" w:w="2160"/>
          </w:tcPr>
          <w:p>
            <w:r>
              <w:rPr>
                <w:rFonts w:ascii="宋体" w:hAnsi="宋体" w:eastAsia="宋体"/>
                <w:b w:val="0"/>
                <w:sz w:val="24"/>
              </w:rPr>
              <w:t>标准数据集</w:t>
            </w:r>
          </w:p>
        </w:tc>
        <w:tc>
          <w:tcPr>
            <w:tcW w:type="dxa" w:w="2160"/>
          </w:tcPr>
          <w:p>
            <w:r>
              <w:rPr>
                <w:rFonts w:ascii="宋体" w:hAnsi="宋体" w:eastAsia="宋体"/>
                <w:b w:val="0"/>
                <w:sz w:val="24"/>
              </w:rPr>
              <w:t>0.8</w:t>
            </w:r>
          </w:p>
        </w:tc>
        <w:tc>
          <w:tcPr>
            <w:tcW w:type="dxa" w:w="2160"/>
          </w:tcPr>
          <w:p>
            <w:r>
              <w:rPr>
                <w:rFonts w:ascii="宋体" w:hAnsi="宋体" w:eastAsia="宋体"/>
                <w:b w:val="0"/>
                <w:sz w:val="24"/>
              </w:rPr>
              <w:t>同数据目录，可能包含元数据条目</w:t>
            </w:r>
          </w:p>
        </w:tc>
      </w:tr>
      <w:tr>
        <w:tc>
          <w:tcPr>
            <w:tcW w:type="dxa" w:w="2160"/>
          </w:tcPr>
          <w:p>
            <w:r>
              <w:rPr>
                <w:rFonts w:ascii="宋体" w:hAnsi="宋体" w:eastAsia="宋体"/>
                <w:b w:val="0"/>
                <w:sz w:val="24"/>
              </w:rPr>
              <w:t>数据产品（Data Product）</w:t>
            </w:r>
          </w:p>
        </w:tc>
        <w:tc>
          <w:tcPr>
            <w:tcW w:type="dxa" w:w="2160"/>
          </w:tcPr>
          <w:p>
            <w:r>
              <w:rPr>
                <w:rFonts w:ascii="宋体" w:hAnsi="宋体" w:eastAsia="宋体"/>
                <w:b w:val="0"/>
                <w:sz w:val="24"/>
              </w:rPr>
              <w:t>标准数据集</w:t>
            </w:r>
          </w:p>
        </w:tc>
        <w:tc>
          <w:tcPr>
            <w:tcW w:type="dxa" w:w="2160"/>
          </w:tcPr>
          <w:p>
            <w:r>
              <w:rPr>
                <w:rFonts w:ascii="宋体" w:hAnsi="宋体" w:eastAsia="宋体"/>
                <w:b w:val="0"/>
                <w:sz w:val="24"/>
              </w:rPr>
              <w:t>0.5</w:t>
            </w:r>
          </w:p>
        </w:tc>
        <w:tc>
          <w:tcPr>
            <w:tcW w:type="dxa" w:w="2160"/>
          </w:tcPr>
          <w:p>
            <w:r>
              <w:rPr>
                <w:rFonts w:ascii="宋体" w:hAnsi="宋体" w:eastAsia="宋体"/>
                <w:b w:val="0"/>
                <w:sz w:val="24"/>
              </w:rPr>
              <w:t>数据产品是加工后的数据，一个产品可能基于多个原始数据集</w:t>
            </w:r>
          </w:p>
        </w:tc>
      </w:tr>
      <w:tr>
        <w:tc>
          <w:tcPr>
            <w:tcW w:type="dxa" w:w="2160"/>
          </w:tcPr>
          <w:p>
            <w:r>
              <w:rPr>
                <w:rFonts w:ascii="宋体" w:hAnsi="宋体" w:eastAsia="宋体"/>
                <w:b w:val="0"/>
                <w:sz w:val="24"/>
              </w:rPr>
              <w:t>数据登记（Data Registration）</w:t>
            </w:r>
          </w:p>
        </w:tc>
        <w:tc>
          <w:tcPr>
            <w:tcW w:type="dxa" w:w="2160"/>
          </w:tcPr>
          <w:p>
            <w:r>
              <w:rPr>
                <w:rFonts w:ascii="宋体" w:hAnsi="宋体" w:eastAsia="宋体"/>
                <w:b w:val="0"/>
                <w:sz w:val="24"/>
              </w:rPr>
              <w:t>标准数据集</w:t>
            </w:r>
          </w:p>
        </w:tc>
        <w:tc>
          <w:tcPr>
            <w:tcW w:type="dxa" w:w="2160"/>
          </w:tcPr>
          <w:p>
            <w:r>
              <w:rPr>
                <w:rFonts w:ascii="宋体" w:hAnsi="宋体" w:eastAsia="宋体"/>
                <w:b w:val="0"/>
                <w:sz w:val="24"/>
              </w:rPr>
              <w:t>0.3</w:t>
            </w:r>
          </w:p>
        </w:tc>
        <w:tc>
          <w:tcPr>
            <w:tcW w:type="dxa" w:w="2160"/>
          </w:tcPr>
          <w:p>
            <w:r>
              <w:rPr>
                <w:rFonts w:ascii="宋体" w:hAnsi="宋体" w:eastAsia="宋体"/>
                <w:b w:val="0"/>
                <w:sz w:val="24"/>
              </w:rPr>
              <w:t>数据登记是元数据记录，非实质数据集</w:t>
            </w:r>
          </w:p>
        </w:tc>
      </w:tr>
    </w:tbl>
    <w:p>
      <w:r>
        <w:rPr>
          <w:rFonts w:ascii="宋体" w:hAnsi="宋体" w:eastAsia="宋体"/>
          <w:b w:val="0"/>
          <w:sz w:val="24"/>
        </w:rPr>
      </w:r>
      <w:r>
        <w:rPr>
          <w:rFonts w:ascii="宋体" w:hAnsi="宋体" w:eastAsia="宋体"/>
          <w:b w:val="0"/>
          <w:i/>
          <w:sz w:val="24"/>
        </w:rPr>
        <w:t>数据来源：作者基于概念分析和实证检验确定。</w:t>
      </w:r>
      <w:r>
        <w:rPr>
          <w:rFonts w:ascii="宋体" w:hAnsi="宋体" w:eastAsia="宋体"/>
          <w:b w:val="0"/>
          <w:sz w:val="24"/>
        </w:rPr>
      </w:r>
    </w:p>
    <w:p>
      <w:r>
        <w:rPr>
          <w:rFonts w:ascii="宋体" w:hAnsi="宋体" w:eastAsia="宋体"/>
          <w:b w:val="0"/>
          <w:sz w:val="24"/>
        </w:rPr>
        <w:t>转换系数的设定基于以下理论依据：</w:t>
      </w:r>
    </w:p>
    <w:p>
      <w:r>
        <w:rPr>
          <w:rFonts w:ascii="宋体" w:hAnsi="宋体" w:eastAsia="宋体"/>
          <w:b w:val="0"/>
          <w:sz w:val="24"/>
        </w:rPr>
      </w:r>
      <w:r>
        <w:rPr>
          <w:rFonts w:ascii="宋体" w:hAnsi="宋体" w:eastAsia="宋体"/>
          <w:b/>
          <w:sz w:val="24"/>
        </w:rPr>
        <w:t>数据集→标准数据集（系数1.0）：</w:t>
      </w:r>
      <w:r>
        <w:rPr>
          <w:rFonts w:ascii="宋体" w:hAnsi="宋体" w:eastAsia="宋体"/>
          <w:b w:val="0"/>
          <w:sz w:val="24"/>
        </w:rPr>
        <w:t xml:space="preserve"> "数据集"是最接近"标准数据集"概念的口径类型，二者在内涵上基本等价。但需要注意的是，不同平台对"数据集"的定义仍存在差异——有的平台将一个Excel文件计为一个数据集，有的平台将一个数据库表计为一个数据集。本研究通过"有效数据集"的判定标准（实质内容、可机读格式、完整元数据、近期更新）进一步筛选，确保"标准数据集"的可比性。</w:t>
      </w:r>
    </w:p>
    <w:p>
      <w:r>
        <w:rPr>
          <w:rFonts w:ascii="宋体" w:hAnsi="宋体" w:eastAsia="宋体"/>
          <w:b w:val="0"/>
          <w:sz w:val="24"/>
        </w:rPr>
      </w:r>
      <w:r>
        <w:rPr>
          <w:rFonts w:ascii="宋体" w:hAnsi="宋体" w:eastAsia="宋体"/>
          <w:b/>
          <w:sz w:val="24"/>
        </w:rPr>
        <w:t>数据目录→标准数据集（系数0.8）：</w:t>
      </w:r>
      <w:r>
        <w:rPr>
          <w:rFonts w:ascii="宋体" w:hAnsi="宋体" w:eastAsia="宋体"/>
          <w:b w:val="0"/>
          <w:sz w:val="24"/>
        </w:rPr>
        <w:t xml:space="preserve"> "数据目录"是一个集合概念，通常包含多个数据集或子目录。但由于平台在统计"数据目录"数量时，往往将子目录、虚拟目录和重复条目一并计入，导致"目录数量"系统性地高于"有效数据集数量"。转换系数0.8是对这种系统性膨胀的经验修正——基于23个平台的抽样核验数据，目录数量与有效数据集数量的平均比值约为0.8。</w:t>
      </w:r>
    </w:p>
    <w:p>
      <w:r>
        <w:rPr>
          <w:rFonts w:ascii="宋体" w:hAnsi="宋体" w:eastAsia="宋体"/>
          <w:b w:val="0"/>
          <w:sz w:val="24"/>
        </w:rPr>
      </w:r>
      <w:r>
        <w:rPr>
          <w:rFonts w:ascii="宋体" w:hAnsi="宋体" w:eastAsia="宋体"/>
          <w:b/>
          <w:sz w:val="24"/>
        </w:rPr>
        <w:t>数据产品→标准数据集（系数0.5）：</w:t>
      </w:r>
      <w:r>
        <w:rPr>
          <w:rFonts w:ascii="宋体" w:hAnsi="宋体" w:eastAsia="宋体"/>
          <w:b w:val="0"/>
          <w:sz w:val="24"/>
        </w:rPr>
        <w:t xml:space="preserve"> "数据产品"是加工后的数据形态，一个数据产品可能基于多个原始数据集加工而成。例如，一个"城市交通拥堵指数"数据产品可能融合了交通流量数据、道路网络数据和地理信息数据。因此，数据产品的"含金量"高于单一数据集，但数量上应进行折算——转换系数0.5意味着2个数据产品约等价于1个标准数据集。</w:t>
      </w:r>
    </w:p>
    <w:p>
      <w:r>
        <w:rPr>
          <w:rFonts w:ascii="宋体" w:hAnsi="宋体" w:eastAsia="宋体"/>
          <w:b w:val="0"/>
          <w:sz w:val="24"/>
        </w:rPr>
      </w:r>
      <w:r>
        <w:rPr>
          <w:rFonts w:ascii="宋体" w:hAnsi="宋体" w:eastAsia="宋体"/>
          <w:b/>
          <w:sz w:val="24"/>
        </w:rPr>
        <w:t>数据登记→标准数据集（系数0.3）：</w:t>
      </w:r>
      <w:r>
        <w:rPr>
          <w:rFonts w:ascii="宋体" w:hAnsi="宋体" w:eastAsia="宋体"/>
          <w:b w:val="0"/>
          <w:sz w:val="24"/>
        </w:rPr>
        <w:t xml:space="preserve"> "数据登记"是最远离"标准数据集"概念的口径类型——它通常仅包含数据的元信息（名称、描述、发布机构等），而不包含实质的数据内容。转换系数0.3反映了数据登记与实质数据集之间的巨大差距。</w:t>
      </w:r>
    </w:p>
    <w:p>
      <w:r>
        <w:rPr>
          <w:rFonts w:ascii="宋体" w:hAnsi="宋体" w:eastAsia="宋体"/>
          <w:b w:val="0"/>
          <w:sz w:val="24"/>
        </w:rPr>
        <w:t>转换系数的合理性通过以下方式进行验证：将转换后的标准化数量与抽样核验的有效数据集数量进行比较，计算二者之间的相关系数。结果显示，标准化数量与有效数据集数量的Pearson相关系数为0.85（p&lt;0.01），表明转换系数体系具有较好的预测效度。</w:t>
      </w:r>
    </w:p>
    <w:p>
      <w:pPr>
        <w:pStyle w:val="Heading3"/>
      </w:pPr>
      <w:r>
        <w:rPr>
          <w:rFonts w:ascii="黑体" w:hAnsi="黑体" w:eastAsia="黑体"/>
          <w:b/>
          <w:sz w:val="24"/>
        </w:rPr>
        <w:t>3.4 置信度分级机制</w:t>
      </w:r>
    </w:p>
    <w:p>
      <w:r>
        <w:rPr>
          <w:rFonts w:ascii="宋体" w:hAnsi="宋体" w:eastAsia="宋体"/>
          <w:b w:val="0"/>
          <w:sz w:val="24"/>
        </w:rPr>
        <w:t>置信度分级机制是本研究应对状态异构性的核心策略。根据数据采集方式和数据质量，将采集结果分为A、B、C、D四个等级（表3-3）。</w:t>
      </w:r>
    </w:p>
    <w:p>
      <w:r>
        <w:rPr>
          <w:rFonts w:ascii="宋体" w:hAnsi="宋体" w:eastAsia="宋体"/>
          <w:b w:val="0"/>
          <w:sz w:val="24"/>
        </w:rPr>
      </w:r>
      <w:r>
        <w:rPr>
          <w:rFonts w:ascii="宋体" w:hAnsi="宋体" w:eastAsia="宋体"/>
          <w:b/>
          <w:sz w:val="24"/>
        </w:rPr>
        <w:t>表3-3 数据质量置信度分级</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等级</w:t>
            </w:r>
          </w:p>
        </w:tc>
        <w:tc>
          <w:tcPr>
            <w:tcW w:type="dxa" w:w="1728"/>
          </w:tcPr>
          <w:p>
            <w:r>
              <w:rPr>
                <w:rFonts w:ascii="宋体" w:hAnsi="宋体" w:eastAsia="宋体"/>
                <w:b w:val="0"/>
                <w:sz w:val="24"/>
              </w:rPr>
              <w:t>标准</w:t>
            </w:r>
          </w:p>
        </w:tc>
        <w:tc>
          <w:tcPr>
            <w:tcW w:type="dxa" w:w="1728"/>
          </w:tcPr>
          <w:p>
            <w:r>
              <w:rPr>
                <w:rFonts w:ascii="宋体" w:hAnsi="宋体" w:eastAsia="宋体"/>
                <w:b w:val="0"/>
                <w:sz w:val="24"/>
              </w:rPr>
              <w:t>平台数</w:t>
            </w:r>
          </w:p>
        </w:tc>
        <w:tc>
          <w:tcPr>
            <w:tcW w:type="dxa" w:w="1728"/>
          </w:tcPr>
          <w:p>
            <w:r>
              <w:rPr>
                <w:rFonts w:ascii="宋体" w:hAnsi="宋体" w:eastAsia="宋体"/>
                <w:b w:val="0"/>
                <w:sz w:val="24"/>
              </w:rPr>
              <w:t>占比</w:t>
            </w:r>
          </w:p>
        </w:tc>
        <w:tc>
          <w:tcPr>
            <w:tcW w:type="dxa" w:w="1728"/>
          </w:tcPr>
          <w:p>
            <w:r>
              <w:rPr>
                <w:rFonts w:ascii="宋体" w:hAnsi="宋体" w:eastAsia="宋体"/>
                <w:b w:val="0"/>
                <w:sz w:val="24"/>
              </w:rPr>
              <w:t>处理方式</w:t>
            </w:r>
          </w:p>
        </w:tc>
      </w:tr>
      <w:tr>
        <w:tc>
          <w:tcPr>
            <w:tcW w:type="dxa" w:w="1728"/>
          </w:tcPr>
          <w:p>
            <w:r>
              <w:rPr>
                <w:rFonts w:ascii="宋体" w:hAnsi="宋体" w:eastAsia="宋体"/>
                <w:b w:val="0"/>
                <w:sz w:val="24"/>
              </w:rPr>
              <w:t>A级（高置信度）</w:t>
            </w:r>
          </w:p>
        </w:tc>
        <w:tc>
          <w:tcPr>
            <w:tcW w:type="dxa" w:w="1728"/>
          </w:tcPr>
          <w:p>
            <w:r>
              <w:rPr>
                <w:rFonts w:ascii="宋体" w:hAnsi="宋体" w:eastAsia="宋体"/>
                <w:b w:val="0"/>
                <w:sz w:val="24"/>
              </w:rPr>
              <w:t>自主采集，上下文明确，数据完整</w:t>
            </w:r>
          </w:p>
        </w:tc>
        <w:tc>
          <w:tcPr>
            <w:tcW w:type="dxa" w:w="1728"/>
          </w:tcPr>
          <w:p>
            <w:r>
              <w:rPr>
                <w:rFonts w:ascii="宋体" w:hAnsi="宋体" w:eastAsia="宋体"/>
                <w:b w:val="0"/>
                <w:sz w:val="24"/>
              </w:rPr>
              <w:t>15</w:t>
            </w:r>
          </w:p>
        </w:tc>
        <w:tc>
          <w:tcPr>
            <w:tcW w:type="dxa" w:w="1728"/>
          </w:tcPr>
          <w:p>
            <w:r>
              <w:rPr>
                <w:rFonts w:ascii="宋体" w:hAnsi="宋体" w:eastAsia="宋体"/>
                <w:b w:val="0"/>
                <w:sz w:val="24"/>
              </w:rPr>
              <w:t>65.2%</w:t>
            </w:r>
          </w:p>
        </w:tc>
        <w:tc>
          <w:tcPr>
            <w:tcW w:type="dxa" w:w="1728"/>
          </w:tcPr>
          <w:p>
            <w:r>
              <w:rPr>
                <w:rFonts w:ascii="宋体" w:hAnsi="宋体" w:eastAsia="宋体"/>
                <w:b w:val="0"/>
                <w:sz w:val="24"/>
              </w:rPr>
              <w:t>直接纳入核心分析</w:t>
            </w:r>
          </w:p>
        </w:tc>
      </w:tr>
      <w:tr>
        <w:tc>
          <w:tcPr>
            <w:tcW w:type="dxa" w:w="1728"/>
          </w:tcPr>
          <w:p>
            <w:r>
              <w:rPr>
                <w:rFonts w:ascii="宋体" w:hAnsi="宋体" w:eastAsia="宋体"/>
                <w:b w:val="0"/>
                <w:sz w:val="24"/>
              </w:rPr>
              <w:t>B级（中等置信度）</w:t>
            </w:r>
          </w:p>
        </w:tc>
        <w:tc>
          <w:tcPr>
            <w:tcW w:type="dxa" w:w="1728"/>
          </w:tcPr>
          <w:p>
            <w:r>
              <w:rPr>
                <w:rFonts w:ascii="宋体" w:hAnsi="宋体" w:eastAsia="宋体"/>
                <w:b w:val="0"/>
                <w:sz w:val="24"/>
              </w:rPr>
              <w:t>第三方数据或需验证，数据基本完整</w:t>
            </w:r>
          </w:p>
        </w:tc>
        <w:tc>
          <w:tcPr>
            <w:tcW w:type="dxa" w:w="1728"/>
          </w:tcPr>
          <w:p>
            <w:r>
              <w:rPr>
                <w:rFonts w:ascii="宋体" w:hAnsi="宋体" w:eastAsia="宋体"/>
                <w:b w:val="0"/>
                <w:sz w:val="24"/>
              </w:rPr>
              <w:t>4</w:t>
            </w:r>
          </w:p>
        </w:tc>
        <w:tc>
          <w:tcPr>
            <w:tcW w:type="dxa" w:w="1728"/>
          </w:tcPr>
          <w:p>
            <w:r>
              <w:rPr>
                <w:rFonts w:ascii="宋体" w:hAnsi="宋体" w:eastAsia="宋体"/>
                <w:b w:val="0"/>
                <w:sz w:val="24"/>
              </w:rPr>
              <w:t>17.4%</w:t>
            </w:r>
          </w:p>
        </w:tc>
        <w:tc>
          <w:tcPr>
            <w:tcW w:type="dxa" w:w="1728"/>
          </w:tcPr>
          <w:p>
            <w:r>
              <w:rPr>
                <w:rFonts w:ascii="宋体" w:hAnsi="宋体" w:eastAsia="宋体"/>
                <w:b w:val="0"/>
                <w:sz w:val="24"/>
              </w:rPr>
              <w:t>纳入分析，标注来源</w:t>
            </w:r>
          </w:p>
        </w:tc>
      </w:tr>
      <w:tr>
        <w:tc>
          <w:tcPr>
            <w:tcW w:type="dxa" w:w="1728"/>
          </w:tcPr>
          <w:p>
            <w:r>
              <w:rPr>
                <w:rFonts w:ascii="宋体" w:hAnsi="宋体" w:eastAsia="宋体"/>
                <w:b w:val="0"/>
                <w:sz w:val="24"/>
              </w:rPr>
              <w:t>C级（低置信度）</w:t>
            </w:r>
          </w:p>
        </w:tc>
        <w:tc>
          <w:tcPr>
            <w:tcW w:type="dxa" w:w="1728"/>
          </w:tcPr>
          <w:p>
            <w:r>
              <w:rPr>
                <w:rFonts w:ascii="宋体" w:hAnsi="宋体" w:eastAsia="宋体"/>
                <w:b w:val="0"/>
                <w:sz w:val="24"/>
              </w:rPr>
              <w:t>历史数据或替代形式，数据部分缺失</w:t>
            </w:r>
          </w:p>
        </w:tc>
        <w:tc>
          <w:tcPr>
            <w:tcW w:type="dxa" w:w="1728"/>
          </w:tcPr>
          <w:p>
            <w:r>
              <w:rPr>
                <w:rFonts w:ascii="宋体" w:hAnsi="宋体" w:eastAsia="宋体"/>
                <w:b w:val="0"/>
                <w:sz w:val="24"/>
              </w:rPr>
              <w:t>2</w:t>
            </w:r>
          </w:p>
        </w:tc>
        <w:tc>
          <w:tcPr>
            <w:tcW w:type="dxa" w:w="1728"/>
          </w:tcPr>
          <w:p>
            <w:r>
              <w:rPr>
                <w:rFonts w:ascii="宋体" w:hAnsi="宋体" w:eastAsia="宋体"/>
                <w:b w:val="0"/>
                <w:sz w:val="24"/>
              </w:rPr>
              <w:t>8.7%</w:t>
            </w:r>
          </w:p>
        </w:tc>
        <w:tc>
          <w:tcPr>
            <w:tcW w:type="dxa" w:w="1728"/>
          </w:tcPr>
          <w:p>
            <w:r>
              <w:rPr>
                <w:rFonts w:ascii="宋体" w:hAnsi="宋体" w:eastAsia="宋体"/>
                <w:b w:val="0"/>
                <w:sz w:val="24"/>
              </w:rPr>
              <w:t>纳入分析，降低权重</w:t>
            </w:r>
          </w:p>
        </w:tc>
      </w:tr>
      <w:tr>
        <w:tc>
          <w:tcPr>
            <w:tcW w:type="dxa" w:w="1728"/>
          </w:tcPr>
          <w:p>
            <w:r>
              <w:rPr>
                <w:rFonts w:ascii="宋体" w:hAnsi="宋体" w:eastAsia="宋体"/>
                <w:b w:val="0"/>
                <w:sz w:val="24"/>
              </w:rPr>
              <w:t>D级（缺失/不可信）</w:t>
            </w:r>
          </w:p>
        </w:tc>
        <w:tc>
          <w:tcPr>
            <w:tcW w:type="dxa" w:w="1728"/>
          </w:tcPr>
          <w:p>
            <w:r>
              <w:rPr>
                <w:rFonts w:ascii="宋体" w:hAnsi="宋体" w:eastAsia="宋体"/>
                <w:b w:val="0"/>
                <w:sz w:val="24"/>
              </w:rPr>
              <w:t>无法获取或数据明显异常</w:t>
            </w:r>
          </w:p>
        </w:tc>
        <w:tc>
          <w:tcPr>
            <w:tcW w:type="dxa" w:w="1728"/>
          </w:tcPr>
          <w:p>
            <w:r>
              <w:rPr>
                <w:rFonts w:ascii="宋体" w:hAnsi="宋体" w:eastAsia="宋体"/>
                <w:b w:val="0"/>
                <w:sz w:val="24"/>
              </w:rPr>
              <w:t>2</w:t>
            </w:r>
          </w:p>
        </w:tc>
        <w:tc>
          <w:tcPr>
            <w:tcW w:type="dxa" w:w="1728"/>
          </w:tcPr>
          <w:p>
            <w:r>
              <w:rPr>
                <w:rFonts w:ascii="宋体" w:hAnsi="宋体" w:eastAsia="宋体"/>
                <w:b w:val="0"/>
                <w:sz w:val="24"/>
              </w:rPr>
              <w:t>8.7%</w:t>
            </w:r>
          </w:p>
        </w:tc>
        <w:tc>
          <w:tcPr>
            <w:tcW w:type="dxa" w:w="1728"/>
          </w:tcPr>
          <w:p>
            <w:r>
              <w:rPr>
                <w:rFonts w:ascii="宋体" w:hAnsi="宋体" w:eastAsia="宋体"/>
                <w:b w:val="0"/>
                <w:sz w:val="24"/>
              </w:rPr>
              <w:t>排除出核心分析</w:t>
            </w:r>
          </w:p>
        </w:tc>
      </w:tr>
    </w:tbl>
    <w:p>
      <w:r>
        <w:rPr>
          <w:rFonts w:ascii="宋体" w:hAnsi="宋体" w:eastAsia="宋体"/>
          <w:b w:val="0"/>
          <w:sz w:val="24"/>
        </w:rPr>
      </w:r>
      <w:r>
        <w:rPr>
          <w:rFonts w:ascii="宋体" w:hAnsi="宋体" w:eastAsia="宋体"/>
          <w:b w:val="0"/>
          <w:i/>
          <w:sz w:val="24"/>
        </w:rPr>
        <w:t>数据来源：OGD-Collector Pro采集质量报告，2025年3月。</w:t>
      </w:r>
      <w:r>
        <w:rPr>
          <w:rFonts w:ascii="宋体" w:hAnsi="宋体" w:eastAsia="宋体"/>
          <w:b w:val="0"/>
          <w:sz w:val="24"/>
        </w:rPr>
      </w:r>
    </w:p>
    <w:p>
      <w:r>
        <w:rPr>
          <w:rFonts w:ascii="宋体" w:hAnsi="宋体" w:eastAsia="宋体"/>
          <w:b w:val="0"/>
          <w:sz w:val="24"/>
        </w:rPr>
        <w:t>置信度分级的判定标准包括五个维度：</w:t>
      </w:r>
    </w:p>
    <w:p>
      <w:r>
        <w:rPr>
          <w:rFonts w:ascii="宋体" w:hAnsi="宋体" w:eastAsia="宋体"/>
          <w:b w:val="0"/>
          <w:sz w:val="24"/>
        </w:rPr>
      </w:r>
      <w:r>
        <w:rPr>
          <w:rFonts w:ascii="宋体" w:hAnsi="宋体" w:eastAsia="宋体"/>
          <w:b/>
          <w:sz w:val="24"/>
        </w:rPr>
        <w:t>采集方式维度。</w:t>
      </w:r>
      <w:r>
        <w:rPr>
          <w:rFonts w:ascii="宋体" w:hAnsi="宋体" w:eastAsia="宋体"/>
          <w:b w:val="0"/>
          <w:sz w:val="24"/>
        </w:rPr>
        <w:t xml:space="preserve"> A级要求数据由OGD-Collector Pro系统自主采集，采集过程完全透明可追溯；B级允许数据来源于第三方（如平台自我申报、其他研究机构），但需经过交叉验证；C级允许使用历史数据或替代形式（如平台关闭前的最后一次采集数据），但需标注数据时效性；D级要求排除无法获取或数据明显异常的平台。</w:t>
      </w:r>
    </w:p>
    <w:p>
      <w:r>
        <w:rPr>
          <w:rFonts w:ascii="宋体" w:hAnsi="宋体" w:eastAsia="宋体"/>
          <w:b w:val="0"/>
          <w:sz w:val="24"/>
        </w:rPr>
      </w:r>
      <w:r>
        <w:rPr>
          <w:rFonts w:ascii="宋体" w:hAnsi="宋体" w:eastAsia="宋体"/>
          <w:b/>
          <w:sz w:val="24"/>
        </w:rPr>
        <w:t>上下文明确维度。</w:t>
      </w:r>
      <w:r>
        <w:rPr>
          <w:rFonts w:ascii="宋体" w:hAnsi="宋体" w:eastAsia="宋体"/>
          <w:b w:val="0"/>
          <w:sz w:val="24"/>
        </w:rPr>
        <w:t xml:space="preserve"> A级要求采集到的数据具有明确的上下文信息（采集时间、采集URL、提取规则版本等）；B级允许上下文信息部分缺失，但核心数据字段完整；C级允许上下文信息缺失较多，但数据本身可理解；D级要求排除上下文完全缺失且无法理解的数据。</w:t>
      </w:r>
    </w:p>
    <w:p>
      <w:r>
        <w:rPr>
          <w:rFonts w:ascii="宋体" w:hAnsi="宋体" w:eastAsia="宋体"/>
          <w:b w:val="0"/>
          <w:sz w:val="24"/>
        </w:rPr>
      </w:r>
      <w:r>
        <w:rPr>
          <w:rFonts w:ascii="宋体" w:hAnsi="宋体" w:eastAsia="宋体"/>
          <w:b/>
          <w:sz w:val="24"/>
        </w:rPr>
        <w:t>数据完整维度。</w:t>
      </w:r>
      <w:r>
        <w:rPr>
          <w:rFonts w:ascii="宋体" w:hAnsi="宋体" w:eastAsia="宋体"/>
          <w:b w:val="0"/>
          <w:sz w:val="24"/>
        </w:rPr>
        <w:t xml:space="preserve"> A级要求所有核心数据字段完整无缺失；B级允许少量非核心字段缺失；C级允许部分核心字段缺失，但关键指标（如数据集数量）可获取；D级要求排除核心数据严重缺失的平台。</w:t>
      </w:r>
    </w:p>
    <w:p>
      <w:r>
        <w:rPr>
          <w:rFonts w:ascii="宋体" w:hAnsi="宋体" w:eastAsia="宋体"/>
          <w:b w:val="0"/>
          <w:sz w:val="24"/>
        </w:rPr>
      </w:r>
      <w:r>
        <w:rPr>
          <w:rFonts w:ascii="宋体" w:hAnsi="宋体" w:eastAsia="宋体"/>
          <w:b/>
          <w:sz w:val="24"/>
        </w:rPr>
        <w:t>数据一致维度。</w:t>
      </w:r>
      <w:r>
        <w:rPr>
          <w:rFonts w:ascii="宋体" w:hAnsi="宋体" w:eastAsia="宋体"/>
          <w:b w:val="0"/>
          <w:sz w:val="24"/>
        </w:rPr>
        <w:t xml:space="preserve"> A级要求数据在不同采集批次之间保持一致，无显著矛盾；B级允许轻微波动，但波动在合理范围内；C级允许较大波动，但能提供合理解释；D级要求排除数据自相矛盾且无法解释的平台。</w:t>
      </w:r>
    </w:p>
    <w:p>
      <w:r>
        <w:rPr>
          <w:rFonts w:ascii="宋体" w:hAnsi="宋体" w:eastAsia="宋体"/>
          <w:b w:val="0"/>
          <w:sz w:val="24"/>
        </w:rPr>
      </w:r>
      <w:r>
        <w:rPr>
          <w:rFonts w:ascii="宋体" w:hAnsi="宋体" w:eastAsia="宋体"/>
          <w:b/>
          <w:sz w:val="24"/>
        </w:rPr>
        <w:t>人工核验维度。</w:t>
      </w:r>
      <w:r>
        <w:rPr>
          <w:rFonts w:ascii="宋体" w:hAnsi="宋体" w:eastAsia="宋体"/>
          <w:b w:val="0"/>
          <w:sz w:val="24"/>
        </w:rPr>
        <w:t xml:space="preserve"> A级要求通过人工抽样核验，核验结果与自动化采集结果一致；B级要求人工核验基本通过，存在少量差异；C级要求人工核验发现较大差异，但差异可解释；D级要求排除人工核验发现严重不符的平台。</w:t>
      </w:r>
    </w:p>
    <w:p>
      <w:pPr>
        <w:pStyle w:val="Heading3"/>
      </w:pPr>
      <w:r>
        <w:rPr>
          <w:rFonts w:ascii="黑体" w:hAnsi="黑体" w:eastAsia="黑体"/>
          <w:b/>
          <w:sz w:val="24"/>
        </w:rPr>
        <w:t>3.5 多源三角验证</w:t>
      </w:r>
    </w:p>
    <w:p>
      <w:r>
        <w:rPr>
          <w:rFonts w:ascii="宋体" w:hAnsi="宋体" w:eastAsia="宋体"/>
          <w:b w:val="0"/>
          <w:sz w:val="24"/>
        </w:rPr>
        <w:t>为增强采集结果的可靠性，本研究采用了多源三角验证策略（表3-4）。</w:t>
      </w:r>
    </w:p>
    <w:p>
      <w:r>
        <w:rPr>
          <w:rFonts w:ascii="宋体" w:hAnsi="宋体" w:eastAsia="宋体"/>
          <w:b w:val="0"/>
          <w:sz w:val="24"/>
        </w:rPr>
      </w:r>
      <w:r>
        <w:rPr>
          <w:rFonts w:ascii="宋体" w:hAnsi="宋体" w:eastAsia="宋体"/>
          <w:b/>
          <w:sz w:val="24"/>
        </w:rPr>
        <w:t>表3-4 多源三角验证策略</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验证类型</w:t>
            </w:r>
          </w:p>
        </w:tc>
        <w:tc>
          <w:tcPr>
            <w:tcW w:type="dxa" w:w="2160"/>
          </w:tcPr>
          <w:p>
            <w:r>
              <w:rPr>
                <w:rFonts w:ascii="宋体" w:hAnsi="宋体" w:eastAsia="宋体"/>
                <w:b w:val="0"/>
                <w:sz w:val="24"/>
              </w:rPr>
              <w:t>验证方式</w:t>
            </w:r>
          </w:p>
        </w:tc>
        <w:tc>
          <w:tcPr>
            <w:tcW w:type="dxa" w:w="2160"/>
          </w:tcPr>
          <w:p>
            <w:r>
              <w:rPr>
                <w:rFonts w:ascii="宋体" w:hAnsi="宋体" w:eastAsia="宋体"/>
                <w:b w:val="0"/>
                <w:sz w:val="24"/>
              </w:rPr>
              <w:t>验证目的</w:t>
            </w:r>
          </w:p>
        </w:tc>
        <w:tc>
          <w:tcPr>
            <w:tcW w:type="dxa" w:w="2160"/>
          </w:tcPr>
          <w:p>
            <w:r>
              <w:rPr>
                <w:rFonts w:ascii="宋体" w:hAnsi="宋体" w:eastAsia="宋体"/>
                <w:b w:val="0"/>
                <w:sz w:val="24"/>
              </w:rPr>
              <w:t>验证结果</w:t>
            </w:r>
          </w:p>
        </w:tc>
      </w:tr>
      <w:tr>
        <w:tc>
          <w:tcPr>
            <w:tcW w:type="dxa" w:w="2160"/>
          </w:tcPr>
          <w:p>
            <w:r>
              <w:rPr>
                <w:rFonts w:ascii="宋体" w:hAnsi="宋体" w:eastAsia="宋体"/>
                <w:b w:val="0"/>
                <w:sz w:val="24"/>
              </w:rPr>
              <w:t>采集工具三角</w:t>
            </w:r>
          </w:p>
        </w:tc>
        <w:tc>
          <w:tcPr>
            <w:tcW w:type="dxa" w:w="2160"/>
          </w:tcPr>
          <w:p>
            <w:r>
              <w:rPr>
                <w:rFonts w:ascii="宋体" w:hAnsi="宋体" w:eastAsia="宋体"/>
                <w:b w:val="0"/>
                <w:sz w:val="24"/>
              </w:rPr>
              <w:t>Playwright + BeautifulSoup + 正则</w:t>
            </w:r>
          </w:p>
        </w:tc>
        <w:tc>
          <w:tcPr>
            <w:tcW w:type="dxa" w:w="2160"/>
          </w:tcPr>
          <w:p>
            <w:r>
              <w:rPr>
                <w:rFonts w:ascii="宋体" w:hAnsi="宋体" w:eastAsia="宋体"/>
                <w:b w:val="0"/>
                <w:sz w:val="24"/>
              </w:rPr>
              <w:t>验证提取结果一致性</w:t>
            </w:r>
          </w:p>
        </w:tc>
        <w:tc>
          <w:tcPr>
            <w:tcW w:type="dxa" w:w="2160"/>
          </w:tcPr>
          <w:p>
            <w:r>
              <w:rPr>
                <w:rFonts w:ascii="宋体" w:hAnsi="宋体" w:eastAsia="宋体"/>
                <w:b w:val="0"/>
                <w:sz w:val="24"/>
              </w:rPr>
              <w:t>三种工具提取结果一致性&gt;95%</w:t>
            </w:r>
          </w:p>
        </w:tc>
      </w:tr>
      <w:tr>
        <w:tc>
          <w:tcPr>
            <w:tcW w:type="dxa" w:w="2160"/>
          </w:tcPr>
          <w:p>
            <w:r>
              <w:rPr>
                <w:rFonts w:ascii="宋体" w:hAnsi="宋体" w:eastAsia="宋体"/>
                <w:b w:val="0"/>
                <w:sz w:val="24"/>
              </w:rPr>
              <w:t>时间三角</w:t>
            </w:r>
          </w:p>
        </w:tc>
        <w:tc>
          <w:tcPr>
            <w:tcW w:type="dxa" w:w="2160"/>
          </w:tcPr>
          <w:p>
            <w:r>
              <w:rPr>
                <w:rFonts w:ascii="宋体" w:hAnsi="宋体" w:eastAsia="宋体"/>
                <w:b w:val="0"/>
                <w:sz w:val="24"/>
              </w:rPr>
              <w:t>多次采集（间隔1周）</w:t>
            </w:r>
          </w:p>
        </w:tc>
        <w:tc>
          <w:tcPr>
            <w:tcW w:type="dxa" w:w="2160"/>
          </w:tcPr>
          <w:p>
            <w:r>
              <w:rPr>
                <w:rFonts w:ascii="宋体" w:hAnsi="宋体" w:eastAsia="宋体"/>
                <w:b w:val="0"/>
                <w:sz w:val="24"/>
              </w:rPr>
              <w:t>验证数据稳定性</w:t>
            </w:r>
          </w:p>
        </w:tc>
        <w:tc>
          <w:tcPr>
            <w:tcW w:type="dxa" w:w="2160"/>
          </w:tcPr>
          <w:p>
            <w:r>
              <w:rPr>
                <w:rFonts w:ascii="宋体" w:hAnsi="宋体" w:eastAsia="宋体"/>
                <w:b w:val="0"/>
                <w:sz w:val="24"/>
              </w:rPr>
              <w:t>95%平台数据波动&lt;5%</w:t>
            </w:r>
          </w:p>
        </w:tc>
      </w:tr>
      <w:tr>
        <w:tc>
          <w:tcPr>
            <w:tcW w:type="dxa" w:w="2160"/>
          </w:tcPr>
          <w:p>
            <w:r>
              <w:rPr>
                <w:rFonts w:ascii="宋体" w:hAnsi="宋体" w:eastAsia="宋体"/>
                <w:b w:val="0"/>
                <w:sz w:val="24"/>
              </w:rPr>
              <w:t>来源三角</w:t>
            </w:r>
          </w:p>
        </w:tc>
        <w:tc>
          <w:tcPr>
            <w:tcW w:type="dxa" w:w="2160"/>
          </w:tcPr>
          <w:p>
            <w:r>
              <w:rPr>
                <w:rFonts w:ascii="宋体" w:hAnsi="宋体" w:eastAsia="宋体"/>
                <w:b w:val="0"/>
                <w:sz w:val="24"/>
              </w:rPr>
              <w:t>平台官网 + 第三方监测 + 文献数据</w:t>
            </w:r>
          </w:p>
        </w:tc>
        <w:tc>
          <w:tcPr>
            <w:tcW w:type="dxa" w:w="2160"/>
          </w:tcPr>
          <w:p>
            <w:r>
              <w:rPr>
                <w:rFonts w:ascii="宋体" w:hAnsi="宋体" w:eastAsia="宋体"/>
                <w:b w:val="0"/>
                <w:sz w:val="24"/>
              </w:rPr>
              <w:t>验证数据准确性</w:t>
            </w:r>
          </w:p>
        </w:tc>
        <w:tc>
          <w:tcPr>
            <w:tcW w:type="dxa" w:w="2160"/>
          </w:tcPr>
          <w:p>
            <w:r>
              <w:rPr>
                <w:rFonts w:ascii="宋体" w:hAnsi="宋体" w:eastAsia="宋体"/>
                <w:b w:val="0"/>
                <w:sz w:val="24"/>
              </w:rPr>
              <w:t>85%平台与第三方数据一致</w:t>
            </w:r>
          </w:p>
        </w:tc>
      </w:tr>
      <w:tr>
        <w:tc>
          <w:tcPr>
            <w:tcW w:type="dxa" w:w="2160"/>
          </w:tcPr>
          <w:p>
            <w:r>
              <w:rPr>
                <w:rFonts w:ascii="宋体" w:hAnsi="宋体" w:eastAsia="宋体"/>
                <w:b w:val="0"/>
                <w:sz w:val="24"/>
              </w:rPr>
              <w:t>人员三角</w:t>
            </w:r>
          </w:p>
        </w:tc>
        <w:tc>
          <w:tcPr>
            <w:tcW w:type="dxa" w:w="2160"/>
          </w:tcPr>
          <w:p>
            <w:r>
              <w:rPr>
                <w:rFonts w:ascii="宋体" w:hAnsi="宋体" w:eastAsia="宋体"/>
                <w:b w:val="0"/>
                <w:sz w:val="24"/>
              </w:rPr>
              <w:t>两名研究员独立核验</w:t>
            </w:r>
          </w:p>
        </w:tc>
        <w:tc>
          <w:tcPr>
            <w:tcW w:type="dxa" w:w="2160"/>
          </w:tcPr>
          <w:p>
            <w:r>
              <w:rPr>
                <w:rFonts w:ascii="宋体" w:hAnsi="宋体" w:eastAsia="宋体"/>
                <w:b w:val="0"/>
                <w:sz w:val="24"/>
              </w:rPr>
              <w:t>验证人工判断一致性</w:t>
            </w:r>
          </w:p>
        </w:tc>
        <w:tc>
          <w:tcPr>
            <w:tcW w:type="dxa" w:w="2160"/>
          </w:tcPr>
          <w:p>
            <w:r>
              <w:rPr>
                <w:rFonts w:ascii="宋体" w:hAnsi="宋体" w:eastAsia="宋体"/>
                <w:b w:val="0"/>
                <w:sz w:val="24"/>
              </w:rPr>
              <w:t>Kappa系数=0.82</w:t>
            </w:r>
          </w:p>
        </w:tc>
      </w:tr>
    </w:tbl>
    <w:p>
      <w:r>
        <w:rPr>
          <w:rFonts w:ascii="宋体" w:hAnsi="宋体" w:eastAsia="宋体"/>
          <w:b w:val="0"/>
          <w:sz w:val="24"/>
        </w:rPr>
      </w:r>
      <w:r>
        <w:rPr>
          <w:rFonts w:ascii="宋体" w:hAnsi="宋体" w:eastAsia="宋体"/>
          <w:b w:val="0"/>
          <w:i/>
          <w:sz w:val="24"/>
        </w:rPr>
        <w:t>数据来源：OGD-Collector Pro采集质量报告，2025年3月。</w:t>
      </w:r>
      <w:r>
        <w:rPr>
          <w:rFonts w:ascii="宋体" w:hAnsi="宋体" w:eastAsia="宋体"/>
          <w:b w:val="0"/>
          <w:sz w:val="24"/>
        </w:rPr>
      </w:r>
    </w:p>
    <w:p>
      <w:r>
        <w:rPr>
          <w:rFonts w:ascii="宋体" w:hAnsi="宋体" w:eastAsia="宋体"/>
          <w:b w:val="0"/>
          <w:sz w:val="24"/>
        </w:rPr>
      </w:r>
      <w:r>
        <w:rPr>
          <w:rFonts w:ascii="宋体" w:hAnsi="宋体" w:eastAsia="宋体"/>
          <w:b/>
          <w:sz w:val="24"/>
        </w:rPr>
        <w:t>采集工具三角验证。</w:t>
      </w:r>
      <w:r>
        <w:rPr>
          <w:rFonts w:ascii="宋体" w:hAnsi="宋体" w:eastAsia="宋体"/>
          <w:b w:val="0"/>
          <w:sz w:val="24"/>
        </w:rPr>
        <w:t xml:space="preserve"> 对同一平台同时使用Playwright、BeautifulSoup和正则表达式三种工具进行数据采集，比较三种工具的提取结果。结果显示，三种工具的数据提取一致性超过95%，表明提取规则的设计具有较好的稳健性。采集工具三角验证的实质是"方法冗余"——当多种独立的方法产生一致的结果时，结果的可信度显著提高。在科学哲学中，这一逻辑被称为"证据汇聚"（convergence of evidence）——不同来源的证据指向同一结论时，结论的可靠性得到增强。本研究的三种提取工具基于完全不同的技术原理（浏览器模拟 vs HTML解析 vs 文本匹配），它们的一致性结果强有力地证明了采集数据的客观性和可靠性。</w:t>
      </w:r>
    </w:p>
    <w:p>
      <w:r>
        <w:rPr>
          <w:rFonts w:ascii="宋体" w:hAnsi="宋体" w:eastAsia="宋体"/>
          <w:b w:val="0"/>
          <w:sz w:val="24"/>
        </w:rPr>
      </w:r>
      <w:r>
        <w:rPr>
          <w:rFonts w:ascii="宋体" w:hAnsi="宋体" w:eastAsia="宋体"/>
          <w:b/>
          <w:sz w:val="24"/>
        </w:rPr>
        <w:t>时间三角验证。</w:t>
      </w:r>
      <w:r>
        <w:rPr>
          <w:rFonts w:ascii="宋体" w:hAnsi="宋体" w:eastAsia="宋体"/>
          <w:b w:val="0"/>
          <w:sz w:val="24"/>
        </w:rPr>
        <w:t xml:space="preserve"> 对同一平台进行多次采集（间隔1周），比较不同时间点的采集结果。结果显示，95%的平台数据波动小于5%，表明平台数据在短期内的稳定性较好。波动超过5%的平台被标记为"数据动态变化"，采集结果需标注采集时间。时间三角验证的意义在于排除"一次性异常"对采集结果的干扰——某些平台可能在特定时间点进行大规模的数据更新或系统维护，导致该时间点的采集结果偏离常态。通过多次采集并观察数据的稳定性，可以识别出这些"异常波动"并予以标注或排除。本研究发现，波动超过5%的平台主要有两类：一类是正在进行系统改版或数据迁移的平台（如页面结构调整导致数据集数量统计方式变化），另一类是定期批量上传数据的平台（如某些平台每季度集中更新一次数据，导致更新当周的 dataset 数量大幅波动）。对于这两类平台，本研究在最终分析中采用了"多次采集均值"作为代表值，以降低异常波动的影响。</w:t>
      </w:r>
    </w:p>
    <w:p>
      <w:r>
        <w:rPr>
          <w:rFonts w:ascii="宋体" w:hAnsi="宋体" w:eastAsia="宋体"/>
          <w:b w:val="0"/>
          <w:sz w:val="24"/>
        </w:rPr>
      </w:r>
      <w:r>
        <w:rPr>
          <w:rFonts w:ascii="宋体" w:hAnsi="宋体" w:eastAsia="宋体"/>
          <w:b/>
          <w:sz w:val="24"/>
        </w:rPr>
        <w:t>来源三角验证。</w:t>
      </w:r>
      <w:r>
        <w:rPr>
          <w:rFonts w:ascii="宋体" w:hAnsi="宋体" w:eastAsia="宋体"/>
          <w:b w:val="0"/>
          <w:sz w:val="24"/>
        </w:rPr>
        <w:t xml:space="preserve"> 将OGD-Collector Pro的采集结果与平台官网公示数据、第三方监测数据（如开放数林指数）和文献数据进行交叉比对。结果显示，85%的平台数据与第三方来源一致，不一致的平台被标记为"数据来源争议"，需进一步核查。来源三角验证的实质是"独立证据汇聚"——当多个独立来源的数据指向同一数值时，该数值的可信度显著增强。本研究的三类来源具有不同的利益立场和采集方法：平台官网数据由平台运营者自行维护，可能存在"报喜不报忧"的倾向；第三方监测数据由独立研究机构采集，相对客观但覆盖范围有限；文献数据来自已发表的学术论文，经过了同行评议的检验。三类来源的一致性结果（85%）强有力地证明了本研究采集数据的可靠性。对于不一致的15%平台，本研究进行了深入核查，发现不一致的原因主要有三类：平台官网数据更新滞后（官网数据为上月统计，采集数据为实时数据）、第三方监测采用不同统计口径（如开放数林指数仅统计特定主题领域的数据集）、文献数据基于历史时点（学术论文的数据采集时间早于本研究）。通过识别不一致的原因，本研究对数据进行了相应的调整和标注，确保了最终分析数据的准确性。</w:t>
      </w:r>
    </w:p>
    <w:p>
      <w:r>
        <w:rPr>
          <w:rFonts w:ascii="宋体" w:hAnsi="宋体" w:eastAsia="宋体"/>
          <w:b w:val="0"/>
          <w:sz w:val="24"/>
        </w:rPr>
      </w:r>
      <w:r>
        <w:rPr>
          <w:rFonts w:ascii="宋体" w:hAnsi="宋体" w:eastAsia="宋体"/>
          <w:b/>
          <w:sz w:val="24"/>
        </w:rPr>
        <w:t>人员三角验证。</w:t>
      </w:r>
      <w:r>
        <w:rPr>
          <w:rFonts w:ascii="宋体" w:hAnsi="宋体" w:eastAsia="宋体"/>
          <w:b w:val="0"/>
          <w:sz w:val="24"/>
        </w:rPr>
        <w:t xml:space="preserve"> 由两名研究员独立进行人工抽样核验，计算核验结果的一致性（Kappa系数）。Kappa系数为0.82，表明两名研究员的核验判断具有高度一致性（Kappa&gt;0.80为"几乎完全一致"）。人员三角验证的设计旨在排除"个体主观偏见"对核验结果的影响——不同的研究者可能对同一数据集的"有效性"有不同的判断标准，如果仅由一名研究者进行核验，其结果可能受到个人经验和偏见的干扰。通过两名研究者独立核验并计算一致性系数，可以量化核验结果的可靠性。Kappa系数0.82意味着两名研究者的判断一致性超过了"偶然一致"的预期水平，核验结果具有较强的可信度。对于Kappa系数低于0.80的指标，本研究进行了三人会商讨论，直至达成一致意见。</w:t>
      </w:r>
    </w:p>
    <w:p>
      <w:pPr>
        <w:pStyle w:val="Heading2"/>
      </w:pPr>
      <w:r>
        <w:rPr>
          <w:rFonts w:ascii="黑体" w:hAnsi="黑体" w:eastAsia="黑体"/>
          <w:b/>
          <w:sz w:val="28"/>
        </w:rPr>
        <w:t>4 实证：23平台采集实践</w:t>
      </w:r>
    </w:p>
    <w:p>
      <w:pPr>
        <w:pStyle w:val="Heading3"/>
      </w:pPr>
      <w:r>
        <w:rPr>
          <w:rFonts w:ascii="黑体" w:hAnsi="黑体" w:eastAsia="黑体"/>
          <w:b/>
          <w:sz w:val="24"/>
        </w:rPr>
        <w:t>4.1 采集结果概览</w:t>
      </w:r>
    </w:p>
    <w:p>
      <w:r>
        <w:rPr>
          <w:rFonts w:ascii="宋体" w:hAnsi="宋体" w:eastAsia="宋体"/>
          <w:b w:val="0"/>
          <w:sz w:val="24"/>
        </w:rPr>
        <w:t>经过为期一个月（2025年3月1日至3月31日）的系统性采集，OGD-Collector Pro系统完成了对全国31个省级平台的采集任务。经过数据质量检验，23个平台的数据满足定量分析要求，被纳入核心分析样本。表4-1报告了23个平台的采集结果。</w:t>
      </w:r>
    </w:p>
    <w:p>
      <w:r>
        <w:rPr>
          <w:rFonts w:ascii="宋体" w:hAnsi="宋体" w:eastAsia="宋体"/>
          <w:b w:val="0"/>
          <w:sz w:val="24"/>
        </w:rPr>
      </w:r>
      <w:r>
        <w:rPr>
          <w:rFonts w:ascii="宋体" w:hAnsi="宋体" w:eastAsia="宋体"/>
          <w:b/>
          <w:sz w:val="24"/>
        </w:rPr>
        <w:t>表4-1 23个省级平台采集结果汇总</w:t>
      </w:r>
      <w:r>
        <w:rPr>
          <w:rFonts w:ascii="宋体" w:hAnsi="宋体" w:eastAsia="宋体"/>
          <w:b w:val="0"/>
          <w:sz w:val="24"/>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4"/>
              </w:rPr>
              <w:t>排名</w:t>
            </w:r>
          </w:p>
        </w:tc>
        <w:tc>
          <w:tcPr>
            <w:tcW w:type="dxa" w:w="1234"/>
          </w:tcPr>
          <w:p>
            <w:r>
              <w:rPr>
                <w:rFonts w:ascii="宋体" w:hAnsi="宋体" w:eastAsia="宋体"/>
                <w:b w:val="0"/>
                <w:sz w:val="24"/>
              </w:rPr>
              <w:t>平台</w:t>
            </w:r>
          </w:p>
        </w:tc>
        <w:tc>
          <w:tcPr>
            <w:tcW w:type="dxa" w:w="1234"/>
          </w:tcPr>
          <w:p>
            <w:r>
              <w:rPr>
                <w:rFonts w:ascii="宋体" w:hAnsi="宋体" w:eastAsia="宋体"/>
                <w:b w:val="0"/>
                <w:sz w:val="24"/>
              </w:rPr>
              <w:t>原始数量</w:t>
            </w:r>
          </w:p>
        </w:tc>
        <w:tc>
          <w:tcPr>
            <w:tcW w:type="dxa" w:w="1234"/>
          </w:tcPr>
          <w:p>
            <w:r>
              <w:rPr>
                <w:rFonts w:ascii="宋体" w:hAnsi="宋体" w:eastAsia="宋体"/>
                <w:b w:val="0"/>
                <w:sz w:val="24"/>
              </w:rPr>
              <w:t>口径类型</w:t>
            </w:r>
          </w:p>
        </w:tc>
        <w:tc>
          <w:tcPr>
            <w:tcW w:type="dxa" w:w="1234"/>
          </w:tcPr>
          <w:p>
            <w:r>
              <w:rPr>
                <w:rFonts w:ascii="宋体" w:hAnsi="宋体" w:eastAsia="宋体"/>
                <w:b w:val="0"/>
                <w:sz w:val="24"/>
              </w:rPr>
              <w:t>转换系数</w:t>
            </w:r>
          </w:p>
        </w:tc>
        <w:tc>
          <w:tcPr>
            <w:tcW w:type="dxa" w:w="1234"/>
          </w:tcPr>
          <w:p>
            <w:r>
              <w:rPr>
                <w:rFonts w:ascii="宋体" w:hAnsi="宋体" w:eastAsia="宋体"/>
                <w:b w:val="0"/>
                <w:sz w:val="24"/>
              </w:rPr>
              <w:t>标准化数量</w:t>
            </w:r>
          </w:p>
        </w:tc>
        <w:tc>
          <w:tcPr>
            <w:tcW w:type="dxa" w:w="1234"/>
          </w:tcPr>
          <w:p>
            <w:r>
              <w:rPr>
                <w:rFonts w:ascii="宋体" w:hAnsi="宋体" w:eastAsia="宋体"/>
                <w:b w:val="0"/>
                <w:sz w:val="24"/>
              </w:rPr>
              <w:t>置信度</w:t>
            </w:r>
          </w:p>
        </w:tc>
      </w:tr>
      <w:tr>
        <w:tc>
          <w:tcPr>
            <w:tcW w:type="dxa" w:w="1234"/>
          </w:tcPr>
          <w:p>
            <w:r>
              <w:rPr>
                <w:rFonts w:ascii="宋体" w:hAnsi="宋体" w:eastAsia="宋体"/>
                <w:b w:val="0"/>
                <w:sz w:val="24"/>
              </w:rPr>
              <w:t>1</w:t>
            </w:r>
          </w:p>
        </w:tc>
        <w:tc>
          <w:tcPr>
            <w:tcW w:type="dxa" w:w="1234"/>
          </w:tcPr>
          <w:p>
            <w:r>
              <w:rPr>
                <w:rFonts w:ascii="宋体" w:hAnsi="宋体" w:eastAsia="宋体"/>
                <w:b w:val="0"/>
                <w:sz w:val="24"/>
              </w:rPr>
              <w:t>广东</w:t>
            </w:r>
          </w:p>
        </w:tc>
        <w:tc>
          <w:tcPr>
            <w:tcW w:type="dxa" w:w="1234"/>
          </w:tcPr>
          <w:p>
            <w:r>
              <w:rPr>
                <w:rFonts w:ascii="宋体" w:hAnsi="宋体" w:eastAsia="宋体"/>
                <w:b w:val="0"/>
                <w:sz w:val="24"/>
              </w:rPr>
              <w:t>97,528</w:t>
            </w:r>
          </w:p>
        </w:tc>
        <w:tc>
          <w:tcPr>
            <w:tcW w:type="dxa" w:w="1234"/>
          </w:tcPr>
          <w:p>
            <w:r>
              <w:rPr>
                <w:rFonts w:ascii="宋体" w:hAnsi="宋体" w:eastAsia="宋体"/>
                <w:b w:val="0"/>
                <w:sz w:val="24"/>
              </w:rPr>
              <w:t>数据集</w:t>
            </w:r>
          </w:p>
        </w:tc>
        <w:tc>
          <w:tcPr>
            <w:tcW w:type="dxa" w:w="1234"/>
          </w:tcPr>
          <w:p>
            <w:r>
              <w:rPr>
                <w:rFonts w:ascii="宋体" w:hAnsi="宋体" w:eastAsia="宋体"/>
                <w:b w:val="0"/>
                <w:sz w:val="24"/>
              </w:rPr>
              <w:t>1.0</w:t>
            </w:r>
          </w:p>
        </w:tc>
        <w:tc>
          <w:tcPr>
            <w:tcW w:type="dxa" w:w="1234"/>
          </w:tcPr>
          <w:p>
            <w:r>
              <w:rPr>
                <w:rFonts w:ascii="宋体" w:hAnsi="宋体" w:eastAsia="宋体"/>
                <w:b w:val="0"/>
                <w:sz w:val="24"/>
              </w:rPr>
              <w:t>97,528</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2</w:t>
            </w:r>
          </w:p>
        </w:tc>
        <w:tc>
          <w:tcPr>
            <w:tcW w:type="dxa" w:w="1234"/>
          </w:tcPr>
          <w:p>
            <w:r>
              <w:rPr>
                <w:rFonts w:ascii="宋体" w:hAnsi="宋体" w:eastAsia="宋体"/>
                <w:b w:val="0"/>
                <w:sz w:val="24"/>
              </w:rPr>
              <w:t>山东</w:t>
            </w:r>
          </w:p>
        </w:tc>
        <w:tc>
          <w:tcPr>
            <w:tcW w:type="dxa" w:w="1234"/>
          </w:tcPr>
          <w:p>
            <w:r>
              <w:rPr>
                <w:rFonts w:ascii="宋体" w:hAnsi="宋体" w:eastAsia="宋体"/>
                <w:b w:val="0"/>
                <w:sz w:val="24"/>
              </w:rPr>
              <w:t>63,656</w:t>
            </w:r>
          </w:p>
        </w:tc>
        <w:tc>
          <w:tcPr>
            <w:tcW w:type="dxa" w:w="1234"/>
          </w:tcPr>
          <w:p>
            <w:r>
              <w:rPr>
                <w:rFonts w:ascii="宋体" w:hAnsi="宋体" w:eastAsia="宋体"/>
                <w:b w:val="0"/>
                <w:sz w:val="24"/>
              </w:rPr>
              <w:t>数据目录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50,925</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3</w:t>
            </w:r>
          </w:p>
        </w:tc>
        <w:tc>
          <w:tcPr>
            <w:tcW w:type="dxa" w:w="1234"/>
          </w:tcPr>
          <w:p>
            <w:r>
              <w:rPr>
                <w:rFonts w:ascii="宋体" w:hAnsi="宋体" w:eastAsia="宋体"/>
                <w:b w:val="0"/>
                <w:sz w:val="24"/>
              </w:rPr>
              <w:t>浙江</w:t>
            </w:r>
          </w:p>
        </w:tc>
        <w:tc>
          <w:tcPr>
            <w:tcW w:type="dxa" w:w="1234"/>
          </w:tcPr>
          <w:p>
            <w:r>
              <w:rPr>
                <w:rFonts w:ascii="宋体" w:hAnsi="宋体" w:eastAsia="宋体"/>
                <w:b w:val="0"/>
                <w:sz w:val="24"/>
              </w:rPr>
              <w:t>38,000</w:t>
            </w:r>
          </w:p>
        </w:tc>
        <w:tc>
          <w:tcPr>
            <w:tcW w:type="dxa" w:w="1234"/>
          </w:tcPr>
          <w:p>
            <w:r>
              <w:rPr>
                <w:rFonts w:ascii="宋体" w:hAnsi="宋体" w:eastAsia="宋体"/>
                <w:b w:val="0"/>
                <w:sz w:val="24"/>
              </w:rPr>
              <w:t>公共数据集</w:t>
            </w:r>
          </w:p>
        </w:tc>
        <w:tc>
          <w:tcPr>
            <w:tcW w:type="dxa" w:w="1234"/>
          </w:tcPr>
          <w:p>
            <w:r>
              <w:rPr>
                <w:rFonts w:ascii="宋体" w:hAnsi="宋体" w:eastAsia="宋体"/>
                <w:b w:val="0"/>
                <w:sz w:val="24"/>
              </w:rPr>
              <w:t>1.0</w:t>
            </w:r>
          </w:p>
        </w:tc>
        <w:tc>
          <w:tcPr>
            <w:tcW w:type="dxa" w:w="1234"/>
          </w:tcPr>
          <w:p>
            <w:r>
              <w:rPr>
                <w:rFonts w:ascii="宋体" w:hAnsi="宋体" w:eastAsia="宋体"/>
                <w:b w:val="0"/>
                <w:sz w:val="24"/>
              </w:rPr>
              <w:t>38,000</w:t>
            </w:r>
          </w:p>
        </w:tc>
        <w:tc>
          <w:tcPr>
            <w:tcW w:type="dxa" w:w="1234"/>
          </w:tcPr>
          <w:p>
            <w:r>
              <w:rPr>
                <w:rFonts w:ascii="宋体" w:hAnsi="宋体" w:eastAsia="宋体"/>
                <w:b w:val="0"/>
                <w:sz w:val="24"/>
              </w:rPr>
              <w:t>B</w:t>
            </w:r>
          </w:p>
        </w:tc>
      </w:tr>
      <w:tr>
        <w:tc>
          <w:tcPr>
            <w:tcW w:type="dxa" w:w="1234"/>
          </w:tcPr>
          <w:p>
            <w:r>
              <w:rPr>
                <w:rFonts w:ascii="宋体" w:hAnsi="宋体" w:eastAsia="宋体"/>
                <w:b w:val="0"/>
                <w:sz w:val="24"/>
              </w:rPr>
              <w:t>4</w:t>
            </w:r>
          </w:p>
        </w:tc>
        <w:tc>
          <w:tcPr>
            <w:tcW w:type="dxa" w:w="1234"/>
          </w:tcPr>
          <w:p>
            <w:r>
              <w:rPr>
                <w:rFonts w:ascii="宋体" w:hAnsi="宋体" w:eastAsia="宋体"/>
                <w:b w:val="0"/>
                <w:sz w:val="24"/>
              </w:rPr>
              <w:t>海南</w:t>
            </w:r>
          </w:p>
        </w:tc>
        <w:tc>
          <w:tcPr>
            <w:tcW w:type="dxa" w:w="1234"/>
          </w:tcPr>
          <w:p>
            <w:r>
              <w:rPr>
                <w:rFonts w:ascii="宋体" w:hAnsi="宋体" w:eastAsia="宋体"/>
                <w:b w:val="0"/>
                <w:sz w:val="24"/>
              </w:rPr>
              <w:t>35,835</w:t>
            </w:r>
          </w:p>
        </w:tc>
        <w:tc>
          <w:tcPr>
            <w:tcW w:type="dxa" w:w="1234"/>
          </w:tcPr>
          <w:p>
            <w:r>
              <w:rPr>
                <w:rFonts w:ascii="宋体" w:hAnsi="宋体" w:eastAsia="宋体"/>
                <w:b w:val="0"/>
                <w:sz w:val="24"/>
              </w:rPr>
              <w:t>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28,668</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5</w:t>
            </w:r>
          </w:p>
        </w:tc>
        <w:tc>
          <w:tcPr>
            <w:tcW w:type="dxa" w:w="1234"/>
          </w:tcPr>
          <w:p>
            <w:r>
              <w:rPr>
                <w:rFonts w:ascii="宋体" w:hAnsi="宋体" w:eastAsia="宋体"/>
                <w:b w:val="0"/>
                <w:sz w:val="24"/>
              </w:rPr>
              <w:t>湖北</w:t>
            </w:r>
          </w:p>
        </w:tc>
        <w:tc>
          <w:tcPr>
            <w:tcW w:type="dxa" w:w="1234"/>
          </w:tcPr>
          <w:p>
            <w:r>
              <w:rPr>
                <w:rFonts w:ascii="宋体" w:hAnsi="宋体" w:eastAsia="宋体"/>
                <w:b w:val="0"/>
                <w:sz w:val="24"/>
              </w:rPr>
              <w:t>24,119</w:t>
            </w:r>
          </w:p>
        </w:tc>
        <w:tc>
          <w:tcPr>
            <w:tcW w:type="dxa" w:w="1234"/>
          </w:tcPr>
          <w:p>
            <w:r>
              <w:rPr>
                <w:rFonts w:ascii="宋体" w:hAnsi="宋体" w:eastAsia="宋体"/>
                <w:b w:val="0"/>
                <w:sz w:val="24"/>
              </w:rPr>
              <w:t>数据目录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19,295</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6</w:t>
            </w:r>
          </w:p>
        </w:tc>
        <w:tc>
          <w:tcPr>
            <w:tcW w:type="dxa" w:w="1234"/>
          </w:tcPr>
          <w:p>
            <w:r>
              <w:rPr>
                <w:rFonts w:ascii="宋体" w:hAnsi="宋体" w:eastAsia="宋体"/>
                <w:b w:val="0"/>
                <w:sz w:val="24"/>
              </w:rPr>
              <w:t>重庆</w:t>
            </w:r>
          </w:p>
        </w:tc>
        <w:tc>
          <w:tcPr>
            <w:tcW w:type="dxa" w:w="1234"/>
          </w:tcPr>
          <w:p>
            <w:r>
              <w:rPr>
                <w:rFonts w:ascii="宋体" w:hAnsi="宋体" w:eastAsia="宋体"/>
                <w:b w:val="0"/>
                <w:sz w:val="24"/>
              </w:rPr>
              <w:t>22,550</w:t>
            </w:r>
          </w:p>
        </w:tc>
        <w:tc>
          <w:tcPr>
            <w:tcW w:type="dxa" w:w="1234"/>
          </w:tcPr>
          <w:p>
            <w:r>
              <w:rPr>
                <w:rFonts w:ascii="宋体" w:hAnsi="宋体" w:eastAsia="宋体"/>
                <w:b w:val="0"/>
                <w:sz w:val="24"/>
              </w:rPr>
              <w:t>数据集</w:t>
            </w:r>
          </w:p>
        </w:tc>
        <w:tc>
          <w:tcPr>
            <w:tcW w:type="dxa" w:w="1234"/>
          </w:tcPr>
          <w:p>
            <w:r>
              <w:rPr>
                <w:rFonts w:ascii="宋体" w:hAnsi="宋体" w:eastAsia="宋体"/>
                <w:b w:val="0"/>
                <w:sz w:val="24"/>
              </w:rPr>
              <w:t>1.0</w:t>
            </w:r>
          </w:p>
        </w:tc>
        <w:tc>
          <w:tcPr>
            <w:tcW w:type="dxa" w:w="1234"/>
          </w:tcPr>
          <w:p>
            <w:r>
              <w:rPr>
                <w:rFonts w:ascii="宋体" w:hAnsi="宋体" w:eastAsia="宋体"/>
                <w:b w:val="0"/>
                <w:sz w:val="24"/>
              </w:rPr>
              <w:t>22,550</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7</w:t>
            </w:r>
          </w:p>
        </w:tc>
        <w:tc>
          <w:tcPr>
            <w:tcW w:type="dxa" w:w="1234"/>
          </w:tcPr>
          <w:p>
            <w:r>
              <w:rPr>
                <w:rFonts w:ascii="宋体" w:hAnsi="宋体" w:eastAsia="宋体"/>
                <w:b w:val="0"/>
                <w:sz w:val="24"/>
              </w:rPr>
              <w:t>广西</w:t>
            </w:r>
          </w:p>
        </w:tc>
        <w:tc>
          <w:tcPr>
            <w:tcW w:type="dxa" w:w="1234"/>
          </w:tcPr>
          <w:p>
            <w:r>
              <w:rPr>
                <w:rFonts w:ascii="宋体" w:hAnsi="宋体" w:eastAsia="宋体"/>
                <w:b w:val="0"/>
                <w:sz w:val="24"/>
              </w:rPr>
              <w:t>10,162</w:t>
            </w:r>
          </w:p>
        </w:tc>
        <w:tc>
          <w:tcPr>
            <w:tcW w:type="dxa" w:w="1234"/>
          </w:tcPr>
          <w:p>
            <w:r>
              <w:rPr>
                <w:rFonts w:ascii="宋体" w:hAnsi="宋体" w:eastAsia="宋体"/>
                <w:b w:val="0"/>
                <w:sz w:val="24"/>
              </w:rPr>
              <w:t>目录总数</w:t>
            </w:r>
          </w:p>
        </w:tc>
        <w:tc>
          <w:tcPr>
            <w:tcW w:type="dxa" w:w="1234"/>
          </w:tcPr>
          <w:p>
            <w:r>
              <w:rPr>
                <w:rFonts w:ascii="宋体" w:hAnsi="宋体" w:eastAsia="宋体"/>
                <w:b w:val="0"/>
                <w:sz w:val="24"/>
              </w:rPr>
              <w:t>0.8</w:t>
            </w:r>
          </w:p>
        </w:tc>
        <w:tc>
          <w:tcPr>
            <w:tcW w:type="dxa" w:w="1234"/>
          </w:tcPr>
          <w:p>
            <w:r>
              <w:rPr>
                <w:rFonts w:ascii="宋体" w:hAnsi="宋体" w:eastAsia="宋体"/>
                <w:b w:val="0"/>
                <w:sz w:val="24"/>
              </w:rPr>
              <w:t>8,130</w:t>
            </w:r>
          </w:p>
        </w:tc>
        <w:tc>
          <w:tcPr>
            <w:tcW w:type="dxa" w:w="1234"/>
          </w:tcPr>
          <w:p>
            <w:r>
              <w:rPr>
                <w:rFonts w:ascii="宋体" w:hAnsi="宋体" w:eastAsia="宋体"/>
                <w:b w:val="0"/>
                <w:sz w:val="24"/>
              </w:rPr>
              <w:t>B</w:t>
            </w:r>
          </w:p>
        </w:tc>
      </w:tr>
      <w:tr>
        <w:tc>
          <w:tcPr>
            <w:tcW w:type="dxa" w:w="1234"/>
          </w:tcPr>
          <w:p>
            <w:r>
              <w:rPr>
                <w:rFonts w:ascii="宋体" w:hAnsi="宋体" w:eastAsia="宋体"/>
                <w:b w:val="0"/>
                <w:sz w:val="24"/>
              </w:rPr>
              <w:t>8</w:t>
            </w:r>
          </w:p>
        </w:tc>
        <w:tc>
          <w:tcPr>
            <w:tcW w:type="dxa" w:w="1234"/>
          </w:tcPr>
          <w:p>
            <w:r>
              <w:rPr>
                <w:rFonts w:ascii="宋体" w:hAnsi="宋体" w:eastAsia="宋体"/>
                <w:b w:val="0"/>
                <w:sz w:val="24"/>
              </w:rPr>
              <w:t>上海</w:t>
            </w:r>
          </w:p>
        </w:tc>
        <w:tc>
          <w:tcPr>
            <w:tcW w:type="dxa" w:w="1234"/>
          </w:tcPr>
          <w:p>
            <w:r>
              <w:rPr>
                <w:rFonts w:ascii="宋体" w:hAnsi="宋体" w:eastAsia="宋体"/>
                <w:b w:val="0"/>
                <w:sz w:val="24"/>
              </w:rPr>
              <w:t>10,753</w:t>
            </w:r>
          </w:p>
        </w:tc>
        <w:tc>
          <w:tcPr>
            <w:tcW w:type="dxa" w:w="1234"/>
          </w:tcPr>
          <w:p>
            <w:r>
              <w:rPr>
                <w:rFonts w:ascii="宋体" w:hAnsi="宋体" w:eastAsia="宋体"/>
                <w:b w:val="0"/>
                <w:sz w:val="24"/>
              </w:rPr>
              <w:t>数据集</w:t>
            </w:r>
          </w:p>
        </w:tc>
        <w:tc>
          <w:tcPr>
            <w:tcW w:type="dxa" w:w="1234"/>
          </w:tcPr>
          <w:p>
            <w:r>
              <w:rPr>
                <w:rFonts w:ascii="宋体" w:hAnsi="宋体" w:eastAsia="宋体"/>
                <w:b w:val="0"/>
                <w:sz w:val="24"/>
              </w:rPr>
              <w:t>1.0</w:t>
            </w:r>
          </w:p>
        </w:tc>
        <w:tc>
          <w:tcPr>
            <w:tcW w:type="dxa" w:w="1234"/>
          </w:tcPr>
          <w:p>
            <w:r>
              <w:rPr>
                <w:rFonts w:ascii="宋体" w:hAnsi="宋体" w:eastAsia="宋体"/>
                <w:b w:val="0"/>
                <w:sz w:val="24"/>
              </w:rPr>
              <w:t>10,753</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9</w:t>
            </w:r>
          </w:p>
        </w:tc>
        <w:tc>
          <w:tcPr>
            <w:tcW w:type="dxa" w:w="1234"/>
          </w:tcPr>
          <w:p>
            <w:r>
              <w:rPr>
                <w:rFonts w:ascii="宋体" w:hAnsi="宋体" w:eastAsia="宋体"/>
                <w:b w:val="0"/>
                <w:sz w:val="24"/>
              </w:rPr>
              <w:t>贵州</w:t>
            </w:r>
          </w:p>
        </w:tc>
        <w:tc>
          <w:tcPr>
            <w:tcW w:type="dxa" w:w="1234"/>
          </w:tcPr>
          <w:p>
            <w:r>
              <w:rPr>
                <w:rFonts w:ascii="宋体" w:hAnsi="宋体" w:eastAsia="宋体"/>
                <w:b w:val="0"/>
                <w:sz w:val="24"/>
              </w:rPr>
              <w:t>9,042</w:t>
            </w:r>
          </w:p>
        </w:tc>
        <w:tc>
          <w:tcPr>
            <w:tcW w:type="dxa" w:w="1234"/>
          </w:tcPr>
          <w:p>
            <w:r>
              <w:rPr>
                <w:rFonts w:ascii="宋体" w:hAnsi="宋体" w:eastAsia="宋体"/>
                <w:b w:val="0"/>
                <w:sz w:val="24"/>
              </w:rPr>
              <w:t>数据集</w:t>
            </w:r>
          </w:p>
        </w:tc>
        <w:tc>
          <w:tcPr>
            <w:tcW w:type="dxa" w:w="1234"/>
          </w:tcPr>
          <w:p>
            <w:r>
              <w:rPr>
                <w:rFonts w:ascii="宋体" w:hAnsi="宋体" w:eastAsia="宋体"/>
                <w:b w:val="0"/>
                <w:sz w:val="24"/>
              </w:rPr>
              <w:t>1.0</w:t>
            </w:r>
          </w:p>
        </w:tc>
        <w:tc>
          <w:tcPr>
            <w:tcW w:type="dxa" w:w="1234"/>
          </w:tcPr>
          <w:p>
            <w:r>
              <w:rPr>
                <w:rFonts w:ascii="宋体" w:hAnsi="宋体" w:eastAsia="宋体"/>
                <w:b w:val="0"/>
                <w:sz w:val="24"/>
              </w:rPr>
              <w:t>9,042</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10</w:t>
            </w:r>
          </w:p>
        </w:tc>
        <w:tc>
          <w:tcPr>
            <w:tcW w:type="dxa" w:w="1234"/>
          </w:tcPr>
          <w:p>
            <w:r>
              <w:rPr>
                <w:rFonts w:ascii="宋体" w:hAnsi="宋体" w:eastAsia="宋体"/>
                <w:b w:val="0"/>
                <w:sz w:val="24"/>
              </w:rPr>
              <w:t>四川</w:t>
            </w:r>
          </w:p>
        </w:tc>
        <w:tc>
          <w:tcPr>
            <w:tcW w:type="dxa" w:w="1234"/>
          </w:tcPr>
          <w:p>
            <w:r>
              <w:rPr>
                <w:rFonts w:ascii="宋体" w:hAnsi="宋体" w:eastAsia="宋体"/>
                <w:b w:val="0"/>
                <w:sz w:val="24"/>
              </w:rPr>
              <w:t>9,115</w:t>
            </w:r>
          </w:p>
        </w:tc>
        <w:tc>
          <w:tcPr>
            <w:tcW w:type="dxa" w:w="1234"/>
          </w:tcPr>
          <w:p>
            <w:r>
              <w:rPr>
                <w:rFonts w:ascii="宋体" w:hAnsi="宋体" w:eastAsia="宋体"/>
                <w:b w:val="0"/>
                <w:sz w:val="24"/>
              </w:rPr>
              <w:t>目录数量</w:t>
            </w:r>
          </w:p>
        </w:tc>
        <w:tc>
          <w:tcPr>
            <w:tcW w:type="dxa" w:w="1234"/>
          </w:tcPr>
          <w:p>
            <w:r>
              <w:rPr>
                <w:rFonts w:ascii="宋体" w:hAnsi="宋体" w:eastAsia="宋体"/>
                <w:b w:val="0"/>
                <w:sz w:val="24"/>
              </w:rPr>
              <w:t>0.8</w:t>
            </w:r>
          </w:p>
        </w:tc>
        <w:tc>
          <w:tcPr>
            <w:tcW w:type="dxa" w:w="1234"/>
          </w:tcPr>
          <w:p>
            <w:r>
              <w:rPr>
                <w:rFonts w:ascii="宋体" w:hAnsi="宋体" w:eastAsia="宋体"/>
                <w:b w:val="0"/>
                <w:sz w:val="24"/>
              </w:rPr>
              <w:t>7,292</w:t>
            </w:r>
          </w:p>
        </w:tc>
        <w:tc>
          <w:tcPr>
            <w:tcW w:type="dxa" w:w="1234"/>
          </w:tcPr>
          <w:p>
            <w:r>
              <w:rPr>
                <w:rFonts w:ascii="宋体" w:hAnsi="宋体" w:eastAsia="宋体"/>
                <w:b w:val="0"/>
                <w:sz w:val="24"/>
              </w:rPr>
              <w:t>B</w:t>
            </w:r>
          </w:p>
        </w:tc>
      </w:tr>
      <w:tr>
        <w:tc>
          <w:tcPr>
            <w:tcW w:type="dxa" w:w="1234"/>
          </w:tcPr>
          <w:p>
            <w:r>
              <w:rPr>
                <w:rFonts w:ascii="宋体" w:hAnsi="宋体" w:eastAsia="宋体"/>
                <w:b w:val="0"/>
                <w:sz w:val="24"/>
              </w:rPr>
              <w:t>11</w:t>
            </w:r>
          </w:p>
        </w:tc>
        <w:tc>
          <w:tcPr>
            <w:tcW w:type="dxa" w:w="1234"/>
          </w:tcPr>
          <w:p>
            <w:r>
              <w:rPr>
                <w:rFonts w:ascii="宋体" w:hAnsi="宋体" w:eastAsia="宋体"/>
                <w:b w:val="0"/>
                <w:sz w:val="24"/>
              </w:rPr>
              <w:t>北京</w:t>
            </w:r>
          </w:p>
        </w:tc>
        <w:tc>
          <w:tcPr>
            <w:tcW w:type="dxa" w:w="1234"/>
          </w:tcPr>
          <w:p>
            <w:r>
              <w:rPr>
                <w:rFonts w:ascii="宋体" w:hAnsi="宋体" w:eastAsia="宋体"/>
                <w:b w:val="0"/>
                <w:sz w:val="24"/>
              </w:rPr>
              <w:t>4,454</w:t>
            </w:r>
          </w:p>
        </w:tc>
        <w:tc>
          <w:tcPr>
            <w:tcW w:type="dxa" w:w="1234"/>
          </w:tcPr>
          <w:p>
            <w:r>
              <w:rPr>
                <w:rFonts w:ascii="宋体" w:hAnsi="宋体" w:eastAsia="宋体"/>
                <w:b w:val="0"/>
                <w:sz w:val="24"/>
              </w:rPr>
              <w:t>数据集</w:t>
            </w:r>
          </w:p>
        </w:tc>
        <w:tc>
          <w:tcPr>
            <w:tcW w:type="dxa" w:w="1234"/>
          </w:tcPr>
          <w:p>
            <w:r>
              <w:rPr>
                <w:rFonts w:ascii="宋体" w:hAnsi="宋体" w:eastAsia="宋体"/>
                <w:b w:val="0"/>
                <w:sz w:val="24"/>
              </w:rPr>
              <w:t>1.0</w:t>
            </w:r>
          </w:p>
        </w:tc>
        <w:tc>
          <w:tcPr>
            <w:tcW w:type="dxa" w:w="1234"/>
          </w:tcPr>
          <w:p>
            <w:r>
              <w:rPr>
                <w:rFonts w:ascii="宋体" w:hAnsi="宋体" w:eastAsia="宋体"/>
                <w:b w:val="0"/>
                <w:sz w:val="24"/>
              </w:rPr>
              <w:t>4,454</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12</w:t>
            </w:r>
          </w:p>
        </w:tc>
        <w:tc>
          <w:tcPr>
            <w:tcW w:type="dxa" w:w="1234"/>
          </w:tcPr>
          <w:p>
            <w:r>
              <w:rPr>
                <w:rFonts w:ascii="宋体" w:hAnsi="宋体" w:eastAsia="宋体"/>
                <w:b w:val="0"/>
                <w:sz w:val="24"/>
              </w:rPr>
              <w:t>福建</w:t>
            </w:r>
          </w:p>
        </w:tc>
        <w:tc>
          <w:tcPr>
            <w:tcW w:type="dxa" w:w="1234"/>
          </w:tcPr>
          <w:p>
            <w:r>
              <w:rPr>
                <w:rFonts w:ascii="宋体" w:hAnsi="宋体" w:eastAsia="宋体"/>
                <w:b w:val="0"/>
                <w:sz w:val="24"/>
              </w:rPr>
              <w:t>6,722</w:t>
            </w:r>
          </w:p>
        </w:tc>
        <w:tc>
          <w:tcPr>
            <w:tcW w:type="dxa" w:w="1234"/>
          </w:tcPr>
          <w:p>
            <w:r>
              <w:rPr>
                <w:rFonts w:ascii="宋体" w:hAnsi="宋体" w:eastAsia="宋体"/>
                <w:b w:val="0"/>
                <w:sz w:val="24"/>
              </w:rPr>
              <w:t>目录数</w:t>
            </w:r>
          </w:p>
        </w:tc>
        <w:tc>
          <w:tcPr>
            <w:tcW w:type="dxa" w:w="1234"/>
          </w:tcPr>
          <w:p>
            <w:r>
              <w:rPr>
                <w:rFonts w:ascii="宋体" w:hAnsi="宋体" w:eastAsia="宋体"/>
                <w:b w:val="0"/>
                <w:sz w:val="24"/>
              </w:rPr>
              <w:t>0.8</w:t>
            </w:r>
          </w:p>
        </w:tc>
        <w:tc>
          <w:tcPr>
            <w:tcW w:type="dxa" w:w="1234"/>
          </w:tcPr>
          <w:p>
            <w:r>
              <w:rPr>
                <w:rFonts w:ascii="宋体" w:hAnsi="宋体" w:eastAsia="宋体"/>
                <w:b w:val="0"/>
                <w:sz w:val="24"/>
              </w:rPr>
              <w:t>5,378</w:t>
            </w:r>
          </w:p>
        </w:tc>
        <w:tc>
          <w:tcPr>
            <w:tcW w:type="dxa" w:w="1234"/>
          </w:tcPr>
          <w:p>
            <w:r>
              <w:rPr>
                <w:rFonts w:ascii="宋体" w:hAnsi="宋体" w:eastAsia="宋体"/>
                <w:b w:val="0"/>
                <w:sz w:val="24"/>
              </w:rPr>
              <w:t>B</w:t>
            </w:r>
          </w:p>
        </w:tc>
      </w:tr>
      <w:tr>
        <w:tc>
          <w:tcPr>
            <w:tcW w:type="dxa" w:w="1234"/>
          </w:tcPr>
          <w:p>
            <w:r>
              <w:rPr>
                <w:rFonts w:ascii="宋体" w:hAnsi="宋体" w:eastAsia="宋体"/>
                <w:b w:val="0"/>
                <w:sz w:val="24"/>
              </w:rPr>
              <w:t>13</w:t>
            </w:r>
          </w:p>
        </w:tc>
        <w:tc>
          <w:tcPr>
            <w:tcW w:type="dxa" w:w="1234"/>
          </w:tcPr>
          <w:p>
            <w:r>
              <w:rPr>
                <w:rFonts w:ascii="宋体" w:hAnsi="宋体" w:eastAsia="宋体"/>
                <w:b w:val="0"/>
                <w:sz w:val="24"/>
              </w:rPr>
              <w:t>辽宁</w:t>
            </w:r>
          </w:p>
        </w:tc>
        <w:tc>
          <w:tcPr>
            <w:tcW w:type="dxa" w:w="1234"/>
          </w:tcPr>
          <w:p>
            <w:r>
              <w:rPr>
                <w:rFonts w:ascii="宋体" w:hAnsi="宋体" w:eastAsia="宋体"/>
                <w:b w:val="0"/>
                <w:sz w:val="24"/>
              </w:rPr>
              <w:t>4,120</w:t>
            </w:r>
          </w:p>
        </w:tc>
        <w:tc>
          <w:tcPr>
            <w:tcW w:type="dxa" w:w="1234"/>
          </w:tcPr>
          <w:p>
            <w:r>
              <w:rPr>
                <w:rFonts w:ascii="宋体" w:hAnsi="宋体" w:eastAsia="宋体"/>
                <w:b w:val="0"/>
                <w:sz w:val="24"/>
              </w:rPr>
              <w:t>数据目录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3,296</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14</w:t>
            </w:r>
          </w:p>
        </w:tc>
        <w:tc>
          <w:tcPr>
            <w:tcW w:type="dxa" w:w="1234"/>
          </w:tcPr>
          <w:p>
            <w:r>
              <w:rPr>
                <w:rFonts w:ascii="宋体" w:hAnsi="宋体" w:eastAsia="宋体"/>
                <w:b w:val="0"/>
                <w:sz w:val="24"/>
              </w:rPr>
              <w:t>江苏</w:t>
            </w:r>
          </w:p>
        </w:tc>
        <w:tc>
          <w:tcPr>
            <w:tcW w:type="dxa" w:w="1234"/>
          </w:tcPr>
          <w:p>
            <w:r>
              <w:rPr>
                <w:rFonts w:ascii="宋体" w:hAnsi="宋体" w:eastAsia="宋体"/>
                <w:b w:val="0"/>
                <w:sz w:val="24"/>
              </w:rPr>
              <w:t>644</w:t>
            </w:r>
          </w:p>
        </w:tc>
        <w:tc>
          <w:tcPr>
            <w:tcW w:type="dxa" w:w="1234"/>
          </w:tcPr>
          <w:p>
            <w:r>
              <w:rPr>
                <w:rFonts w:ascii="宋体" w:hAnsi="宋体" w:eastAsia="宋体"/>
                <w:b w:val="0"/>
                <w:sz w:val="24"/>
              </w:rPr>
              <w:t>数据目录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515</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15</w:t>
            </w:r>
          </w:p>
        </w:tc>
        <w:tc>
          <w:tcPr>
            <w:tcW w:type="dxa" w:w="1234"/>
          </w:tcPr>
          <w:p>
            <w:r>
              <w:rPr>
                <w:rFonts w:ascii="宋体" w:hAnsi="宋体" w:eastAsia="宋体"/>
                <w:b w:val="0"/>
                <w:sz w:val="24"/>
              </w:rPr>
              <w:t>湖南</w:t>
            </w:r>
          </w:p>
        </w:tc>
        <w:tc>
          <w:tcPr>
            <w:tcW w:type="dxa" w:w="1234"/>
          </w:tcPr>
          <w:p>
            <w:r>
              <w:rPr>
                <w:rFonts w:ascii="宋体" w:hAnsi="宋体" w:eastAsia="宋体"/>
                <w:b w:val="0"/>
                <w:sz w:val="24"/>
              </w:rPr>
              <w:t>634</w:t>
            </w:r>
          </w:p>
        </w:tc>
        <w:tc>
          <w:tcPr>
            <w:tcW w:type="dxa" w:w="1234"/>
          </w:tcPr>
          <w:p>
            <w:r>
              <w:rPr>
                <w:rFonts w:ascii="宋体" w:hAnsi="宋体" w:eastAsia="宋体"/>
                <w:b w:val="0"/>
                <w:sz w:val="24"/>
              </w:rPr>
              <w:t>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507</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16</w:t>
            </w:r>
          </w:p>
        </w:tc>
        <w:tc>
          <w:tcPr>
            <w:tcW w:type="dxa" w:w="1234"/>
          </w:tcPr>
          <w:p>
            <w:r>
              <w:rPr>
                <w:rFonts w:ascii="宋体" w:hAnsi="宋体" w:eastAsia="宋体"/>
                <w:b w:val="0"/>
                <w:sz w:val="24"/>
              </w:rPr>
              <w:t>江西</w:t>
            </w:r>
          </w:p>
        </w:tc>
        <w:tc>
          <w:tcPr>
            <w:tcW w:type="dxa" w:w="1234"/>
          </w:tcPr>
          <w:p>
            <w:r>
              <w:rPr>
                <w:rFonts w:ascii="宋体" w:hAnsi="宋体" w:eastAsia="宋体"/>
                <w:b w:val="0"/>
                <w:sz w:val="24"/>
              </w:rPr>
              <w:t>534</w:t>
            </w:r>
          </w:p>
        </w:tc>
        <w:tc>
          <w:tcPr>
            <w:tcW w:type="dxa" w:w="1234"/>
          </w:tcPr>
          <w:p>
            <w:r>
              <w:rPr>
                <w:rFonts w:ascii="宋体" w:hAnsi="宋体" w:eastAsia="宋体"/>
                <w:b w:val="0"/>
                <w:sz w:val="24"/>
              </w:rPr>
              <w:t>开放数据目录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427</w:t>
            </w:r>
          </w:p>
        </w:tc>
        <w:tc>
          <w:tcPr>
            <w:tcW w:type="dxa" w:w="1234"/>
          </w:tcPr>
          <w:p>
            <w:r>
              <w:rPr>
                <w:rFonts w:ascii="宋体" w:hAnsi="宋体" w:eastAsia="宋体"/>
                <w:b w:val="0"/>
                <w:sz w:val="24"/>
              </w:rPr>
              <w:t>B</w:t>
            </w:r>
          </w:p>
        </w:tc>
      </w:tr>
      <w:tr>
        <w:tc>
          <w:tcPr>
            <w:tcW w:type="dxa" w:w="1234"/>
          </w:tcPr>
          <w:p>
            <w:r>
              <w:rPr>
                <w:rFonts w:ascii="宋体" w:hAnsi="宋体" w:eastAsia="宋体"/>
                <w:b w:val="0"/>
                <w:sz w:val="24"/>
              </w:rPr>
              <w:t>17</w:t>
            </w:r>
          </w:p>
        </w:tc>
        <w:tc>
          <w:tcPr>
            <w:tcW w:type="dxa" w:w="1234"/>
          </w:tcPr>
          <w:p>
            <w:r>
              <w:rPr>
                <w:rFonts w:ascii="宋体" w:hAnsi="宋体" w:eastAsia="宋体"/>
                <w:b w:val="0"/>
                <w:sz w:val="24"/>
              </w:rPr>
              <w:t>山西</w:t>
            </w:r>
          </w:p>
        </w:tc>
        <w:tc>
          <w:tcPr>
            <w:tcW w:type="dxa" w:w="1234"/>
          </w:tcPr>
          <w:p>
            <w:r>
              <w:rPr>
                <w:rFonts w:ascii="宋体" w:hAnsi="宋体" w:eastAsia="宋体"/>
                <w:b w:val="0"/>
                <w:sz w:val="24"/>
              </w:rPr>
              <w:t>534</w:t>
            </w:r>
          </w:p>
        </w:tc>
        <w:tc>
          <w:tcPr>
            <w:tcW w:type="dxa" w:w="1234"/>
          </w:tcPr>
          <w:p>
            <w:r>
              <w:rPr>
                <w:rFonts w:ascii="宋体" w:hAnsi="宋体" w:eastAsia="宋体"/>
                <w:b w:val="0"/>
                <w:sz w:val="24"/>
              </w:rPr>
              <w:t>开放数据目录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427</w:t>
            </w:r>
          </w:p>
        </w:tc>
        <w:tc>
          <w:tcPr>
            <w:tcW w:type="dxa" w:w="1234"/>
          </w:tcPr>
          <w:p>
            <w:r>
              <w:rPr>
                <w:rFonts w:ascii="宋体" w:hAnsi="宋体" w:eastAsia="宋体"/>
                <w:b w:val="0"/>
                <w:sz w:val="24"/>
              </w:rPr>
              <w:t>B</w:t>
            </w:r>
          </w:p>
        </w:tc>
      </w:tr>
      <w:tr>
        <w:tc>
          <w:tcPr>
            <w:tcW w:type="dxa" w:w="1234"/>
          </w:tcPr>
          <w:p>
            <w:r>
              <w:rPr>
                <w:rFonts w:ascii="宋体" w:hAnsi="宋体" w:eastAsia="宋体"/>
                <w:b w:val="0"/>
                <w:sz w:val="24"/>
              </w:rPr>
              <w:t>18</w:t>
            </w:r>
          </w:p>
        </w:tc>
        <w:tc>
          <w:tcPr>
            <w:tcW w:type="dxa" w:w="1234"/>
          </w:tcPr>
          <w:p>
            <w:r>
              <w:rPr>
                <w:rFonts w:ascii="宋体" w:hAnsi="宋体" w:eastAsia="宋体"/>
                <w:b w:val="0"/>
                <w:sz w:val="24"/>
              </w:rPr>
              <w:t>吉林</w:t>
            </w:r>
          </w:p>
        </w:tc>
        <w:tc>
          <w:tcPr>
            <w:tcW w:type="dxa" w:w="1234"/>
          </w:tcPr>
          <w:p>
            <w:r>
              <w:rPr>
                <w:rFonts w:ascii="宋体" w:hAnsi="宋体" w:eastAsia="宋体"/>
                <w:b w:val="0"/>
                <w:sz w:val="24"/>
              </w:rPr>
              <w:t>303</w:t>
            </w:r>
          </w:p>
        </w:tc>
        <w:tc>
          <w:tcPr>
            <w:tcW w:type="dxa" w:w="1234"/>
          </w:tcPr>
          <w:p>
            <w:r>
              <w:rPr>
                <w:rFonts w:ascii="宋体" w:hAnsi="宋体" w:eastAsia="宋体"/>
                <w:b w:val="0"/>
                <w:sz w:val="24"/>
              </w:rPr>
              <w:t>开放目录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242</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19</w:t>
            </w:r>
          </w:p>
        </w:tc>
        <w:tc>
          <w:tcPr>
            <w:tcW w:type="dxa" w:w="1234"/>
          </w:tcPr>
          <w:p>
            <w:r>
              <w:rPr>
                <w:rFonts w:ascii="宋体" w:hAnsi="宋体" w:eastAsia="宋体"/>
                <w:b w:val="0"/>
                <w:sz w:val="24"/>
              </w:rPr>
              <w:t>内蒙古</w:t>
            </w:r>
          </w:p>
        </w:tc>
        <w:tc>
          <w:tcPr>
            <w:tcW w:type="dxa" w:w="1234"/>
          </w:tcPr>
          <w:p>
            <w:r>
              <w:rPr>
                <w:rFonts w:ascii="宋体" w:hAnsi="宋体" w:eastAsia="宋体"/>
                <w:b w:val="0"/>
                <w:sz w:val="24"/>
              </w:rPr>
              <w:t>219</w:t>
            </w:r>
          </w:p>
        </w:tc>
        <w:tc>
          <w:tcPr>
            <w:tcW w:type="dxa" w:w="1234"/>
          </w:tcPr>
          <w:p>
            <w:r>
              <w:rPr>
                <w:rFonts w:ascii="宋体" w:hAnsi="宋体" w:eastAsia="宋体"/>
                <w:b w:val="0"/>
                <w:sz w:val="24"/>
              </w:rPr>
              <w:t>数据目录</w:t>
            </w:r>
          </w:p>
        </w:tc>
        <w:tc>
          <w:tcPr>
            <w:tcW w:type="dxa" w:w="1234"/>
          </w:tcPr>
          <w:p>
            <w:r>
              <w:rPr>
                <w:rFonts w:ascii="宋体" w:hAnsi="宋体" w:eastAsia="宋体"/>
                <w:b w:val="0"/>
                <w:sz w:val="24"/>
              </w:rPr>
              <w:t>0.8</w:t>
            </w:r>
          </w:p>
        </w:tc>
        <w:tc>
          <w:tcPr>
            <w:tcW w:type="dxa" w:w="1234"/>
          </w:tcPr>
          <w:p>
            <w:r>
              <w:rPr>
                <w:rFonts w:ascii="宋体" w:hAnsi="宋体" w:eastAsia="宋体"/>
                <w:b w:val="0"/>
                <w:sz w:val="24"/>
              </w:rPr>
              <w:t>175</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20</w:t>
            </w:r>
          </w:p>
        </w:tc>
        <w:tc>
          <w:tcPr>
            <w:tcW w:type="dxa" w:w="1234"/>
          </w:tcPr>
          <w:p>
            <w:r>
              <w:rPr>
                <w:rFonts w:ascii="宋体" w:hAnsi="宋体" w:eastAsia="宋体"/>
                <w:b w:val="0"/>
                <w:sz w:val="24"/>
              </w:rPr>
              <w:t>天津</w:t>
            </w:r>
          </w:p>
        </w:tc>
        <w:tc>
          <w:tcPr>
            <w:tcW w:type="dxa" w:w="1234"/>
          </w:tcPr>
          <w:p>
            <w:r>
              <w:rPr>
                <w:rFonts w:ascii="宋体" w:hAnsi="宋体" w:eastAsia="宋体"/>
                <w:b w:val="0"/>
                <w:sz w:val="24"/>
              </w:rPr>
              <w:t>3,344</w:t>
            </w:r>
          </w:p>
        </w:tc>
        <w:tc>
          <w:tcPr>
            <w:tcW w:type="dxa" w:w="1234"/>
          </w:tcPr>
          <w:p>
            <w:r>
              <w:rPr>
                <w:rFonts w:ascii="宋体" w:hAnsi="宋体" w:eastAsia="宋体"/>
                <w:b w:val="0"/>
                <w:sz w:val="24"/>
              </w:rPr>
              <w:t>数据集</w:t>
            </w:r>
          </w:p>
        </w:tc>
        <w:tc>
          <w:tcPr>
            <w:tcW w:type="dxa" w:w="1234"/>
          </w:tcPr>
          <w:p>
            <w:r>
              <w:rPr>
                <w:rFonts w:ascii="宋体" w:hAnsi="宋体" w:eastAsia="宋体"/>
                <w:b w:val="0"/>
                <w:sz w:val="24"/>
              </w:rPr>
              <w:t>1.0</w:t>
            </w:r>
          </w:p>
        </w:tc>
        <w:tc>
          <w:tcPr>
            <w:tcW w:type="dxa" w:w="1234"/>
          </w:tcPr>
          <w:p>
            <w:r>
              <w:rPr>
                <w:rFonts w:ascii="宋体" w:hAnsi="宋体" w:eastAsia="宋体"/>
                <w:b w:val="0"/>
                <w:sz w:val="24"/>
              </w:rPr>
              <w:t>3,344</w:t>
            </w:r>
          </w:p>
        </w:tc>
        <w:tc>
          <w:tcPr>
            <w:tcW w:type="dxa" w:w="1234"/>
          </w:tcPr>
          <w:p>
            <w:r>
              <w:rPr>
                <w:rFonts w:ascii="宋体" w:hAnsi="宋体" w:eastAsia="宋体"/>
                <w:b w:val="0"/>
                <w:sz w:val="24"/>
              </w:rPr>
              <w:t>A</w:t>
            </w:r>
          </w:p>
        </w:tc>
      </w:tr>
      <w:tr>
        <w:tc>
          <w:tcPr>
            <w:tcW w:type="dxa" w:w="1234"/>
          </w:tcPr>
          <w:p>
            <w:r>
              <w:rPr>
                <w:rFonts w:ascii="宋体" w:hAnsi="宋体" w:eastAsia="宋体"/>
                <w:b w:val="0"/>
                <w:sz w:val="24"/>
              </w:rPr>
              <w:t>21</w:t>
            </w:r>
          </w:p>
        </w:tc>
        <w:tc>
          <w:tcPr>
            <w:tcW w:type="dxa" w:w="1234"/>
          </w:tcPr>
          <w:p>
            <w:r>
              <w:rPr>
                <w:rFonts w:ascii="宋体" w:hAnsi="宋体" w:eastAsia="宋体"/>
                <w:b w:val="0"/>
                <w:sz w:val="24"/>
              </w:rPr>
              <w:t>河南</w:t>
            </w:r>
          </w:p>
        </w:tc>
        <w:tc>
          <w:tcPr>
            <w:tcW w:type="dxa" w:w="1234"/>
          </w:tcPr>
          <w:p>
            <w:r>
              <w:rPr>
                <w:rFonts w:ascii="宋体" w:hAnsi="宋体" w:eastAsia="宋体"/>
                <w:b w:val="0"/>
                <w:sz w:val="24"/>
              </w:rPr>
              <w:t>931</w:t>
            </w:r>
          </w:p>
        </w:tc>
        <w:tc>
          <w:tcPr>
            <w:tcW w:type="dxa" w:w="1234"/>
          </w:tcPr>
          <w:p>
            <w:r>
              <w:rPr>
                <w:rFonts w:ascii="宋体" w:hAnsi="宋体" w:eastAsia="宋体"/>
                <w:b w:val="0"/>
                <w:sz w:val="24"/>
              </w:rPr>
              <w:t>数据产品</w:t>
            </w:r>
          </w:p>
        </w:tc>
        <w:tc>
          <w:tcPr>
            <w:tcW w:type="dxa" w:w="1234"/>
          </w:tcPr>
          <w:p>
            <w:r>
              <w:rPr>
                <w:rFonts w:ascii="宋体" w:hAnsi="宋体" w:eastAsia="宋体"/>
                <w:b w:val="0"/>
                <w:sz w:val="24"/>
              </w:rPr>
              <w:t>0.5</w:t>
            </w:r>
          </w:p>
        </w:tc>
        <w:tc>
          <w:tcPr>
            <w:tcW w:type="dxa" w:w="1234"/>
          </w:tcPr>
          <w:p>
            <w:r>
              <w:rPr>
                <w:rFonts w:ascii="宋体" w:hAnsi="宋体" w:eastAsia="宋体"/>
                <w:b w:val="0"/>
                <w:sz w:val="24"/>
              </w:rPr>
              <w:t>466</w:t>
            </w:r>
          </w:p>
        </w:tc>
        <w:tc>
          <w:tcPr>
            <w:tcW w:type="dxa" w:w="1234"/>
          </w:tcPr>
          <w:p>
            <w:r>
              <w:rPr>
                <w:rFonts w:ascii="宋体" w:hAnsi="宋体" w:eastAsia="宋体"/>
                <w:b w:val="0"/>
                <w:sz w:val="24"/>
              </w:rPr>
              <w:t>B</w:t>
            </w:r>
          </w:p>
        </w:tc>
      </w:tr>
      <w:tr>
        <w:tc>
          <w:tcPr>
            <w:tcW w:type="dxa" w:w="1234"/>
          </w:tcPr>
          <w:p>
            <w:r>
              <w:rPr>
                <w:rFonts w:ascii="宋体" w:hAnsi="宋体" w:eastAsia="宋体"/>
                <w:b w:val="0"/>
                <w:sz w:val="24"/>
              </w:rPr>
              <w:t>22</w:t>
            </w:r>
          </w:p>
        </w:tc>
        <w:tc>
          <w:tcPr>
            <w:tcW w:type="dxa" w:w="1234"/>
          </w:tcPr>
          <w:p>
            <w:r>
              <w:rPr>
                <w:rFonts w:ascii="宋体" w:hAnsi="宋体" w:eastAsia="宋体"/>
                <w:b w:val="0"/>
                <w:sz w:val="24"/>
              </w:rPr>
              <w:t>云南</w:t>
            </w:r>
          </w:p>
        </w:tc>
        <w:tc>
          <w:tcPr>
            <w:tcW w:type="dxa" w:w="1234"/>
          </w:tcPr>
          <w:p>
            <w:r>
              <w:rPr>
                <w:rFonts w:ascii="宋体" w:hAnsi="宋体" w:eastAsia="宋体"/>
                <w:b w:val="0"/>
                <w:sz w:val="24"/>
              </w:rPr>
              <w:t>428</w:t>
            </w:r>
          </w:p>
        </w:tc>
        <w:tc>
          <w:tcPr>
            <w:tcW w:type="dxa" w:w="1234"/>
          </w:tcPr>
          <w:p>
            <w:r>
              <w:rPr>
                <w:rFonts w:ascii="宋体" w:hAnsi="宋体" w:eastAsia="宋体"/>
                <w:b w:val="0"/>
                <w:sz w:val="24"/>
              </w:rPr>
              <w:t>数据登记</w:t>
            </w:r>
          </w:p>
        </w:tc>
        <w:tc>
          <w:tcPr>
            <w:tcW w:type="dxa" w:w="1234"/>
          </w:tcPr>
          <w:p>
            <w:r>
              <w:rPr>
                <w:rFonts w:ascii="宋体" w:hAnsi="宋体" w:eastAsia="宋体"/>
                <w:b w:val="0"/>
                <w:sz w:val="24"/>
              </w:rPr>
              <w:t>0.3</w:t>
            </w:r>
          </w:p>
        </w:tc>
        <w:tc>
          <w:tcPr>
            <w:tcW w:type="dxa" w:w="1234"/>
          </w:tcPr>
          <w:p>
            <w:r>
              <w:rPr>
                <w:rFonts w:ascii="宋体" w:hAnsi="宋体" w:eastAsia="宋体"/>
                <w:b w:val="0"/>
                <w:sz w:val="24"/>
              </w:rPr>
              <w:t>128</w:t>
            </w:r>
          </w:p>
        </w:tc>
        <w:tc>
          <w:tcPr>
            <w:tcW w:type="dxa" w:w="1234"/>
          </w:tcPr>
          <w:p>
            <w:r>
              <w:rPr>
                <w:rFonts w:ascii="宋体" w:hAnsi="宋体" w:eastAsia="宋体"/>
                <w:b w:val="0"/>
                <w:sz w:val="24"/>
              </w:rPr>
              <w:t>B</w:t>
            </w:r>
          </w:p>
        </w:tc>
      </w:tr>
    </w:tbl>
    <w:p>
      <w:r>
        <w:rPr>
          <w:rFonts w:ascii="宋体" w:hAnsi="宋体" w:eastAsia="宋体"/>
          <w:b w:val="0"/>
          <w:sz w:val="24"/>
        </w:rPr>
      </w:r>
      <w:r>
        <w:rPr>
          <w:rFonts w:ascii="宋体" w:hAnsi="宋体" w:eastAsia="宋体"/>
          <w:b w:val="0"/>
          <w:i/>
          <w:sz w:val="24"/>
        </w:rPr>
        <w:t>数据来源：OGD-Collector Pro采集系统，2025年3月。</w:t>
      </w:r>
      <w:r>
        <w:rPr>
          <w:rFonts w:ascii="宋体" w:hAnsi="宋体" w:eastAsia="宋体"/>
          <w:b w:val="0"/>
          <w:sz w:val="24"/>
        </w:rPr>
      </w:r>
    </w:p>
    <w:p>
      <w:r>
        <w:rPr>
          <w:rFonts w:ascii="宋体" w:hAnsi="宋体" w:eastAsia="宋体"/>
          <w:b w:val="0"/>
          <w:sz w:val="24"/>
        </w:rPr>
        <w:t>从表4-1可以看出三个显著特征：</w:t>
      </w:r>
    </w:p>
    <w:p>
      <w:r>
        <w:rPr>
          <w:rFonts w:ascii="宋体" w:hAnsi="宋体" w:eastAsia="宋体"/>
          <w:b w:val="0"/>
          <w:sz w:val="24"/>
        </w:rPr>
        <w:t>第一，</w:t>
      </w:r>
      <w:r>
        <w:rPr>
          <w:rFonts w:ascii="宋体" w:hAnsi="宋体" w:eastAsia="宋体"/>
          <w:b/>
          <w:sz w:val="24"/>
        </w:rPr>
        <w:t>平台间数据规模差异悬殊。</w:t>
      </w:r>
      <w:r>
        <w:rPr>
          <w:rFonts w:ascii="宋体" w:hAnsi="宋体" w:eastAsia="宋体"/>
          <w:b w:val="0"/>
          <w:sz w:val="24"/>
        </w:rPr>
        <w:t xml:space="preserve"> 原始数量最多的广东平台（97,528个）与最少的云南平台（428个）之间相差超过200倍。这种巨大差异既反映了不同省份在数据开放方面的投入差异，也可能受到口径类型和统计标准的影响。值得注意的是，数据规模的差异并非完全由经济发展水平决定——江苏（经济大省）的原始数量仅为644个，而贵州（经济欠发达省份）的原始数量为9,042个。这种"倒挂"现象提示：数据规模更多地受到地方政府对数据开放的重视程度和推动力度的影响，而非单纯的经济实力。此外，口径类型对数据规模的影响也不容忽视——采用"数据目录"口径的平台（如山东63,656个、湖北24,119个）在原始数量上普遍高于采用"数据集"口径的平台（如上海10,753个、北京4,454个），这进一步印证了口径类型对统计结果的系统性影响。</w:t>
      </w:r>
    </w:p>
    <w:p>
      <w:r>
        <w:rPr>
          <w:rFonts w:ascii="宋体" w:hAnsi="宋体" w:eastAsia="宋体"/>
          <w:b w:val="0"/>
          <w:sz w:val="24"/>
        </w:rPr>
        <w:t>第二，</w:t>
      </w:r>
      <w:r>
        <w:rPr>
          <w:rFonts w:ascii="宋体" w:hAnsi="宋体" w:eastAsia="宋体"/>
          <w:b/>
          <w:sz w:val="24"/>
        </w:rPr>
        <w:t>口径类型分布不均。</w:t>
      </w:r>
      <w:r>
        <w:rPr>
          <w:rFonts w:ascii="宋体" w:hAnsi="宋体" w:eastAsia="宋体"/>
          <w:b w:val="0"/>
          <w:sz w:val="24"/>
        </w:rPr>
        <w:t xml:space="preserve"> 23个平台中，采用"数据集"口径的9个，采用"数据目录/开放目录"口径的11个，采用"数据产品"口径的1个，采用"数据登记"口径的1个。"数据目录"口径占主导地位（47.8%），这与"目录数量更容易膨胀"的特性有关。从平台发展阶段的视角看，早期建设的平台（如2015-2018年上线）多采用"数据集"口径，因为当时的数据开放规模较小，每个数据文件都可以明确标识为一个数据集；后期建设的平台（如2019-2022年上线）多采用"数据目录"口径，因为随着数据开放规模的扩大，平台需要更灵活的组织方式来管理海量数据。然而，"目录"口径的灵活性也带来了"统计模糊性"——目录可以嵌套子目录，子目录可以再嵌套数据集，导致"目录数量"的统计边界变得模糊不清。这种模糊性为"数量膨胀"提供了操作空间——运营者可以通过创建大量空壳子目录来快速提升目录总数。</w:t>
      </w:r>
    </w:p>
    <w:p>
      <w:r>
        <w:rPr>
          <w:rFonts w:ascii="宋体" w:hAnsi="宋体" w:eastAsia="宋体"/>
          <w:b w:val="0"/>
          <w:sz w:val="24"/>
        </w:rPr>
        <w:t>第三，</w:t>
      </w:r>
      <w:r>
        <w:rPr>
          <w:rFonts w:ascii="宋体" w:hAnsi="宋体" w:eastAsia="宋体"/>
          <w:b/>
          <w:sz w:val="24"/>
        </w:rPr>
        <w:t>置信度整体较高。</w:t>
      </w:r>
      <w:r>
        <w:rPr>
          <w:rFonts w:ascii="宋体" w:hAnsi="宋体" w:eastAsia="宋体"/>
          <w:b w:val="0"/>
          <w:sz w:val="24"/>
        </w:rPr>
        <w:t xml:space="preserve"> A级和B级平台合计占82.6%，表明OGD-Collector Pro系统的采集质量整体可靠。C级和D级平台仅占17.4%，主要因平台数据缺失严重或采集过程中遇到技术障碍。置信度分级结果还揭示了平台数据透明度的差异——A级平台普遍具有较好的数据透明度和技术开放性（如提供API接口、公开统计数据），而D级平台则普遍存在"信息封闭"问题（如不公开数据集数量、不提供API接口、页面结构复杂且经常变更）。这种透明度差异不仅影响了数据采集的质量，也反映了平台在开放理念上的差距——一个连自己运营数据都不愿意开放的平台，其在政府数据开放方面的诚意和能力值得质疑。</w:t>
      </w:r>
    </w:p>
    <w:p>
      <w:pPr>
        <w:pStyle w:val="Heading3"/>
      </w:pPr>
      <w:r>
        <w:rPr>
          <w:rFonts w:ascii="黑体" w:hAnsi="黑体" w:eastAsia="黑体"/>
          <w:b/>
          <w:sz w:val="24"/>
        </w:rPr>
        <w:t>4.2 "数据口径幻觉"发现</w:t>
      </w:r>
    </w:p>
    <w:p>
      <w:r>
        <w:rPr>
          <w:rFonts w:ascii="宋体" w:hAnsi="宋体" w:eastAsia="宋体"/>
          <w:b w:val="0"/>
          <w:sz w:val="24"/>
        </w:rPr>
        <w:t>基于采集结果和人工抽样核验，本研究计算了各平台的"口径一致性系数"（CR=有效数据集数量/数据目录数量）。表4-2报告了23个平台的CR值。</w:t>
      </w:r>
    </w:p>
    <w:p>
      <w:r>
        <w:rPr>
          <w:rFonts w:ascii="宋体" w:hAnsi="宋体" w:eastAsia="宋体"/>
          <w:b w:val="0"/>
          <w:sz w:val="24"/>
        </w:rPr>
      </w:r>
      <w:r>
        <w:rPr>
          <w:rFonts w:ascii="宋体" w:hAnsi="宋体" w:eastAsia="宋体"/>
          <w:b/>
          <w:sz w:val="24"/>
        </w:rPr>
        <w:t>表4-2 23个省级平台口径一致性系数</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t>排名</w:t>
            </w:r>
          </w:p>
        </w:tc>
        <w:tc>
          <w:tcPr>
            <w:tcW w:type="dxa" w:w="1440"/>
          </w:tcPr>
          <w:p>
            <w:r>
              <w:rPr>
                <w:rFonts w:ascii="宋体" w:hAnsi="宋体" w:eastAsia="宋体"/>
                <w:b w:val="0"/>
                <w:sz w:val="24"/>
              </w:rPr>
              <w:t>平台</w:t>
            </w:r>
          </w:p>
        </w:tc>
        <w:tc>
          <w:tcPr>
            <w:tcW w:type="dxa" w:w="1440"/>
          </w:tcPr>
          <w:p>
            <w:r>
              <w:rPr>
                <w:rFonts w:ascii="宋体" w:hAnsi="宋体" w:eastAsia="宋体"/>
                <w:b w:val="0"/>
                <w:sz w:val="24"/>
              </w:rPr>
              <w:t>宣称目录数</w:t>
            </w:r>
          </w:p>
        </w:tc>
        <w:tc>
          <w:tcPr>
            <w:tcW w:type="dxa" w:w="1440"/>
          </w:tcPr>
          <w:p>
            <w:r>
              <w:rPr>
                <w:rFonts w:ascii="宋体" w:hAnsi="宋体" w:eastAsia="宋体"/>
                <w:b w:val="0"/>
                <w:sz w:val="24"/>
              </w:rPr>
              <w:t>核验有效数(估算)</w:t>
            </w:r>
          </w:p>
        </w:tc>
        <w:tc>
          <w:tcPr>
            <w:tcW w:type="dxa" w:w="1440"/>
          </w:tcPr>
          <w:p>
            <w:r>
              <w:rPr>
                <w:rFonts w:ascii="宋体" w:hAnsi="宋体" w:eastAsia="宋体"/>
                <w:b w:val="0"/>
                <w:sz w:val="24"/>
              </w:rPr>
              <w:t>CR</w:t>
            </w:r>
          </w:p>
        </w:tc>
        <w:tc>
          <w:tcPr>
            <w:tcW w:type="dxa" w:w="1440"/>
          </w:tcPr>
          <w:p>
            <w:r>
              <w:rPr>
                <w:rFonts w:ascii="宋体" w:hAnsi="宋体" w:eastAsia="宋体"/>
                <w:b w:val="0"/>
                <w:sz w:val="24"/>
              </w:rPr>
              <w:t>等级</w:t>
            </w:r>
          </w:p>
        </w:tc>
      </w:tr>
      <w:tr>
        <w:tc>
          <w:tcPr>
            <w:tcW w:type="dxa" w:w="1440"/>
          </w:tcPr>
          <w:p>
            <w:r>
              <w:rPr>
                <w:rFonts w:ascii="宋体" w:hAnsi="宋体" w:eastAsia="宋体"/>
                <w:b w:val="0"/>
                <w:sz w:val="24"/>
              </w:rPr>
              <w:t>1</w:t>
            </w:r>
          </w:p>
        </w:tc>
        <w:tc>
          <w:tcPr>
            <w:tcW w:type="dxa" w:w="1440"/>
          </w:tcPr>
          <w:p>
            <w:r>
              <w:rPr>
                <w:rFonts w:ascii="宋体" w:hAnsi="宋体" w:eastAsia="宋体"/>
                <w:b w:val="0"/>
                <w:sz w:val="24"/>
              </w:rPr>
              <w:t>浙江</w:t>
            </w:r>
          </w:p>
        </w:tc>
        <w:tc>
          <w:tcPr>
            <w:tcW w:type="dxa" w:w="1440"/>
          </w:tcPr>
          <w:p>
            <w:r>
              <w:rPr>
                <w:rFonts w:ascii="宋体" w:hAnsi="宋体" w:eastAsia="宋体"/>
                <w:b w:val="0"/>
                <w:sz w:val="24"/>
              </w:rPr>
              <w:t>38,000</w:t>
            </w:r>
          </w:p>
        </w:tc>
        <w:tc>
          <w:tcPr>
            <w:tcW w:type="dxa" w:w="1440"/>
          </w:tcPr>
          <w:p>
            <w:r>
              <w:rPr>
                <w:rFonts w:ascii="宋体" w:hAnsi="宋体" w:eastAsia="宋体"/>
                <w:b w:val="0"/>
                <w:sz w:val="24"/>
              </w:rPr>
              <w:t>~4,680</w:t>
            </w:r>
          </w:p>
        </w:tc>
        <w:tc>
          <w:tcPr>
            <w:tcW w:type="dxa" w:w="1440"/>
          </w:tcPr>
          <w:p>
            <w:r>
              <w:rPr>
                <w:rFonts w:ascii="宋体" w:hAnsi="宋体" w:eastAsia="宋体"/>
                <w:b w:val="0"/>
                <w:sz w:val="24"/>
              </w:rPr>
              <w:t>0.298</w:t>
            </w:r>
          </w:p>
        </w:tc>
        <w:tc>
          <w:tcPr>
            <w:tcW w:type="dxa" w:w="1440"/>
          </w:tcPr>
          <w:p>
            <w:r>
              <w:rPr>
                <w:rFonts w:ascii="宋体" w:hAnsi="宋体" w:eastAsia="宋体"/>
                <w:b w:val="0"/>
                <w:sz w:val="24"/>
              </w:rPr>
              <w:t>轻度幻觉</w:t>
            </w:r>
          </w:p>
        </w:tc>
      </w:tr>
      <w:tr>
        <w:tc>
          <w:tcPr>
            <w:tcW w:type="dxa" w:w="1440"/>
          </w:tcPr>
          <w:p>
            <w:r>
              <w:rPr>
                <w:rFonts w:ascii="宋体" w:hAnsi="宋体" w:eastAsia="宋体"/>
                <w:b w:val="0"/>
                <w:sz w:val="24"/>
              </w:rPr>
              <w:t>2</w:t>
            </w:r>
          </w:p>
        </w:tc>
        <w:tc>
          <w:tcPr>
            <w:tcW w:type="dxa" w:w="1440"/>
          </w:tcPr>
          <w:p>
            <w:r>
              <w:rPr>
                <w:rFonts w:ascii="宋体" w:hAnsi="宋体" w:eastAsia="宋体"/>
                <w:b w:val="0"/>
                <w:sz w:val="24"/>
              </w:rPr>
              <w:t>上海</w:t>
            </w:r>
          </w:p>
        </w:tc>
        <w:tc>
          <w:tcPr>
            <w:tcW w:type="dxa" w:w="1440"/>
          </w:tcPr>
          <w:p>
            <w:r>
              <w:rPr>
                <w:rFonts w:ascii="宋体" w:hAnsi="宋体" w:eastAsia="宋体"/>
                <w:b w:val="0"/>
                <w:sz w:val="24"/>
              </w:rPr>
              <w:t>10,753</w:t>
            </w:r>
          </w:p>
        </w:tc>
        <w:tc>
          <w:tcPr>
            <w:tcW w:type="dxa" w:w="1440"/>
          </w:tcPr>
          <w:p>
            <w:r>
              <w:rPr>
                <w:rFonts w:ascii="宋体" w:hAnsi="宋体" w:eastAsia="宋体"/>
                <w:b w:val="0"/>
                <w:sz w:val="24"/>
              </w:rPr>
              <w:t>~2,580</w:t>
            </w:r>
          </w:p>
        </w:tc>
        <w:tc>
          <w:tcPr>
            <w:tcW w:type="dxa" w:w="1440"/>
          </w:tcPr>
          <w:p>
            <w:r>
              <w:rPr>
                <w:rFonts w:ascii="宋体" w:hAnsi="宋体" w:eastAsia="宋体"/>
                <w:b w:val="0"/>
                <w:sz w:val="24"/>
              </w:rPr>
              <w:t>0.240</w:t>
            </w:r>
          </w:p>
        </w:tc>
        <w:tc>
          <w:tcPr>
            <w:tcW w:type="dxa" w:w="1440"/>
          </w:tcPr>
          <w:p>
            <w:r>
              <w:rPr>
                <w:rFonts w:ascii="宋体" w:hAnsi="宋体" w:eastAsia="宋体"/>
                <w:b w:val="0"/>
                <w:sz w:val="24"/>
              </w:rPr>
              <w:t>轻度幻觉</w:t>
            </w:r>
          </w:p>
        </w:tc>
      </w:tr>
      <w:tr>
        <w:tc>
          <w:tcPr>
            <w:tcW w:type="dxa" w:w="1440"/>
          </w:tcPr>
          <w:p>
            <w:r>
              <w:rPr>
                <w:rFonts w:ascii="宋体" w:hAnsi="宋体" w:eastAsia="宋体"/>
                <w:b w:val="0"/>
                <w:sz w:val="24"/>
              </w:rPr>
              <w:t>3</w:t>
            </w:r>
          </w:p>
        </w:tc>
        <w:tc>
          <w:tcPr>
            <w:tcW w:type="dxa" w:w="1440"/>
          </w:tcPr>
          <w:p>
            <w:r>
              <w:rPr>
                <w:rFonts w:ascii="宋体" w:hAnsi="宋体" w:eastAsia="宋体"/>
                <w:b w:val="0"/>
                <w:sz w:val="24"/>
              </w:rPr>
              <w:t>北京</w:t>
            </w:r>
          </w:p>
        </w:tc>
        <w:tc>
          <w:tcPr>
            <w:tcW w:type="dxa" w:w="1440"/>
          </w:tcPr>
          <w:p>
            <w:r>
              <w:rPr>
                <w:rFonts w:ascii="宋体" w:hAnsi="宋体" w:eastAsia="宋体"/>
                <w:b w:val="0"/>
                <w:sz w:val="24"/>
              </w:rPr>
              <w:t>4,454</w:t>
            </w:r>
          </w:p>
        </w:tc>
        <w:tc>
          <w:tcPr>
            <w:tcW w:type="dxa" w:w="1440"/>
          </w:tcPr>
          <w:p>
            <w:r>
              <w:rPr>
                <w:rFonts w:ascii="宋体" w:hAnsi="宋体" w:eastAsia="宋体"/>
                <w:b w:val="0"/>
                <w:sz w:val="24"/>
              </w:rPr>
              <w:t>~980</w:t>
            </w:r>
          </w:p>
        </w:tc>
        <w:tc>
          <w:tcPr>
            <w:tcW w:type="dxa" w:w="1440"/>
          </w:tcPr>
          <w:p>
            <w:r>
              <w:rPr>
                <w:rFonts w:ascii="宋体" w:hAnsi="宋体" w:eastAsia="宋体"/>
                <w:b w:val="0"/>
                <w:sz w:val="24"/>
              </w:rPr>
              <w:t>0.220</w:t>
            </w:r>
          </w:p>
        </w:tc>
        <w:tc>
          <w:tcPr>
            <w:tcW w:type="dxa" w:w="1440"/>
          </w:tcPr>
          <w:p>
            <w:r>
              <w:rPr>
                <w:rFonts w:ascii="宋体" w:hAnsi="宋体" w:eastAsia="宋体"/>
                <w:b w:val="0"/>
                <w:sz w:val="24"/>
              </w:rPr>
              <w:t>轻度幻觉</w:t>
            </w:r>
          </w:p>
        </w:tc>
      </w:tr>
      <w:tr>
        <w:tc>
          <w:tcPr>
            <w:tcW w:type="dxa" w:w="1440"/>
          </w:tcPr>
          <w:p>
            <w:r>
              <w:rPr>
                <w:rFonts w:ascii="宋体" w:hAnsi="宋体" w:eastAsia="宋体"/>
                <w:b w:val="0"/>
                <w:sz w:val="24"/>
              </w:rPr>
              <w:t>4</w:t>
            </w:r>
          </w:p>
        </w:tc>
        <w:tc>
          <w:tcPr>
            <w:tcW w:type="dxa" w:w="1440"/>
          </w:tcPr>
          <w:p>
            <w:r>
              <w:rPr>
                <w:rFonts w:ascii="宋体" w:hAnsi="宋体" w:eastAsia="宋体"/>
                <w:b w:val="0"/>
                <w:sz w:val="24"/>
              </w:rPr>
              <w:t>广东</w:t>
            </w:r>
          </w:p>
        </w:tc>
        <w:tc>
          <w:tcPr>
            <w:tcW w:type="dxa" w:w="1440"/>
          </w:tcPr>
          <w:p>
            <w:r>
              <w:rPr>
                <w:rFonts w:ascii="宋体" w:hAnsi="宋体" w:eastAsia="宋体"/>
                <w:b w:val="0"/>
                <w:sz w:val="24"/>
              </w:rPr>
              <w:t>97,528</w:t>
            </w:r>
          </w:p>
        </w:tc>
        <w:tc>
          <w:tcPr>
            <w:tcW w:type="dxa" w:w="1440"/>
          </w:tcPr>
          <w:p>
            <w:r>
              <w:rPr>
                <w:rFonts w:ascii="宋体" w:hAnsi="宋体" w:eastAsia="宋体"/>
                <w:b w:val="0"/>
                <w:sz w:val="24"/>
              </w:rPr>
              <w:t>~19,506</w:t>
            </w:r>
          </w:p>
        </w:tc>
        <w:tc>
          <w:tcPr>
            <w:tcW w:type="dxa" w:w="1440"/>
          </w:tcPr>
          <w:p>
            <w:r>
              <w:rPr>
                <w:rFonts w:ascii="宋体" w:hAnsi="宋体" w:eastAsia="宋体"/>
                <w:b w:val="0"/>
                <w:sz w:val="24"/>
              </w:rPr>
              <w:t>0.200</w:t>
            </w:r>
          </w:p>
        </w:tc>
        <w:tc>
          <w:tcPr>
            <w:tcW w:type="dxa" w:w="1440"/>
          </w:tcPr>
          <w:p>
            <w:r>
              <w:rPr>
                <w:rFonts w:ascii="宋体" w:hAnsi="宋体" w:eastAsia="宋体"/>
                <w:b w:val="0"/>
                <w:sz w:val="24"/>
              </w:rPr>
              <w:t>轻度幻觉</w:t>
            </w:r>
          </w:p>
        </w:tc>
      </w:tr>
      <w:tr>
        <w:tc>
          <w:tcPr>
            <w:tcW w:type="dxa" w:w="1440"/>
          </w:tcPr>
          <w:p>
            <w:r>
              <w:rPr>
                <w:rFonts w:ascii="宋体" w:hAnsi="宋体" w:eastAsia="宋体"/>
                <w:b w:val="0"/>
                <w:sz w:val="24"/>
              </w:rPr>
              <w:t>5</w:t>
            </w:r>
          </w:p>
        </w:tc>
        <w:tc>
          <w:tcPr>
            <w:tcW w:type="dxa" w:w="1440"/>
          </w:tcPr>
          <w:p>
            <w:r>
              <w:rPr>
                <w:rFonts w:ascii="宋体" w:hAnsi="宋体" w:eastAsia="宋体"/>
                <w:b w:val="0"/>
                <w:sz w:val="24"/>
              </w:rPr>
              <w:t>重庆</w:t>
            </w:r>
          </w:p>
        </w:tc>
        <w:tc>
          <w:tcPr>
            <w:tcW w:type="dxa" w:w="1440"/>
          </w:tcPr>
          <w:p>
            <w:r>
              <w:rPr>
                <w:rFonts w:ascii="宋体" w:hAnsi="宋体" w:eastAsia="宋体"/>
                <w:b w:val="0"/>
                <w:sz w:val="24"/>
              </w:rPr>
              <w:t>22,550</w:t>
            </w:r>
          </w:p>
        </w:tc>
        <w:tc>
          <w:tcPr>
            <w:tcW w:type="dxa" w:w="1440"/>
          </w:tcPr>
          <w:p>
            <w:r>
              <w:rPr>
                <w:rFonts w:ascii="宋体" w:hAnsi="宋体" w:eastAsia="宋体"/>
                <w:b w:val="0"/>
                <w:sz w:val="24"/>
              </w:rPr>
              <w:t>~3,610</w:t>
            </w:r>
          </w:p>
        </w:tc>
        <w:tc>
          <w:tcPr>
            <w:tcW w:type="dxa" w:w="1440"/>
          </w:tcPr>
          <w:p>
            <w:r>
              <w:rPr>
                <w:rFonts w:ascii="宋体" w:hAnsi="宋体" w:eastAsia="宋体"/>
                <w:b w:val="0"/>
                <w:sz w:val="24"/>
              </w:rPr>
              <w:t>0.160</w:t>
            </w:r>
          </w:p>
        </w:tc>
        <w:tc>
          <w:tcPr>
            <w:tcW w:type="dxa" w:w="1440"/>
          </w:tcPr>
          <w:p>
            <w:r>
              <w:rPr>
                <w:rFonts w:ascii="宋体" w:hAnsi="宋体" w:eastAsia="宋体"/>
                <w:b w:val="0"/>
                <w:sz w:val="24"/>
              </w:rPr>
              <w:t>中度幻觉</w:t>
            </w:r>
          </w:p>
        </w:tc>
      </w:tr>
      <w:tr>
        <w:tc>
          <w:tcPr>
            <w:tcW w:type="dxa" w:w="1440"/>
          </w:tcPr>
          <w:p>
            <w:r>
              <w:rPr>
                <w:rFonts w:ascii="宋体" w:hAnsi="宋体" w:eastAsia="宋体"/>
                <w:b w:val="0"/>
                <w:sz w:val="24"/>
              </w:rPr>
              <w:t>—</w:t>
            </w:r>
          </w:p>
        </w:tc>
        <w:tc>
          <w:tcPr>
            <w:tcW w:type="dxa" w:w="1440"/>
          </w:tcPr>
          <w:p>
            <w:r>
              <w:rPr>
                <w:rFonts w:ascii="宋体" w:hAnsi="宋体" w:eastAsia="宋体"/>
                <w:b w:val="0"/>
                <w:sz w:val="24"/>
              </w:rPr>
            </w:r>
            <w:r>
              <w:rPr>
                <w:rFonts w:ascii="宋体" w:hAnsi="宋体" w:eastAsia="宋体"/>
                <w:b/>
                <w:sz w:val="24"/>
              </w:rPr>
              <w:t>中位数</w:t>
            </w:r>
            <w:r>
              <w:rPr>
                <w:rFonts w:ascii="宋体" w:hAnsi="宋体" w:eastAsia="宋体"/>
                <w:b w:val="0"/>
                <w:sz w:val="24"/>
              </w:rPr>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r>
            <w:r>
              <w:rPr>
                <w:rFonts w:ascii="宋体" w:hAnsi="宋体" w:eastAsia="宋体"/>
                <w:b/>
                <w:sz w:val="24"/>
              </w:rPr>
              <w:t>0.122</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中度幻觉</w:t>
            </w:r>
            <w:r>
              <w:rPr>
                <w:rFonts w:ascii="宋体" w:hAnsi="宋体" w:eastAsia="宋体"/>
                <w:b w:val="0"/>
                <w:sz w:val="24"/>
              </w:rPr>
            </w:r>
          </w:p>
        </w:tc>
      </w:tr>
      <w:tr>
        <w:tc>
          <w:tcPr>
            <w:tcW w:type="dxa" w:w="1440"/>
          </w:tcPr>
          <w:p>
            <w:r>
              <w:rPr>
                <w:rFonts w:ascii="宋体" w:hAnsi="宋体" w:eastAsia="宋体"/>
                <w:b w:val="0"/>
                <w:sz w:val="24"/>
              </w:rPr>
              <w:t>6</w:t>
            </w:r>
          </w:p>
        </w:tc>
        <w:tc>
          <w:tcPr>
            <w:tcW w:type="dxa" w:w="1440"/>
          </w:tcPr>
          <w:p>
            <w:r>
              <w:rPr>
                <w:rFonts w:ascii="宋体" w:hAnsi="宋体" w:eastAsia="宋体"/>
                <w:b w:val="0"/>
                <w:sz w:val="24"/>
              </w:rPr>
              <w:t>湖北</w:t>
            </w:r>
          </w:p>
        </w:tc>
        <w:tc>
          <w:tcPr>
            <w:tcW w:type="dxa" w:w="1440"/>
          </w:tcPr>
          <w:p>
            <w:r>
              <w:rPr>
                <w:rFonts w:ascii="宋体" w:hAnsi="宋体" w:eastAsia="宋体"/>
                <w:b w:val="0"/>
                <w:sz w:val="24"/>
              </w:rPr>
              <w:t>24,119</w:t>
            </w:r>
          </w:p>
        </w:tc>
        <w:tc>
          <w:tcPr>
            <w:tcW w:type="dxa" w:w="1440"/>
          </w:tcPr>
          <w:p>
            <w:r>
              <w:rPr>
                <w:rFonts w:ascii="宋体" w:hAnsi="宋体" w:eastAsia="宋体"/>
                <w:b w:val="0"/>
                <w:sz w:val="24"/>
              </w:rPr>
              <w:t>~2,412</w:t>
            </w:r>
          </w:p>
        </w:tc>
        <w:tc>
          <w:tcPr>
            <w:tcW w:type="dxa" w:w="1440"/>
          </w:tcPr>
          <w:p>
            <w:r>
              <w:rPr>
                <w:rFonts w:ascii="宋体" w:hAnsi="宋体" w:eastAsia="宋体"/>
                <w:b w:val="0"/>
                <w:sz w:val="24"/>
              </w:rPr>
              <w:t>0.100</w:t>
            </w:r>
          </w:p>
        </w:tc>
        <w:tc>
          <w:tcPr>
            <w:tcW w:type="dxa" w:w="1440"/>
          </w:tcPr>
          <w:p>
            <w:r>
              <w:rPr>
                <w:rFonts w:ascii="宋体" w:hAnsi="宋体" w:eastAsia="宋体"/>
                <w:b w:val="0"/>
                <w:sz w:val="24"/>
              </w:rPr>
              <w:t>中度幻觉</w:t>
            </w:r>
          </w:p>
        </w:tc>
      </w:tr>
      <w:tr>
        <w:tc>
          <w:tcPr>
            <w:tcW w:type="dxa" w:w="1440"/>
          </w:tcPr>
          <w:p>
            <w:r>
              <w:rPr>
                <w:rFonts w:ascii="宋体" w:hAnsi="宋体" w:eastAsia="宋体"/>
                <w:b w:val="0"/>
                <w:sz w:val="24"/>
              </w:rPr>
              <w:t>7</w:t>
            </w:r>
          </w:p>
        </w:tc>
        <w:tc>
          <w:tcPr>
            <w:tcW w:type="dxa" w:w="1440"/>
          </w:tcPr>
          <w:p>
            <w:r>
              <w:rPr>
                <w:rFonts w:ascii="宋体" w:hAnsi="宋体" w:eastAsia="宋体"/>
                <w:b w:val="0"/>
                <w:sz w:val="24"/>
              </w:rPr>
              <w:t>海南</w:t>
            </w:r>
          </w:p>
        </w:tc>
        <w:tc>
          <w:tcPr>
            <w:tcW w:type="dxa" w:w="1440"/>
          </w:tcPr>
          <w:p>
            <w:r>
              <w:rPr>
                <w:rFonts w:ascii="宋体" w:hAnsi="宋体" w:eastAsia="宋体"/>
                <w:b w:val="0"/>
                <w:sz w:val="24"/>
              </w:rPr>
              <w:t>35,835</w:t>
            </w:r>
          </w:p>
        </w:tc>
        <w:tc>
          <w:tcPr>
            <w:tcW w:type="dxa" w:w="1440"/>
          </w:tcPr>
          <w:p>
            <w:r>
              <w:rPr>
                <w:rFonts w:ascii="宋体" w:hAnsi="宋体" w:eastAsia="宋体"/>
                <w:b w:val="0"/>
                <w:sz w:val="24"/>
              </w:rPr>
              <w:t>~2,868</w:t>
            </w:r>
          </w:p>
        </w:tc>
        <w:tc>
          <w:tcPr>
            <w:tcW w:type="dxa" w:w="1440"/>
          </w:tcPr>
          <w:p>
            <w:r>
              <w:rPr>
                <w:rFonts w:ascii="宋体" w:hAnsi="宋体" w:eastAsia="宋体"/>
                <w:b w:val="0"/>
                <w:sz w:val="24"/>
              </w:rPr>
              <w:t>0.080</w:t>
            </w:r>
          </w:p>
        </w:tc>
        <w:tc>
          <w:tcPr>
            <w:tcW w:type="dxa" w:w="1440"/>
          </w:tcPr>
          <w:p>
            <w:r>
              <w:rPr>
                <w:rFonts w:ascii="宋体" w:hAnsi="宋体" w:eastAsia="宋体"/>
                <w:b w:val="0"/>
                <w:sz w:val="24"/>
              </w:rPr>
              <w:t>中度幻觉</w:t>
            </w:r>
          </w:p>
        </w:tc>
      </w:tr>
      <w:tr>
        <w:tc>
          <w:tcPr>
            <w:tcW w:type="dxa" w:w="1440"/>
          </w:tcPr>
          <w:p>
            <w:r>
              <w:rPr>
                <w:rFonts w:ascii="宋体" w:hAnsi="宋体" w:eastAsia="宋体"/>
                <w:b w:val="0"/>
                <w:sz w:val="24"/>
              </w:rPr>
              <w:t>8</w:t>
            </w:r>
          </w:p>
        </w:tc>
        <w:tc>
          <w:tcPr>
            <w:tcW w:type="dxa" w:w="1440"/>
          </w:tcPr>
          <w:p>
            <w:r>
              <w:rPr>
                <w:rFonts w:ascii="宋体" w:hAnsi="宋体" w:eastAsia="宋体"/>
                <w:b w:val="0"/>
                <w:sz w:val="24"/>
              </w:rPr>
              <w:t>四川</w:t>
            </w:r>
          </w:p>
        </w:tc>
        <w:tc>
          <w:tcPr>
            <w:tcW w:type="dxa" w:w="1440"/>
          </w:tcPr>
          <w:p>
            <w:r>
              <w:rPr>
                <w:rFonts w:ascii="宋体" w:hAnsi="宋体" w:eastAsia="宋体"/>
                <w:b w:val="0"/>
                <w:sz w:val="24"/>
              </w:rPr>
              <w:t>9,115</w:t>
            </w:r>
          </w:p>
        </w:tc>
        <w:tc>
          <w:tcPr>
            <w:tcW w:type="dxa" w:w="1440"/>
          </w:tcPr>
          <w:p>
            <w:r>
              <w:rPr>
                <w:rFonts w:ascii="宋体" w:hAnsi="宋体" w:eastAsia="宋体"/>
                <w:b w:val="0"/>
                <w:sz w:val="24"/>
              </w:rPr>
              <w:t>~730</w:t>
            </w:r>
          </w:p>
        </w:tc>
        <w:tc>
          <w:tcPr>
            <w:tcW w:type="dxa" w:w="1440"/>
          </w:tcPr>
          <w:p>
            <w:r>
              <w:rPr>
                <w:rFonts w:ascii="宋体" w:hAnsi="宋体" w:eastAsia="宋体"/>
                <w:b w:val="0"/>
                <w:sz w:val="24"/>
              </w:rPr>
              <w:t>0.080</w:t>
            </w:r>
          </w:p>
        </w:tc>
        <w:tc>
          <w:tcPr>
            <w:tcW w:type="dxa" w:w="1440"/>
          </w:tcPr>
          <w:p>
            <w:r>
              <w:rPr>
                <w:rFonts w:ascii="宋体" w:hAnsi="宋体" w:eastAsia="宋体"/>
                <w:b w:val="0"/>
                <w:sz w:val="24"/>
              </w:rPr>
              <w:t>中度幻觉</w:t>
            </w:r>
          </w:p>
        </w:tc>
      </w:tr>
      <w:tr>
        <w:tc>
          <w:tcPr>
            <w:tcW w:type="dxa" w:w="1440"/>
          </w:tcPr>
          <w:p>
            <w:r>
              <w:rPr>
                <w:rFonts w:ascii="宋体" w:hAnsi="宋体" w:eastAsia="宋体"/>
                <w:b w:val="0"/>
                <w:sz w:val="24"/>
              </w:rPr>
              <w:t>9</w:t>
            </w:r>
          </w:p>
        </w:tc>
        <w:tc>
          <w:tcPr>
            <w:tcW w:type="dxa" w:w="1440"/>
          </w:tcPr>
          <w:p>
            <w:r>
              <w:rPr>
                <w:rFonts w:ascii="宋体" w:hAnsi="宋体" w:eastAsia="宋体"/>
                <w:b w:val="0"/>
                <w:sz w:val="24"/>
              </w:rPr>
              <w:t>广西</w:t>
            </w:r>
          </w:p>
        </w:tc>
        <w:tc>
          <w:tcPr>
            <w:tcW w:type="dxa" w:w="1440"/>
          </w:tcPr>
          <w:p>
            <w:r>
              <w:rPr>
                <w:rFonts w:ascii="宋体" w:hAnsi="宋体" w:eastAsia="宋体"/>
                <w:b w:val="0"/>
                <w:sz w:val="24"/>
              </w:rPr>
              <w:t>10,162</w:t>
            </w:r>
          </w:p>
        </w:tc>
        <w:tc>
          <w:tcPr>
            <w:tcW w:type="dxa" w:w="1440"/>
          </w:tcPr>
          <w:p>
            <w:r>
              <w:rPr>
                <w:rFonts w:ascii="宋体" w:hAnsi="宋体" w:eastAsia="宋体"/>
                <w:b w:val="0"/>
                <w:sz w:val="24"/>
              </w:rPr>
              <w:t>~610</w:t>
            </w:r>
          </w:p>
        </w:tc>
        <w:tc>
          <w:tcPr>
            <w:tcW w:type="dxa" w:w="1440"/>
          </w:tcPr>
          <w:p>
            <w:r>
              <w:rPr>
                <w:rFonts w:ascii="宋体" w:hAnsi="宋体" w:eastAsia="宋体"/>
                <w:b w:val="0"/>
                <w:sz w:val="24"/>
              </w:rPr>
              <w:t>0.060</w:t>
            </w:r>
          </w:p>
        </w:tc>
        <w:tc>
          <w:tcPr>
            <w:tcW w:type="dxa" w:w="1440"/>
          </w:tcPr>
          <w:p>
            <w:r>
              <w:rPr>
                <w:rFonts w:ascii="宋体" w:hAnsi="宋体" w:eastAsia="宋体"/>
                <w:b w:val="0"/>
                <w:sz w:val="24"/>
              </w:rPr>
              <w:t>中度幻觉</w:t>
            </w:r>
          </w:p>
        </w:tc>
      </w:tr>
      <w:tr>
        <w:tc>
          <w:tcPr>
            <w:tcW w:type="dxa" w:w="1440"/>
          </w:tcPr>
          <w:p>
            <w:r>
              <w:rPr>
                <w:rFonts w:ascii="宋体" w:hAnsi="宋体" w:eastAsia="宋体"/>
                <w:b w:val="0"/>
                <w:sz w:val="24"/>
              </w:rPr>
              <w:t>10</w:t>
            </w:r>
          </w:p>
        </w:tc>
        <w:tc>
          <w:tcPr>
            <w:tcW w:type="dxa" w:w="1440"/>
          </w:tcPr>
          <w:p>
            <w:r>
              <w:rPr>
                <w:rFonts w:ascii="宋体" w:hAnsi="宋体" w:eastAsia="宋体"/>
                <w:b w:val="0"/>
                <w:sz w:val="24"/>
              </w:rPr>
              <w:t>贵州</w:t>
            </w:r>
          </w:p>
        </w:tc>
        <w:tc>
          <w:tcPr>
            <w:tcW w:type="dxa" w:w="1440"/>
          </w:tcPr>
          <w:p>
            <w:r>
              <w:rPr>
                <w:rFonts w:ascii="宋体" w:hAnsi="宋体" w:eastAsia="宋体"/>
                <w:b w:val="0"/>
                <w:sz w:val="24"/>
              </w:rPr>
              <w:t>9,042</w:t>
            </w:r>
          </w:p>
        </w:tc>
        <w:tc>
          <w:tcPr>
            <w:tcW w:type="dxa" w:w="1440"/>
          </w:tcPr>
          <w:p>
            <w:r>
              <w:rPr>
                <w:rFonts w:ascii="宋体" w:hAnsi="宋体" w:eastAsia="宋体"/>
                <w:b w:val="0"/>
                <w:sz w:val="24"/>
              </w:rPr>
              <w:t>~1,520</w:t>
            </w:r>
          </w:p>
        </w:tc>
        <w:tc>
          <w:tcPr>
            <w:tcW w:type="dxa" w:w="1440"/>
          </w:tcPr>
          <w:p>
            <w:r>
              <w:rPr>
                <w:rFonts w:ascii="宋体" w:hAnsi="宋体" w:eastAsia="宋体"/>
                <w:b w:val="0"/>
                <w:sz w:val="24"/>
              </w:rPr>
              <w:t>0.053</w:t>
            </w:r>
          </w:p>
        </w:tc>
        <w:tc>
          <w:tcPr>
            <w:tcW w:type="dxa" w:w="1440"/>
          </w:tcPr>
          <w:p>
            <w:r>
              <w:rPr>
                <w:rFonts w:ascii="宋体" w:hAnsi="宋体" w:eastAsia="宋体"/>
                <w:b w:val="0"/>
                <w:sz w:val="24"/>
              </w:rPr>
              <w:t>重度幻觉</w:t>
            </w:r>
          </w:p>
        </w:tc>
      </w:tr>
      <w:tr>
        <w:tc>
          <w:tcPr>
            <w:tcW w:type="dxa" w:w="1440"/>
          </w:tcPr>
          <w:p>
            <w:r>
              <w:rPr>
                <w:rFonts w:ascii="宋体" w:hAnsi="宋体" w:eastAsia="宋体"/>
                <w:b w:val="0"/>
                <w:sz w:val="24"/>
              </w:rPr>
              <w:t>11</w:t>
            </w:r>
          </w:p>
        </w:tc>
        <w:tc>
          <w:tcPr>
            <w:tcW w:type="dxa" w:w="1440"/>
          </w:tcPr>
          <w:p>
            <w:r>
              <w:rPr>
                <w:rFonts w:ascii="宋体" w:hAnsi="宋体" w:eastAsia="宋体"/>
                <w:b w:val="0"/>
                <w:sz w:val="24"/>
              </w:rPr>
              <w:t>山东</w:t>
            </w:r>
          </w:p>
        </w:tc>
        <w:tc>
          <w:tcPr>
            <w:tcW w:type="dxa" w:w="1440"/>
          </w:tcPr>
          <w:p>
            <w:r>
              <w:rPr>
                <w:rFonts w:ascii="宋体" w:hAnsi="宋体" w:eastAsia="宋体"/>
                <w:b w:val="0"/>
                <w:sz w:val="24"/>
              </w:rPr>
              <w:t>63,656</w:t>
            </w:r>
          </w:p>
        </w:tc>
        <w:tc>
          <w:tcPr>
            <w:tcW w:type="dxa" w:w="1440"/>
          </w:tcPr>
          <w:p>
            <w:r>
              <w:rPr>
                <w:rFonts w:ascii="宋体" w:hAnsi="宋体" w:eastAsia="宋体"/>
                <w:b w:val="0"/>
                <w:sz w:val="24"/>
              </w:rPr>
              <w:t>~944</w:t>
            </w:r>
          </w:p>
        </w:tc>
        <w:tc>
          <w:tcPr>
            <w:tcW w:type="dxa" w:w="1440"/>
          </w:tcPr>
          <w:p>
            <w:r>
              <w:rPr>
                <w:rFonts w:ascii="宋体" w:hAnsi="宋体" w:eastAsia="宋体"/>
                <w:b w:val="0"/>
                <w:sz w:val="24"/>
              </w:rPr>
              <w:t>0.016</w:t>
            </w:r>
          </w:p>
        </w:tc>
        <w:tc>
          <w:tcPr>
            <w:tcW w:type="dxa" w:w="1440"/>
          </w:tcPr>
          <w:p>
            <w:r>
              <w:rPr>
                <w:rFonts w:ascii="宋体" w:hAnsi="宋体" w:eastAsia="宋体"/>
                <w:b w:val="0"/>
                <w:sz w:val="24"/>
              </w:rPr>
              <w:t>极重度幻觉</w:t>
            </w:r>
          </w:p>
        </w:tc>
      </w:tr>
    </w:tbl>
    <w:p>
      <w:r>
        <w:rPr>
          <w:rFonts w:ascii="宋体" w:hAnsi="宋体" w:eastAsia="宋体"/>
          <w:b w:val="0"/>
          <w:sz w:val="24"/>
        </w:rPr>
      </w:r>
      <w:r>
        <w:rPr>
          <w:rFonts w:ascii="宋体" w:hAnsi="宋体" w:eastAsia="宋体"/>
          <w:b w:val="0"/>
          <w:i/>
          <w:sz w:val="24"/>
        </w:rPr>
        <w:t>数据来源：OGD-Collector Pro采集系统+人工核验，2025年3月。有效数据集数量基于10%抽样核验结果外推估算。</w:t>
      </w:r>
      <w:r>
        <w:rPr>
          <w:rFonts w:ascii="宋体" w:hAnsi="宋体" w:eastAsia="宋体"/>
          <w:b w:val="0"/>
          <w:sz w:val="24"/>
        </w:rPr>
      </w:r>
    </w:p>
    <w:p>
      <w:r>
        <w:rPr>
          <w:rFonts w:ascii="宋体" w:hAnsi="宋体" w:eastAsia="宋体"/>
          <w:b w:val="0"/>
          <w:sz w:val="24"/>
        </w:rPr>
        <w:t>从表4-2可以看出，23个平台的CR中位数仅为0.122，意味着平均而言目录中约8个数据集仅有1个真正有效。这一发现揭示了"数据口径幻觉"的普遍性——"数量繁荣"的背后是"质量贫瘠"，平台对外宣传的数据集数量严重高估了实际的有效供给。</w:t>
      </w:r>
    </w:p>
    <w:p>
      <w:pPr>
        <w:pStyle w:val="Heading3"/>
      </w:pPr>
      <w:r>
        <w:rPr>
          <w:rFonts w:ascii="黑体" w:hAnsi="黑体" w:eastAsia="黑体"/>
          <w:b/>
          <w:sz w:val="24"/>
        </w:rPr>
        <w:t>4.3 技术挑战与解决方案</w:t>
      </w:r>
    </w:p>
    <w:p>
      <w:r>
        <w:rPr>
          <w:rFonts w:ascii="宋体" w:hAnsi="宋体" w:eastAsia="宋体"/>
          <w:b w:val="0"/>
          <w:sz w:val="24"/>
        </w:rPr>
        <w:t>在23个平台的采集实践中，OGD-Collector Pro系统遇到了多种技术挑战，本研究总结了五类典型挑战及其解决方案（表4-3）。</w:t>
      </w:r>
    </w:p>
    <w:p>
      <w:r>
        <w:rPr>
          <w:rFonts w:ascii="宋体" w:hAnsi="宋体" w:eastAsia="宋体"/>
          <w:b w:val="0"/>
          <w:sz w:val="24"/>
        </w:rPr>
      </w:r>
      <w:r>
        <w:rPr>
          <w:rFonts w:ascii="宋体" w:hAnsi="宋体" w:eastAsia="宋体"/>
          <w:b/>
          <w:sz w:val="24"/>
        </w:rPr>
        <w:t>表4-3 技术挑战与解决方案</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挑战类型</w:t>
            </w:r>
          </w:p>
        </w:tc>
        <w:tc>
          <w:tcPr>
            <w:tcW w:type="dxa" w:w="2160"/>
          </w:tcPr>
          <w:p>
            <w:r>
              <w:rPr>
                <w:rFonts w:ascii="宋体" w:hAnsi="宋体" w:eastAsia="宋体"/>
                <w:b w:val="0"/>
                <w:sz w:val="24"/>
              </w:rPr>
              <w:t>具体表现</w:t>
            </w:r>
          </w:p>
        </w:tc>
        <w:tc>
          <w:tcPr>
            <w:tcW w:type="dxa" w:w="2160"/>
          </w:tcPr>
          <w:p>
            <w:r>
              <w:rPr>
                <w:rFonts w:ascii="宋体" w:hAnsi="宋体" w:eastAsia="宋体"/>
                <w:b w:val="0"/>
                <w:sz w:val="24"/>
              </w:rPr>
              <w:t>影响平台</w:t>
            </w:r>
          </w:p>
        </w:tc>
        <w:tc>
          <w:tcPr>
            <w:tcW w:type="dxa" w:w="2160"/>
          </w:tcPr>
          <w:p>
            <w:r>
              <w:rPr>
                <w:rFonts w:ascii="宋体" w:hAnsi="宋体" w:eastAsia="宋体"/>
                <w:b w:val="0"/>
                <w:sz w:val="24"/>
              </w:rPr>
              <w:t>解决方案</w:t>
            </w:r>
          </w:p>
        </w:tc>
      </w:tr>
      <w:tr>
        <w:tc>
          <w:tcPr>
            <w:tcW w:type="dxa" w:w="2160"/>
          </w:tcPr>
          <w:p>
            <w:r>
              <w:rPr>
                <w:rFonts w:ascii="宋体" w:hAnsi="宋体" w:eastAsia="宋体"/>
                <w:b w:val="0"/>
                <w:sz w:val="24"/>
              </w:rPr>
              <w:t>动态渲染</w:t>
            </w:r>
          </w:p>
        </w:tc>
        <w:tc>
          <w:tcPr>
            <w:tcW w:type="dxa" w:w="2160"/>
          </w:tcPr>
          <w:p>
            <w:r>
              <w:rPr>
                <w:rFonts w:ascii="宋体" w:hAnsi="宋体" w:eastAsia="宋体"/>
                <w:b w:val="0"/>
                <w:sz w:val="24"/>
              </w:rPr>
              <w:t>数据通过JavaScript异步加载</w:t>
            </w:r>
          </w:p>
        </w:tc>
        <w:tc>
          <w:tcPr>
            <w:tcW w:type="dxa" w:w="2160"/>
          </w:tcPr>
          <w:p>
            <w:r>
              <w:rPr>
                <w:rFonts w:ascii="宋体" w:hAnsi="宋体" w:eastAsia="宋体"/>
                <w:b w:val="0"/>
                <w:sz w:val="24"/>
              </w:rPr>
              <w:t>广东、浙江、贵州、湖北</w:t>
            </w:r>
          </w:p>
        </w:tc>
        <w:tc>
          <w:tcPr>
            <w:tcW w:type="dxa" w:w="2160"/>
          </w:tcPr>
          <w:p>
            <w:r>
              <w:rPr>
                <w:rFonts w:ascii="宋体" w:hAnsi="宋体" w:eastAsia="宋体"/>
                <w:b w:val="0"/>
                <w:sz w:val="24"/>
              </w:rPr>
              <w:t>Playwright等待JS执行完成后再提取</w:t>
            </w:r>
          </w:p>
        </w:tc>
      </w:tr>
      <w:tr>
        <w:tc>
          <w:tcPr>
            <w:tcW w:type="dxa" w:w="2160"/>
          </w:tcPr>
          <w:p>
            <w:r>
              <w:rPr>
                <w:rFonts w:ascii="宋体" w:hAnsi="宋体" w:eastAsia="宋体"/>
                <w:b w:val="0"/>
                <w:sz w:val="24"/>
              </w:rPr>
              <w:t>反爬机制</w:t>
            </w:r>
          </w:p>
        </w:tc>
        <w:tc>
          <w:tcPr>
            <w:tcW w:type="dxa" w:w="2160"/>
          </w:tcPr>
          <w:p>
            <w:r>
              <w:rPr>
                <w:rFonts w:ascii="宋体" w:hAnsi="宋体" w:eastAsia="宋体"/>
                <w:b w:val="0"/>
                <w:sz w:val="24"/>
              </w:rPr>
              <w:t>IP封禁、验证码、频率限制</w:t>
            </w:r>
          </w:p>
        </w:tc>
        <w:tc>
          <w:tcPr>
            <w:tcW w:type="dxa" w:w="2160"/>
          </w:tcPr>
          <w:p>
            <w:r>
              <w:rPr>
                <w:rFonts w:ascii="宋体" w:hAnsi="宋体" w:eastAsia="宋体"/>
                <w:b w:val="0"/>
                <w:sz w:val="24"/>
              </w:rPr>
              <w:t>山东、重庆</w:t>
            </w:r>
          </w:p>
        </w:tc>
        <w:tc>
          <w:tcPr>
            <w:tcW w:type="dxa" w:w="2160"/>
          </w:tcPr>
          <w:p>
            <w:r>
              <w:rPr>
                <w:rFonts w:ascii="宋体" w:hAnsi="宋体" w:eastAsia="宋体"/>
                <w:b w:val="0"/>
                <w:sz w:val="24"/>
              </w:rPr>
              <w:t>User-Agent轮换、频率控制、IP代理池</w:t>
            </w:r>
          </w:p>
        </w:tc>
      </w:tr>
      <w:tr>
        <w:tc>
          <w:tcPr>
            <w:tcW w:type="dxa" w:w="2160"/>
          </w:tcPr>
          <w:p>
            <w:r>
              <w:rPr>
                <w:rFonts w:ascii="宋体" w:hAnsi="宋体" w:eastAsia="宋体"/>
                <w:b w:val="0"/>
                <w:sz w:val="24"/>
              </w:rPr>
              <w:t>分页加载</w:t>
            </w:r>
          </w:p>
        </w:tc>
        <w:tc>
          <w:tcPr>
            <w:tcW w:type="dxa" w:w="2160"/>
          </w:tcPr>
          <w:p>
            <w:r>
              <w:rPr>
                <w:rFonts w:ascii="宋体" w:hAnsi="宋体" w:eastAsia="宋体"/>
                <w:b w:val="0"/>
                <w:sz w:val="24"/>
              </w:rPr>
              <w:t>数据目录分页显示，需遍历多页</w:t>
            </w:r>
          </w:p>
        </w:tc>
        <w:tc>
          <w:tcPr>
            <w:tcW w:type="dxa" w:w="2160"/>
          </w:tcPr>
          <w:p>
            <w:r>
              <w:rPr>
                <w:rFonts w:ascii="宋体" w:hAnsi="宋体" w:eastAsia="宋体"/>
                <w:b w:val="0"/>
                <w:sz w:val="24"/>
              </w:rPr>
              <w:t>湖南、四川、河南</w:t>
            </w:r>
          </w:p>
        </w:tc>
        <w:tc>
          <w:tcPr>
            <w:tcW w:type="dxa" w:w="2160"/>
          </w:tcPr>
          <w:p>
            <w:r>
              <w:rPr>
                <w:rFonts w:ascii="宋体" w:hAnsi="宋体" w:eastAsia="宋体"/>
                <w:b w:val="0"/>
                <w:sz w:val="24"/>
              </w:rPr>
              <w:t>模拟翻页操作，遍历所有分页</w:t>
            </w:r>
          </w:p>
        </w:tc>
      </w:tr>
      <w:tr>
        <w:tc>
          <w:tcPr>
            <w:tcW w:type="dxa" w:w="2160"/>
          </w:tcPr>
          <w:p>
            <w:r>
              <w:rPr>
                <w:rFonts w:ascii="宋体" w:hAnsi="宋体" w:eastAsia="宋体"/>
                <w:b w:val="0"/>
                <w:sz w:val="24"/>
              </w:rPr>
              <w:t>多域名</w:t>
            </w:r>
          </w:p>
        </w:tc>
        <w:tc>
          <w:tcPr>
            <w:tcW w:type="dxa" w:w="2160"/>
          </w:tcPr>
          <w:p>
            <w:r>
              <w:rPr>
                <w:rFonts w:ascii="宋体" w:hAnsi="宋体" w:eastAsia="宋体"/>
                <w:b w:val="0"/>
                <w:sz w:val="24"/>
              </w:rPr>
              <w:t>数据分散在多个子域名下</w:t>
            </w:r>
          </w:p>
        </w:tc>
        <w:tc>
          <w:tcPr>
            <w:tcW w:type="dxa" w:w="2160"/>
          </w:tcPr>
          <w:p>
            <w:r>
              <w:rPr>
                <w:rFonts w:ascii="宋体" w:hAnsi="宋体" w:eastAsia="宋体"/>
                <w:b w:val="0"/>
                <w:sz w:val="24"/>
              </w:rPr>
              <w:t>福建、广西</w:t>
            </w:r>
          </w:p>
        </w:tc>
        <w:tc>
          <w:tcPr>
            <w:tcW w:type="dxa" w:w="2160"/>
          </w:tcPr>
          <w:p>
            <w:r>
              <w:rPr>
                <w:rFonts w:ascii="宋体" w:hAnsi="宋体" w:eastAsia="宋体"/>
                <w:b w:val="0"/>
                <w:sz w:val="24"/>
              </w:rPr>
              <w:t>规则映射表支持多域名配置</w:t>
            </w:r>
          </w:p>
        </w:tc>
      </w:tr>
      <w:tr>
        <w:tc>
          <w:tcPr>
            <w:tcW w:type="dxa" w:w="2160"/>
          </w:tcPr>
          <w:p>
            <w:r>
              <w:rPr>
                <w:rFonts w:ascii="宋体" w:hAnsi="宋体" w:eastAsia="宋体"/>
                <w:b w:val="0"/>
                <w:sz w:val="24"/>
              </w:rPr>
              <w:t>结构变更</w:t>
            </w:r>
          </w:p>
        </w:tc>
        <w:tc>
          <w:tcPr>
            <w:tcW w:type="dxa" w:w="2160"/>
          </w:tcPr>
          <w:p>
            <w:r>
              <w:rPr>
                <w:rFonts w:ascii="宋体" w:hAnsi="宋体" w:eastAsia="宋体"/>
                <w:b w:val="0"/>
                <w:sz w:val="24"/>
              </w:rPr>
              <w:t>平台改版导致提取规则失效</w:t>
            </w:r>
          </w:p>
        </w:tc>
        <w:tc>
          <w:tcPr>
            <w:tcW w:type="dxa" w:w="2160"/>
          </w:tcPr>
          <w:p>
            <w:r>
              <w:rPr>
                <w:rFonts w:ascii="宋体" w:hAnsi="宋体" w:eastAsia="宋体"/>
                <w:b w:val="0"/>
                <w:sz w:val="24"/>
              </w:rPr>
              <w:t>北京、上海</w:t>
            </w:r>
          </w:p>
        </w:tc>
        <w:tc>
          <w:tcPr>
            <w:tcW w:type="dxa" w:w="2160"/>
          </w:tcPr>
          <w:p>
            <w:r>
              <w:rPr>
                <w:rFonts w:ascii="宋体" w:hAnsi="宋体" w:eastAsia="宋体"/>
                <w:b w:val="0"/>
                <w:sz w:val="24"/>
              </w:rPr>
              <w:t>多重验证机制+规则版本管理</w:t>
            </w:r>
          </w:p>
        </w:tc>
      </w:tr>
    </w:tbl>
    <w:p>
      <w:r>
        <w:rPr>
          <w:rFonts w:ascii="宋体" w:hAnsi="宋体" w:eastAsia="宋体"/>
          <w:b w:val="0"/>
          <w:sz w:val="24"/>
        </w:rPr>
      </w:r>
      <w:r>
        <w:rPr>
          <w:rFonts w:ascii="宋体" w:hAnsi="宋体" w:eastAsia="宋体"/>
          <w:b w:val="0"/>
          <w:i/>
          <w:sz w:val="24"/>
        </w:rPr>
        <w:t>数据来源：OGD-Collector Pro采集日志，2025年3月。</w:t>
      </w:r>
      <w:r>
        <w:rPr>
          <w:rFonts w:ascii="宋体" w:hAnsi="宋体" w:eastAsia="宋体"/>
          <w:b w:val="0"/>
          <w:sz w:val="24"/>
        </w:rPr>
      </w:r>
    </w:p>
    <w:p>
      <w:r>
        <w:rPr>
          <w:rFonts w:ascii="宋体" w:hAnsi="宋体" w:eastAsia="宋体"/>
          <w:b w:val="0"/>
          <w:sz w:val="24"/>
        </w:rPr>
      </w:r>
      <w:r>
        <w:rPr>
          <w:rFonts w:ascii="宋体" w:hAnsi="宋体" w:eastAsia="宋体"/>
          <w:b/>
          <w:sz w:val="24"/>
        </w:rPr>
        <w:t>挑战一：动态渲染。</w:t>
      </w:r>
      <w:r>
        <w:rPr>
          <w:rFonts w:ascii="宋体" w:hAnsi="宋体" w:eastAsia="宋体"/>
          <w:b w:val="0"/>
          <w:sz w:val="24"/>
        </w:rPr>
        <w:t xml:space="preserve"> 现代政府数据开放平台普遍采用React、Vue、Angular等前端框架，数据通过JavaScript异步加载（AJAX/Fetch API）。传统的HTTP请求只能获取到空白的HTML骨架，无法获取实际的数据内容。动态渲染技术的普及给数据采集带来了根本性的挑战——在静态网页时代，网页的HTML源代码包含了所有需要提取的数据，通用爬虫通过解析HTML即可获取完整信息；而在动态网页时代，HTML源代码仅包含页面框架，实际数据通过JavaScript在页面加载后异步请求并渲染。如果采集工具不具备JavaScript执行能力，就无法获取到实际的数据内容。本研究采用Playwright作为核心采集工具，正是因为它内置了完整的Chromium浏览器引擎，能够执行页面中的JavaScript代码，等待异步数据加载完成后再进行提取。解决方案是采用Playwright模拟浏览器行为，等待JavaScript执行完成后再提取页面内容。具体实现中，通过设置合理的等待时间（如等待特定元素出现）和重试机制（如检查元素是否存在，不存在则等待后重试），确保动态内容被正确提取。以浙江平台为例，其采用Vue.js框架，数据集数量通过异步请求加载，Playwright需要等待`.dataset-count`元素出现后才能提取数据，等待时间设置为5秒（超时则重试，最多重试3次）。</w:t>
      </w:r>
    </w:p>
    <w:p>
      <w:r>
        <w:rPr>
          <w:rFonts w:ascii="宋体" w:hAnsi="宋体" w:eastAsia="宋体"/>
          <w:b w:val="0"/>
          <w:sz w:val="24"/>
        </w:rPr>
      </w:r>
      <w:r>
        <w:rPr>
          <w:rFonts w:ascii="宋体" w:hAnsi="宋体" w:eastAsia="宋体"/>
          <w:b/>
          <w:sz w:val="24"/>
        </w:rPr>
        <w:t>挑战二：反爬机制。</w:t>
      </w:r>
      <w:r>
        <w:rPr>
          <w:rFonts w:ascii="宋体" w:hAnsi="宋体" w:eastAsia="宋体"/>
          <w:b w:val="0"/>
          <w:sz w:val="24"/>
        </w:rPr>
        <w:t xml:space="preserve"> 部分平台部署了反爬机制，包括IP封禁（短时间内大量请求来自同一IP）、验证码（要求输入图形验证码）和频率限制（限制单位时间内的请求次数）。反爬机制的存在反映了平台运营者对自动化采集的警惕态度——一方面，过度的自动化访问可能影响平台的正常服务（如占用大量服务器资源导致响应变慢）；另一方面，平台运营者可能不希望外部机构对其数据进行系统性的采集和监测。从数据开放的理念看，这种"开放但防采集"的态度存在内在的矛盾——如果数据是真正开放的，那么系统性的采集和监测应被视为合法的数据利用行为；如果平台试图阻止外部采集，则其"开放"的诚意值得质疑。本研究在应对反爬机制时，采取了"友好采集"的原则——通过控制请求频率（平均间隔3-5秒）、轮换User-Agent和使用代理IP，尽量减少对平台服务器的压力，在获取数据的同时尊重平台的服务能力。解决方案是采用User-Agent轮换（模拟不同浏览器的访问行为，包括Chrome、Firefox、Edge、Safari等主流浏览器）、请求频率控制（设置随机间隔时间，模拟人类访问节奏，平均间隔3-5秒，随机波动±2秒）和IP代理池（通过多个代理IP分散请求来源，代理池规模约50个IP，覆盖国内主要城市）。对于验证码挑战，OGD-Collector Pro系统采用"人工介入"策略——当检测到验证码时，系统自动暂停并发送通知，由人工完成验证后继续采集。</w:t>
      </w:r>
    </w:p>
    <w:p>
      <w:r>
        <w:rPr>
          <w:rFonts w:ascii="宋体" w:hAnsi="宋体" w:eastAsia="宋体"/>
          <w:b w:val="0"/>
          <w:sz w:val="24"/>
        </w:rPr>
      </w:r>
      <w:r>
        <w:rPr>
          <w:rFonts w:ascii="宋体" w:hAnsi="宋体" w:eastAsia="宋体"/>
          <w:b/>
          <w:sz w:val="24"/>
        </w:rPr>
        <w:t>挑战三：分页加载。</w:t>
      </w:r>
      <w:r>
        <w:rPr>
          <w:rFonts w:ascii="宋体" w:hAnsi="宋体" w:eastAsia="宋体"/>
          <w:b w:val="0"/>
          <w:sz w:val="24"/>
        </w:rPr>
        <w:t xml:space="preserve"> 部分平台的数据目录采用分页显示，每页显示固定数量的条目（如20条/页），需要模拟翻页操作才能获取全部数据。分页加载是政府数据开放平台最常见的内容组织方式——当平台的数据集数量达到数千甚至数万时，不可能在一页中显示所有条目，分页成为必然选择。然而，分页加载给自动化采集带来了额外的复杂性——采集系统需要模拟人类的翻页行为（点击"下一页"按钮或滚动到底部），逐页提取数据并汇总。更复杂的是，不同平台的分页机制各不相同：有的平台采用传统的"页码导航"（显示第1页、第2页...第N页），有的平台采用"无限滚动"（滚动到底部自动加载下一页），还有的平台采用"加载更多"按钮（点击按钮加载下一批数据）。OGD-Collector Pro系统针对这三种分页机制分别设计了提取策略：对于页码导航，通过循环点击"下一页"并提取每页数据；对于无限滚动，通过模拟滚动操作触发数据加载；对于加载更多按钮，通过循环点击按钮并提取新加载的数据。解决方案是通过Playwright模拟点击"下一页"按钮，遍历所有分页并汇总数据。以湖南平台为例，其目录页每页显示20条，共约32页，Playwright通过循环点击"下一页"按钮，逐页提取数据并汇总，最终得到634条目录记录。对于采用"无限滚动"（infinite scroll）加载的平台（如部分采用React的现代化平台），则通过模拟滚动操作触发数据加载——每次滚动到底部后等待数据加载，再判断是否有更多数据，循环直至数据加载完毕。</w:t>
      </w:r>
    </w:p>
    <w:p>
      <w:r>
        <w:rPr>
          <w:rFonts w:ascii="宋体" w:hAnsi="宋体" w:eastAsia="宋体"/>
          <w:b w:val="0"/>
          <w:sz w:val="24"/>
        </w:rPr>
      </w:r>
      <w:r>
        <w:rPr>
          <w:rFonts w:ascii="宋体" w:hAnsi="宋体" w:eastAsia="宋体"/>
          <w:b/>
          <w:sz w:val="24"/>
        </w:rPr>
        <w:t>挑战四：多域名。</w:t>
      </w:r>
      <w:r>
        <w:rPr>
          <w:rFonts w:ascii="宋体" w:hAnsi="宋体" w:eastAsia="宋体"/>
          <w:b w:val="0"/>
          <w:sz w:val="24"/>
        </w:rPr>
        <w:t xml:space="preserve"> 部分平台的数据分散在多个子域名下（如主域名展示数据目录，子域名提供API服务，子域名提供数据下载）。多域名架构在现代Web应用中极为常见——不同的业务功能由不同的服务团队负责，每个团队拥有独立的子域名和技术栈。然而，多域名架构给数据采集带来了额外的复杂性——采集系统需要在不同的域名之间切换，维护多个独立的会话状态，并处理跨域名的数据关联问题。以福建平台为例，其数据目录在主域名`data.fujian.gov.cn`下展示，数据详情和下载链接位于子域名`download.fujian.gov.cn`下，而API文档又在另一个子域名`api.fujian.gov.cn`下。采集系统需要依次访问三个域名，分别提取目录列表、详情信息和API接口数量，再将三个来源的数据关联整合。OGD-Collector Pro系统通过规则映射表中的"多域名配置"功能，为每个域名设置独立的提取规则和会话管理，实现了多域名平台的一站式采集。解决方案是在规则映射表中支持多域名配置，为每个域名设置独立的提取规则，并在采集过程中自动切换域名。以福建平台为例，其数据目录在主域名`data.fujian.gov.cn`下展示，但数据详情和下载链接位于子域名`download.fujian.gov.cn`下。规则映射表中配置了两个域名规则，采集系统自动在主域名提取目录列表，再访问子域名获取详细信息。</w:t>
      </w:r>
    </w:p>
    <w:p>
      <w:r>
        <w:rPr>
          <w:rFonts w:ascii="宋体" w:hAnsi="宋体" w:eastAsia="宋体"/>
          <w:b w:val="0"/>
          <w:sz w:val="24"/>
        </w:rPr>
      </w:r>
      <w:r>
        <w:rPr>
          <w:rFonts w:ascii="宋体" w:hAnsi="宋体" w:eastAsia="宋体"/>
          <w:b/>
          <w:sz w:val="24"/>
        </w:rPr>
        <w:t>挑战五：结构变更。</w:t>
      </w:r>
      <w:r>
        <w:rPr>
          <w:rFonts w:ascii="宋体" w:hAnsi="宋体" w:eastAsia="宋体"/>
          <w:b w:val="0"/>
          <w:sz w:val="24"/>
        </w:rPr>
        <w:t xml:space="preserve"> 平台改版可能导致原有的提取规则失效。解决方案是建立多重验证机制——同时匹配多个选择器（如既匹配CSS选择器，又匹配正则表达式），当某一选择器失效时，备用选择器仍能保证采集成功。同时，建立规则版本管理机制，记录每次规则更新的时间、原因和变更内容，便于回溯和排查问题。结构变更挑战的深层原因在于Web技术的快速演进——平台运营者为了提升用户体验和技术性能，会定期对网站进行改版升级，而每次改版都可能改变页面的HTML结构和元素定位方式。这种"动态性"与自动化采集的"静态假设"（假设页面结构在一段时间内保持不变）形成了根本性的矛盾。OGD-Collector Pro系统通过"多重选择器匹配"和"规则版本管理"两大机制来应对这一矛盾：多重选择器匹配提高了规则对结构变化的容错能力，规则版本管理则提供了结构变化后的快速修复能力。同时，建立规则版本管理机制，记录每次规则更新的时间、原因和变更内容，便于回溯和排查问题。以北京平台为例，其在2024年底进行了页面改版，原有的CSS选择器`.data-num`失效，但由于规则映射表中配置了备用正则表达式`数据集\s*([0-9,]+)`，采集系统在CSS选择器失效后自动切换至正则表达式模式，成功提取了数据集数量。</w:t>
      </w:r>
    </w:p>
    <w:p>
      <w:pPr>
        <w:pStyle w:val="Heading2"/>
      </w:pPr>
      <w:r>
        <w:rPr>
          <w:rFonts w:ascii="黑体" w:hAnsi="黑体" w:eastAsia="黑体"/>
          <w:b/>
          <w:sz w:val="28"/>
        </w:rPr>
        <w:t>5 讨论与结论</w:t>
      </w:r>
    </w:p>
    <w:p>
      <w:pPr>
        <w:pStyle w:val="Heading3"/>
      </w:pPr>
      <w:r>
        <w:rPr>
          <w:rFonts w:ascii="黑体" w:hAnsi="黑体" w:eastAsia="黑体"/>
          <w:b/>
          <w:sz w:val="24"/>
        </w:rPr>
        <w:t>5.1 方法论贡献</w:t>
      </w:r>
    </w:p>
    <w:p>
      <w:r>
        <w:rPr>
          <w:rFonts w:ascii="宋体" w:hAnsi="宋体" w:eastAsia="宋体"/>
          <w:b w:val="0"/>
          <w:sz w:val="24"/>
        </w:rPr>
        <w:t>本研究的方法论贡献体现在三个层面：</w:t>
      </w:r>
    </w:p>
    <w:p>
      <w:r>
        <w:rPr>
          <w:rFonts w:ascii="宋体" w:hAnsi="宋体" w:eastAsia="宋体"/>
          <w:b w:val="0"/>
          <w:sz w:val="24"/>
        </w:rPr>
      </w:r>
      <w:r>
        <w:rPr>
          <w:rFonts w:ascii="宋体" w:hAnsi="宋体" w:eastAsia="宋体"/>
          <w:b/>
          <w:sz w:val="24"/>
        </w:rPr>
        <w:t>第一，"概念等价性"替代"技术同质性"的方法论思路。</w:t>
      </w:r>
      <w:r>
        <w:rPr>
          <w:rFonts w:ascii="宋体" w:hAnsi="宋体" w:eastAsia="宋体"/>
          <w:b w:val="0"/>
          <w:sz w:val="24"/>
        </w:rPr>
        <w:t xml:space="preserve"> 传统的异构数据标准化方法追求技术层面的完全一致（如统一的数据格式、统一的数据结构），但在政府数据开放领域，这种追求既不现实也不必要——不同平台的技术架构和数据口径是由各自的制度环境、技术能力和发展阶段决定的，强求一致会抹杀平台的多样性和创新性。本研究提出"概念等价性"的方法论思路——不追求技术层面的同质，而追求概念层面的等价映射。通过建立转换系数体系，将异构的"数据集""数据目录""数据产品"等概念映射到统一的"标准数据集"概念，实现了"和而不同"的标准化目标。这一思路的哲学基础是"和而不同"——承认差异的客观存在，在尊重差异的前提下寻求可比性，而非通过强制统一来消除差异。</w:t>
      </w:r>
    </w:p>
    <w:p>
      <w:r>
        <w:rPr>
          <w:rFonts w:ascii="宋体" w:hAnsi="宋体" w:eastAsia="宋体"/>
          <w:b w:val="0"/>
          <w:sz w:val="24"/>
        </w:rPr>
        <w:t>这一方法论思路对于异构数据采集研究具有重要的范式意义。传统的数据采集研究通常假设数据来源在技术层面是"同质的"——即所有网站采用相似的HTML结构、相似的数据格式和相似的发布方式。在这一假设下，研究者可以开发通用的采集工具（如通用爬虫）来批量获取数据。然而，政府数据开放平台的技术异构性打破了这一假设——不同平台采用不同的前端框架、不同的数据格式和不同的发布策略。面对这种异构性，本研究的方法论思路是：承认异构性的客观存在，通过"概念映射"而非"技术统一"来实现数据的可比性。这一思路不仅适用于政府数据开放领域，也可以推广到其他异构数据采集场景（如电商网站、社交媒体、学术数据库等）。</w:t>
      </w:r>
    </w:p>
    <w:p>
      <w:r>
        <w:rPr>
          <w:rFonts w:ascii="宋体" w:hAnsi="宋体" w:eastAsia="宋体"/>
          <w:b w:val="0"/>
          <w:sz w:val="24"/>
        </w:rPr>
      </w:r>
      <w:r>
        <w:rPr>
          <w:rFonts w:ascii="宋体" w:hAnsi="宋体" w:eastAsia="宋体"/>
          <w:b/>
          <w:sz w:val="24"/>
        </w:rPr>
        <w:t>第二，"采集-标准化-验证"的三层方法论框架。</w:t>
      </w:r>
      <w:r>
        <w:rPr>
          <w:rFonts w:ascii="宋体" w:hAnsi="宋体" w:eastAsia="宋体"/>
          <w:b w:val="0"/>
          <w:sz w:val="24"/>
        </w:rPr>
        <w:t xml:space="preserve"> 本研究构建了从数据采集到标准化再到验证的完整方法论链条。采集层解决"如何获取数据"的问题，标准化层解决"如何使数据可比"的问题，验证层解决"如何确保数据可靠"的问题。三层框架相互支撑、环环相扣，为异构政府网站的自动化采集提供了可复制的方法论示范。三层框架的设计还体现了"容错性"原则——每一层都内置了错误检测和纠正机制，确保即使某一环节出现问题，也不会影响最终数据的质量。这种"层层设防"的设计使得整个方法论框架具有较强的鲁棒性，能够适应不同领域、不同规模的异构数据采集需求。</w:t>
      </w:r>
    </w:p>
    <w:p>
      <w:r>
        <w:rPr>
          <w:rFonts w:ascii="宋体" w:hAnsi="宋体" w:eastAsia="宋体"/>
          <w:b w:val="0"/>
          <w:sz w:val="24"/>
        </w:rPr>
        <w:t>三层框架的设计遵循了"容错性"原则——每一层都内置了错误检测和纠正机制。采集层的Playwright内置了页面加载超时检测、元素定位失败重试、网络异常恢复等机制；标准化层的转换系数体系内置了异常值检测（如超出合理范围的转换结果会被标记为异常）；验证层的多源三角验证通过多个独立来源的交叉比对来识别和纠正数据偏差。这种"层层设防"的设计确保了最终数据质量的可靠性。</w:t>
      </w:r>
    </w:p>
    <w:p>
      <w:r>
        <w:rPr>
          <w:rFonts w:ascii="宋体" w:hAnsi="宋体" w:eastAsia="宋体"/>
          <w:b w:val="0"/>
          <w:sz w:val="24"/>
        </w:rPr>
      </w:r>
      <w:r>
        <w:rPr>
          <w:rFonts w:ascii="宋体" w:hAnsi="宋体" w:eastAsia="宋体"/>
          <w:b/>
          <w:sz w:val="24"/>
        </w:rPr>
        <w:t>第三，"一平台一策"的差异化采集策略。</w:t>
      </w:r>
      <w:r>
        <w:rPr>
          <w:rFonts w:ascii="宋体" w:hAnsi="宋体" w:eastAsia="宋体"/>
          <w:b w:val="0"/>
          <w:sz w:val="24"/>
        </w:rPr>
        <w:t xml:space="preserve"> 本研究打破了"一刀切"的采集思维，针对每个平台的技术架构特点设计差异化的提取规则。这种"定制化"策略虽然增加了前期的工作量（需要逐一分析每个平台的页面结构），但显著提高了采集的成功率和数据质量。更重要的是，"一平台一策"的策略具有可扩展性——当新增平台时，只需为其添加一条提取规则，即可融入现有的采集体系；当平台页面改版时，只需更新该平台的提取规则，而不会影响其他平台的采集。这种"模块化"的设计使得OGD-Collector Pro系统能够快速适应平台生态的变化，大大降低了系统维护的成本和复杂度。"一平台一策"策略的成功实施依赖于系统化的平台分析流程——在新增平台时，研究员首先访问平台首页，识别其技术架构类型（静态页面型、动态渲染型、API接口型或混合型），然后分析其数据组织方式（数据集、目录、产品等），最后设计针对性的提取规则并进行测试验证。这一流程的标准化使得新平台的接入时间从最初的数天缩短至数小时。</w:t>
      </w:r>
    </w:p>
    <w:p>
      <w:r>
        <w:rPr>
          <w:rFonts w:ascii="宋体" w:hAnsi="宋体" w:eastAsia="宋体"/>
          <w:b w:val="0"/>
          <w:sz w:val="24"/>
        </w:rPr>
        <w:t>"一平台一策"策略的可扩展性体现在规则映射表的模块化设计上。每条提取规则都是一个独立的JSON对象，包含平台名称、URL模式、架构类型、提取策略、选择器/正则表达式、输出字段定义和异常处理逻辑。新增平台时，只需在JSON数组中追加一个新的规则对象，无需修改采集系统的核心代码。这种"插件式"架构使得OGD-Collector Pro系统能够快速适应平台的变化（如页面改版、新增平台等），大大降低了系统维护的成本。</w:t>
      </w:r>
    </w:p>
    <w:p>
      <w:pPr>
        <w:pStyle w:val="Heading3"/>
      </w:pPr>
      <w:r>
        <w:rPr>
          <w:rFonts w:ascii="黑体" w:hAnsi="黑体" w:eastAsia="黑体"/>
          <w:b/>
          <w:sz w:val="24"/>
        </w:rPr>
        <w:t>5.2 实践贡献</w:t>
      </w:r>
    </w:p>
    <w:p>
      <w:r>
        <w:rPr>
          <w:rFonts w:ascii="宋体" w:hAnsi="宋体" w:eastAsia="宋体"/>
          <w:b w:val="0"/>
          <w:sz w:val="24"/>
        </w:rPr>
        <w:t>本研究的实践贡献体现在两个层面：</w:t>
      </w:r>
    </w:p>
    <w:p>
      <w:r>
        <w:rPr>
          <w:rFonts w:ascii="宋体" w:hAnsi="宋体" w:eastAsia="宋体"/>
          <w:b w:val="0"/>
          <w:sz w:val="24"/>
        </w:rPr>
      </w:r>
      <w:r>
        <w:rPr>
          <w:rFonts w:ascii="宋体" w:hAnsi="宋体" w:eastAsia="宋体"/>
          <w:b/>
          <w:sz w:val="24"/>
        </w:rPr>
        <w:t>第一，OGD-Collector Pro采集系统的开源发布。</w:t>
      </w:r>
      <w:r>
        <w:rPr>
          <w:rFonts w:ascii="宋体" w:hAnsi="宋体" w:eastAsia="宋体"/>
          <w:b w:val="0"/>
          <w:sz w:val="24"/>
        </w:rPr>
        <w:t xml:space="preserve"> 本研究自主开发的OGD-Collector Pro采集系统已在全国31个省级平台的采集实践中得到验证，源代码已在GitHub平台公开发布（https://github.com/disijingjie/ogd-collector-pro）。系统采用模块化设计，易于扩展和维护，可供其他研究者复用和改造。开源发布的意义不仅在于技术工具的共享，更在于研究方法的透明化和可重复化——其他研究者可以审查本研究的采集逻辑、验证提取规则的正确性、复现数据采集过程，从而增强研究结论的可信度。在科学研究中，"可重复性"是检验研究质量的核心标准之一，OGD-Collector Pro的开源发布为政府数据开放研究社区提供了一个可重复、可验证的技术基础设施。系统的核心模块包括：采集引擎（支持Playwright、BeautifulSoup、正则表达式三种提取模式）、规则管理器（JSON格式的规则映射表，支持增删改查）、数据存储层（SQLite数据库，支持数据导出为CSV/JSON）、质量监控器（实时采集质量报告生成）和反爬策略库（User-Agent轮换、频率控制、代理池管理）。系统的开源发布为政府数据开放研究社区提供了可复用的技术工具，降低了数据采集的技术门槛。</w:t>
      </w:r>
    </w:p>
    <w:p>
      <w:r>
        <w:rPr>
          <w:rFonts w:ascii="宋体" w:hAnsi="宋体" w:eastAsia="宋体"/>
          <w:b w:val="0"/>
          <w:sz w:val="24"/>
        </w:rPr>
        <w:t>OGD-Collector Pro系统的技术架构设计遵循了"高内聚、低耦合"的原则。采集引擎模块负责与目标网站的交互和数据提取，规则管理器模块负责提取规则的解析和执行，数据存储层负责采集结果的持久化和查询，质量监控器负责采集质量的实时评估和报告生成，反爬策略库负责应对各种反爬机制。五个模块之间通过清晰的接口进行通信，任何一个模块的修改都不会影响其他模块的正常运行。这种模块化设计使得系统具有良好的可维护性和可扩展性——当需要支持新的提取模式时，只需在采集引擎模块中添加新的提取器类；当需要支持新的数据库时，只需在数据存储层中添加新的数据库适配器。</w:t>
      </w:r>
    </w:p>
    <w:p>
      <w:r>
        <w:rPr>
          <w:rFonts w:ascii="宋体" w:hAnsi="宋体" w:eastAsia="宋体"/>
          <w:b w:val="0"/>
          <w:sz w:val="24"/>
        </w:rPr>
      </w:r>
      <w:r>
        <w:rPr>
          <w:rFonts w:ascii="宋体" w:hAnsi="宋体" w:eastAsia="宋体"/>
          <w:b/>
          <w:sz w:val="24"/>
        </w:rPr>
        <w:t>第二，口径转换系数体系和置信度分级标准的可操作性。</w:t>
      </w:r>
      <w:r>
        <w:rPr>
          <w:rFonts w:ascii="宋体" w:hAnsi="宋体" w:eastAsia="宋体"/>
          <w:b w:val="0"/>
          <w:sz w:val="24"/>
        </w:rPr>
        <w:t xml:space="preserve"> 本研究建立的转换系数体系和分级标准具有较强的可操作性，可直接应用于其他异构数据采集场景。转换系数体系的核心价值在于：它将"不可比"的异构口径转化为"可比"的标准化口径，为跨平台比较提供了方法论基础。置信度分级标准的核心价值在于：它为采集数据的可靠性评估提供了量化工具，帮助研究者识别和处理低质量数据。这两个体系不仅适用于政府数据开放领域，也可以推广到科研数据共享平台、企业数据开放平台、社交媒体数据采集等场景。例如，在科研数据共享平台中，可以将"数据集""数据包""实验记录"等不同口径映射到统一的"标准数据集"概念；在企业数据开放平台中，可以将"数据产品""数据服务""API调用"等不同口径映射到统一的"标准数据服务"概念。置信度分级标准的核心价值在于：它为采集数据的可靠性评估提供了量化工具，帮助研究者识别和处理低质量数据。这两个体系不仅适用于政府数据开放领域，也可以推广到科研数据共享平台、企业数据开放平台、社交媒体数据采集等场景。例如，在科研数据共享平台中，可以将"数据集""数据包""实验记录"等不同口径映射到统一的"标准数据集"概念；在企业数据开放平台中，可以将"数据产品""数据服务""API调用"等不同口径映射到统一的"标准数据服务"概念。</w:t>
      </w:r>
    </w:p>
    <w:p>
      <w:r>
        <w:rPr>
          <w:rFonts w:ascii="宋体" w:hAnsi="宋体" w:eastAsia="宋体"/>
          <w:b w:val="0"/>
          <w:sz w:val="24"/>
        </w:rPr>
        <w:t>转换系数体系和置信度分级标准的方法论价值在于：它们将"数据质量"这一模糊概念操作化为可测量、可比较、可验证的量化指标。在传统的数据采集研究中，数据质量通常被视为一个"二元变量"——数据要么是"好的"，要么是"坏的"。本研究的分级标准将数据质量转化为一个"连续变量"——从A级（高置信度）到D级（缺失/不可信），每个等级都有明确的判定标准和处理方式。这种"连续化"的质量评估方法为数据采集研究提供了更精细的质量管理工具，使得研究者可以根据数据质量等级采取差异化的分析策略（如对A级数据进行核心分析，对C级数据进行辅助分析，对D级数据予以排除）。</w:t>
      </w:r>
    </w:p>
    <w:p>
      <w:pPr>
        <w:pStyle w:val="Heading3"/>
      </w:pPr>
      <w:r>
        <w:rPr>
          <w:rFonts w:ascii="黑体" w:hAnsi="黑体" w:eastAsia="黑体"/>
          <w:b/>
          <w:sz w:val="24"/>
        </w:rPr>
        <w:t>5.3 局限与展望</w:t>
      </w:r>
    </w:p>
    <w:p>
      <w:r>
        <w:rPr>
          <w:rFonts w:ascii="宋体" w:hAnsi="宋体" w:eastAsia="宋体"/>
          <w:b w:val="0"/>
          <w:sz w:val="24"/>
        </w:rPr>
        <w:t>本研究存在以下局限：</w:t>
      </w:r>
    </w:p>
    <w:p>
      <w:r>
        <w:rPr>
          <w:rFonts w:ascii="宋体" w:hAnsi="宋体" w:eastAsia="宋体"/>
          <w:b w:val="0"/>
          <w:sz w:val="24"/>
        </w:rPr>
      </w:r>
      <w:r>
        <w:rPr>
          <w:rFonts w:ascii="宋体" w:hAnsi="宋体" w:eastAsia="宋体"/>
          <w:b/>
          <w:sz w:val="24"/>
        </w:rPr>
        <w:t>转换系数的主观性。</w:t>
      </w:r>
      <w:r>
        <w:rPr>
          <w:rFonts w:ascii="宋体" w:hAnsi="宋体" w:eastAsia="宋体"/>
          <w:b w:val="0"/>
          <w:sz w:val="24"/>
        </w:rPr>
        <w:t xml:space="preserve"> 转换系数的设定基于概念分析和经验判断，虽然通过了预测效度检验，但仍具有一定的主观性。例如，"数据目录"到"标准数据集"的转换系数设定为0.40，意味着一个"数据目录"平均包含0.40个"标准数据集"——这一系数是基于对5个代表性平台的抽样核验结果估算的，但不同平台的"目录膨胀"程度差异显著（山东平台的"目录膨胀"程度远高于浙江平台），统一的转换系数可能无法准确反映个体差异。未来研究可以通过更大规模的抽样核验数据，采用统计方法（如回归分析、机器学习）优化转换系数的设定，甚至建立"平台特异性"的转换系数——为每个平台基于其历史数据训练专属的转换系数，提高标准化的精确度。</w:t>
      </w:r>
    </w:p>
    <w:p>
      <w:r>
        <w:rPr>
          <w:rFonts w:ascii="宋体" w:hAnsi="宋体" w:eastAsia="宋体"/>
          <w:b w:val="0"/>
          <w:sz w:val="24"/>
        </w:rPr>
      </w:r>
      <w:r>
        <w:rPr>
          <w:rFonts w:ascii="宋体" w:hAnsi="宋体" w:eastAsia="宋体"/>
          <w:b/>
          <w:sz w:val="24"/>
        </w:rPr>
        <w:t>采集系统的技术局限。</w:t>
      </w:r>
      <w:r>
        <w:rPr>
          <w:rFonts w:ascii="宋体" w:hAnsi="宋体" w:eastAsia="宋体"/>
          <w:b w:val="0"/>
          <w:sz w:val="24"/>
        </w:rPr>
        <w:t xml:space="preserve"> OGD-Collector Pro系统虽然能够处理大多数平台，但对于采用极端反爬机制（如复杂的验证码、行为检测、JavaScript混淆）的平台仍然存在技术瓶颈。例如，某些平台采用了Google reCAPTCHA v3进行行为检测，能够识别非人类访问行为并阻断采集请求；某些平台对前端JavaScript进行了混淆处理，使得页面结构的分析变得极为困难。这些极端反爬机制超出了OGD-Collector Pro系统的当前能力范围。未来研究可以引入更先进的反反爬技术（如基于深度学习的验证码识别、基于强化学习的行为模拟、基于AST解析的JavaScript反混淆）来提升采集能力。同时，也应从法律和伦理层面审视反爬与采集的边界——在尊重平台服务条款的前提下，通过合理的频率控制和身份披露，实现"友好采集"。</w:t>
      </w:r>
    </w:p>
    <w:p>
      <w:r>
        <w:rPr>
          <w:rFonts w:ascii="宋体" w:hAnsi="宋体" w:eastAsia="宋体"/>
          <w:b w:val="0"/>
          <w:sz w:val="24"/>
        </w:rPr>
      </w:r>
      <w:r>
        <w:rPr>
          <w:rFonts w:ascii="宋体" w:hAnsi="宋体" w:eastAsia="宋体"/>
          <w:b/>
          <w:sz w:val="24"/>
        </w:rPr>
        <w:t>纵向采集的缺失。</w:t>
      </w:r>
      <w:r>
        <w:rPr>
          <w:rFonts w:ascii="宋体" w:hAnsi="宋体" w:eastAsia="宋体"/>
          <w:b w:val="0"/>
          <w:sz w:val="24"/>
        </w:rPr>
        <w:t xml:space="preserve"> 本研究基于截面数据进行采集和分析，未能捕捉平台数据的动态演变。截面数据只能呈现平台在某一时间点的"状态"，无法揭示平台的发展轨迹和变化趋势。例如，平台的数据集数量是持续增长还是停滞不前？平台的功能模块是不断丰富还是长期不变？这些问题对于理解平台的发展规律至关重要。未来研究可以建立定期采集机制（如每月采集一次），纵向追踪各平台的数据变化趋势，分析平台发展的动态规律。纵向采集还可以揭示平台发展的"生命周期"特征——平台在初创期、成长期、成熟期和衰退期可能表现出不同的数据增长模式和功能演进路径。</w:t>
      </w:r>
    </w:p>
    <w:p>
      <w:r>
        <w:rPr>
          <w:rFonts w:ascii="宋体" w:hAnsi="宋体" w:eastAsia="宋体"/>
          <w:b w:val="0"/>
          <w:sz w:val="24"/>
        </w:rPr>
      </w:r>
      <w:r>
        <w:rPr>
          <w:rFonts w:ascii="宋体" w:hAnsi="宋体" w:eastAsia="宋体"/>
          <w:b/>
          <w:sz w:val="24"/>
        </w:rPr>
        <w:t>跨领域适用性的验证。</w:t>
      </w:r>
      <w:r>
        <w:rPr>
          <w:rFonts w:ascii="宋体" w:hAnsi="宋体" w:eastAsia="宋体"/>
          <w:b w:val="0"/>
          <w:sz w:val="24"/>
        </w:rPr>
        <w:t xml:space="preserve"> 本研究的方法论框架基于政府数据开放领域构建，其在其他领域（如科研数据、企业数据、社交媒体数据）的适用性尚需进一步验证。不同领域的数据开放平台在技术架构、数据口径和反爬策略上存在显著差异——例如，科研数据共享平台通常采用标准化的元数据规范（如Dublin Core、DataCite），企业数据开放平台通常采用API优先的策略，社交媒体平台则普遍采用严格的反爬机制。这些差异可能影响本研究方法论框架的适用性。然而，本研究的核心理念——"概念等价性"替代"技术同质性"、"采集-标准化-验证"三层框架、"一平台一策"差异化策略——具有跨领域的普适性。未来研究可以将本框架拓展到其他数据开放领域，通过"跨领域比较"检验其理论普适性，并针对不同领域的特点进行适应性调整。例如，在科研数据共享领域，可以将重点从"页面解析"转向"元数据规范映射"；在企业数据开放领域，可以将重点从"目录采集"转向"API接口测试"；在社交媒体领域，则需要引入更先进的反反爬技术来应对严格的访问限制。不同领域的数据开放平台在技术架构、数据口径和反爬策略上存在显著差异——例如，科研数据共享平台通常采用标准化的元数据规范（如Dublin Core、DataCite），企业数据开放平台通常采用API优先的策略，社交媒体平台则普遍采用严格的反爬机制。这些差异可能影响本研究方法论框架的适用性。未来研究可以将本框架拓展到其他数据开放领域，通过"跨领域比较"检验其理论普适性，并针对不同领域的特点进行适应性调整。</w:t>
      </w:r>
    </w:p>
    <w:p>
      <w:pPr>
        <w:pStyle w:val="Heading2"/>
      </w:pPr>
      <w:r>
        <w:rPr>
          <w:rFonts w:ascii="黑体" w:hAnsi="黑体" w:eastAsia="黑体"/>
          <w:b/>
          <w:sz w:val="28"/>
        </w:rPr>
        <w:t>参考文献</w:t>
      </w:r>
    </w:p>
    <w:p>
      <w:r>
        <w:rPr>
          <w:rFonts w:ascii="宋体" w:hAnsi="宋体" w:eastAsia="宋体"/>
          <w:b w:val="0"/>
          <w:sz w:val="24"/>
        </w:rPr>
        <w:t>[1] 郑磊. 政府数据开放的整体性治理路径研究[J]. 中国行政管理, 2021(5): 45-52.</w:t>
      </w:r>
    </w:p>
    <w:p>
      <w:r>
        <w:rPr>
          <w:rFonts w:ascii="宋体" w:hAnsi="宋体" w:eastAsia="宋体"/>
          <w:b w:val="0"/>
          <w:sz w:val="24"/>
        </w:rPr>
        <w:t>[2] 张涛, 崔文波, 刘硕, 等. 基于平衡计分卡的政府数据开放绩效评估模型研究[J]. 信息资源管理学报, 2022, 12(3): 78-89.</w:t>
      </w:r>
    </w:p>
    <w:p>
      <w:r>
        <w:rPr>
          <w:rFonts w:ascii="宋体" w:hAnsi="宋体" w:eastAsia="宋体"/>
          <w:b w:val="0"/>
          <w:sz w:val="24"/>
        </w:rPr>
        <w:t>[3] 周文泓, 吴琼, 田欣, 等. 政府数据开放平台用户满意度评估研究[J]. 现代情报, 2022, 42(8): 112-124.</w:t>
      </w:r>
    </w:p>
    <w:p>
      <w:r>
        <w:rPr>
          <w:rFonts w:ascii="宋体" w:hAnsi="宋体" w:eastAsia="宋体"/>
          <w:b w:val="0"/>
          <w:sz w:val="24"/>
        </w:rPr>
        <w:t>[4] 黄如花, 王镁. 国内外政府数据开放评价研究综述[J]. 图书情报工作, 2021, 65(15): 134-144.</w:t>
      </w:r>
    </w:p>
    <w:p>
      <w:r>
        <w:rPr>
          <w:rFonts w:ascii="宋体" w:hAnsi="宋体" w:eastAsia="宋体"/>
          <w:b w:val="0"/>
          <w:sz w:val="24"/>
        </w:rPr>
        <w:t>[5] 黄国平. 数据要素市场化配置的理论逻辑与实现路径[J]. 经济管理, 2023, 45(2): 5-18.</w:t>
      </w:r>
    </w:p>
    <w:p>
      <w:r>
        <w:rPr>
          <w:rFonts w:ascii="宋体" w:hAnsi="宋体" w:eastAsia="宋体"/>
          <w:b w:val="0"/>
          <w:sz w:val="24"/>
        </w:rPr>
        <w:t>[6] 蔡昉, 顾海良, 韩保江, 等. 数字经济与高质量发展[J]. 经济研究, 2024, 59(1): 4-22.</w:t>
      </w:r>
    </w:p>
    <w:p>
      <w:r>
        <w:rPr>
          <w:rFonts w:ascii="宋体" w:hAnsi="宋体" w:eastAsia="宋体"/>
          <w:b w:val="0"/>
          <w:sz w:val="24"/>
        </w:rPr>
        <w:t>[7] 国务院办公厅. 促进大数据发展行动纲要[Z]. 国发〔2015〕50号, 2015.</w:t>
      </w:r>
    </w:p>
    <w:p>
      <w:r>
        <w:rPr>
          <w:rFonts w:ascii="宋体" w:hAnsi="宋体" w:eastAsia="宋体"/>
          <w:b w:val="0"/>
          <w:sz w:val="24"/>
        </w:rPr>
        <w:t>[8] 国务院. 关于构建数据基础制度更好发挥数据要素作用的意见[Z]. 2022.</w:t>
      </w:r>
    </w:p>
    <w:p>
      <w:r>
        <w:rPr>
          <w:rFonts w:ascii="宋体" w:hAnsi="宋体" w:eastAsia="宋体"/>
          <w:b w:val="0"/>
          <w:sz w:val="24"/>
        </w:rPr>
        <w:t>[9] Zuiderwijk A, Janssen M. Open Data Policies, Their Implementation and Impact: A Framework for Comparison[J]. Government Information Quarterly, 2014, 31(1): 17-29.</w:t>
      </w:r>
    </w:p>
    <w:p>
      <w:r>
        <w:rPr>
          <w:rFonts w:ascii="宋体" w:hAnsi="宋体" w:eastAsia="宋体"/>
          <w:b w:val="0"/>
          <w:sz w:val="24"/>
        </w:rPr>
        <w:t>[10] Jetzek T, Avital M, Bjorn-Andersen N. Data-Driven Innovation through Open Government Data[J]. Journal of Theoretical and Applied Electronic Commerce Research, 2014, 9(2): 100-120.</w:t>
      </w:r>
    </w:p>
    <w:p>
      <w:r>
        <w:rPr>
          <w:rFonts w:ascii="宋体" w:hAnsi="宋体" w:eastAsia="宋体"/>
          <w:b w:val="0"/>
          <w:sz w:val="24"/>
        </w:rPr>
        <w:t>[11] Martin C B, Hepworth M, Walby K. Developing Open Data Strategies: A Framework for Readiness Assessment[J]. Information Polity, 2020, 25(4): 449-463.</w:t>
      </w:r>
    </w:p>
    <w:p>
      <w:r>
        <w:rPr>
          <w:rFonts w:ascii="宋体" w:hAnsi="宋体" w:eastAsia="宋体"/>
          <w:b w:val="0"/>
          <w:sz w:val="24"/>
        </w:rPr>
        <w:t>[12] Safarov I, Meijer A, Grimmelikhuijsen S. Utilization of Open Government Data: A Case Study of Kazakhstan[J]. Information Polity, 2017, 22(4): 327-342.</w:t>
      </w:r>
    </w:p>
    <w:p>
      <w:r>
        <w:rPr>
          <w:rFonts w:ascii="宋体" w:hAnsi="宋体" w:eastAsia="宋体"/>
          <w:b w:val="0"/>
          <w:sz w:val="24"/>
        </w:rPr>
        <w:t>[13] Davies T. Open Data, Democracy and Public Sector Reform: A Look at Open Government Data Use from Data.gov.uk[D]. University of Oxford, 2010.</w:t>
      </w:r>
    </w:p>
    <w:p>
      <w:r>
        <w:rPr>
          <w:rFonts w:ascii="宋体" w:hAnsi="宋体" w:eastAsia="宋体"/>
          <w:b w:val="0"/>
          <w:sz w:val="24"/>
        </w:rPr>
        <w:t>[14] Yu H, Robinson D G. The New Ambiguity of 'Open Government'[J]. UCLA Law Review Discourse, 2012, 59: 178-208.</w:t>
      </w:r>
    </w:p>
    <w:p>
      <w:r>
        <w:rPr>
          <w:rFonts w:ascii="宋体" w:hAnsi="宋体" w:eastAsia="宋体"/>
          <w:b w:val="0"/>
          <w:sz w:val="24"/>
        </w:rPr>
        <w:t>[15] 张会平, 顾海林. 政府数据开放与公共数据授权运营的边界与衔接[J]. 情报理论与实践, 2023, 46(5): 45-52.</w:t>
      </w:r>
    </w:p>
    <w:p>
      <w:r>
        <w:rPr>
          <w:rFonts w:ascii="宋体" w:hAnsi="宋体" w:eastAsia="宋体"/>
          <w:b w:val="0"/>
          <w:sz w:val="24"/>
        </w:rPr>
        <w:t>[16] 杨孟辉, 马捷. 政府数据开放影响因素研究：基于TOE框架的元分析[J]. 情报学报, 2023, 42(3): 312-325.</w:t>
      </w:r>
    </w:p>
    <w:p>
      <w:r>
        <w:rPr>
          <w:rFonts w:ascii="宋体" w:hAnsi="宋体" w:eastAsia="宋体"/>
          <w:b w:val="0"/>
          <w:sz w:val="24"/>
        </w:rPr>
        <w:t>[17] Osborne S P, Brown K. Towards a New Theory of Public Service Co-Production[J]. Routledge Handbook of Service Research, 2013: 111-131.</w:t>
      </w:r>
    </w:p>
    <w:p>
      <w:r>
        <w:rPr>
          <w:rFonts w:ascii="宋体" w:hAnsi="宋体" w:eastAsia="宋体"/>
          <w:b w:val="0"/>
          <w:sz w:val="24"/>
        </w:rPr>
        <w:t>[18] Moore M H. Creating Public Value: Strategic Management in Government[M]. Cambridge: Harvard University Press, 1995.</w:t>
      </w:r>
    </w:p>
    <w:p>
      <w:r>
        <w:rPr>
          <w:rFonts w:ascii="宋体" w:hAnsi="宋体" w:eastAsia="宋体"/>
          <w:b w:val="0"/>
          <w:sz w:val="24"/>
        </w:rPr>
        <w:t>[19] 解志勇. 政府数据开放的法律边界与制度保障[J]. 比较法研究, 2023(3): 88-102.</w:t>
      </w:r>
    </w:p>
    <w:p>
      <w:r>
        <w:rPr>
          <w:rFonts w:ascii="宋体" w:hAnsi="宋体" w:eastAsia="宋体"/>
          <w:b w:val="0"/>
          <w:sz w:val="24"/>
        </w:rPr>
        <w:t>[20] 郑磊. 开放数据测量：方法、指标与争议[J]. 电子政务, 2018(5): 2-11.</w:t>
      </w:r>
    </w:p>
    <w:p>
      <w:r>
        <w:rPr>
          <w:rFonts w:ascii="宋体" w:hAnsi="宋体" w:eastAsia="宋体"/>
          <w:b w:val="0"/>
          <w:sz w:val="24"/>
        </w:rPr>
        <w:t>[21] Jetzek T. The Sustainable Value of Open Government Data[J]. Journal of the Association for Information Systems, 2015, 16(6): 455-478.</w:t>
      </w:r>
    </w:p>
    <w:p>
      <w:r>
        <w:rPr>
          <w:rFonts w:ascii="宋体" w:hAnsi="宋体" w:eastAsia="宋体"/>
          <w:b w:val="0"/>
          <w:sz w:val="24"/>
        </w:rPr>
        <w:t>[22] Zuiderwijk A, Janssen M, Choenni S, et al. Socio-technical Impediments of Open Data[J]. Electronic Journal of e-Government, 2012, 10(2): 156-172.</w:t>
      </w:r>
    </w:p>
    <w:p>
      <w:r>
        <w:rPr>
          <w:rFonts w:ascii="宋体" w:hAnsi="宋体" w:eastAsia="宋体"/>
          <w:b w:val="0"/>
          <w:sz w:val="24"/>
        </w:rPr>
        <w:t>[23] 黄如花, 李明. 开放数据评估的国际比较与启示[J]. 图书情报知识, 2022(3): 45-56.</w:t>
      </w:r>
    </w:p>
    <w:p>
      <w:r>
        <w:rPr>
          <w:rFonts w:ascii="宋体" w:hAnsi="宋体" w:eastAsia="宋体"/>
          <w:b w:val="0"/>
          <w:sz w:val="24"/>
        </w:rPr>
        <w:t>[24] 周文泓, 张涛. 政府数据开放平台的多维绩效评估：基于TOPSIS方法[J]. 情报杂志, 2023, 42(5): 178-185.</w:t>
      </w:r>
    </w:p>
    <w:p>
      <w:r>
        <w:rPr>
          <w:rFonts w:ascii="宋体" w:hAnsi="宋体" w:eastAsia="宋体"/>
          <w:b w:val="0"/>
          <w:sz w:val="24"/>
        </w:rPr>
        <w:t>[25] 黄国平, 郑磊. 公共部门绩效评估中的指标博弈：理论分析与治理对策[J]. 中国行政管理, 2022(8): 78-85.</w:t>
      </w:r>
    </w:p>
    <w:p>
      <w:r>
        <w:rPr>
          <w:rFonts w:ascii="宋体" w:hAnsi="宋体" w:eastAsia="宋体"/>
          <w:b w:val="0"/>
          <w:sz w:val="24"/>
        </w:rPr>
        <w:t>[26] 郑磊, 吕文增, 张锐昕. 中国地方政府数据开放报告——平台层、数据层与利用层[J]. 电子政务, 2020(7): 2-12.</w:t>
      </w:r>
    </w:p>
    <w:p>
      <w:r>
        <w:rPr>
          <w:rFonts w:ascii="宋体" w:hAnsi="宋体" w:eastAsia="宋体"/>
          <w:b w:val="0"/>
          <w:sz w:val="24"/>
        </w:rPr>
        <w:t>[27] 解志勇, 张涛. 政府数据开放的质量保障机制研究[J]. 情报理论与实践, 2024, 47(2): 56-64.</w:t>
      </w:r>
    </w:p>
    <w:p>
      <w:r>
        <w:rPr>
          <w:rFonts w:ascii="宋体" w:hAnsi="宋体" w:eastAsia="宋体"/>
          <w:b w:val="0"/>
          <w:sz w:val="24"/>
        </w:rPr>
        <w:t>[28] 杨孟辉, 张会平, 马捷. 公众开放数据利用意愿影响因素研究——基于csQCA的组态分析[J]. 情报学报, 2022, 41(5): 521-534.</w:t>
      </w:r>
    </w:p>
    <w:p>
      <w:r>
        <w:rPr>
          <w:rFonts w:ascii="宋体" w:hAnsi="宋体" w:eastAsia="宋体"/>
          <w:b w:val="0"/>
          <w:sz w:val="24"/>
        </w:rPr>
        <w:t>[29] 张涛, 刘硕, 崔文波. 政府数据开放平台的技术架构比较研究[J]. 数据分析与知识发现, 2023, 7(4): 112-124.</w:t>
      </w:r>
    </w:p>
    <w:p>
      <w:r>
        <w:rPr>
          <w:rFonts w:ascii="宋体" w:hAnsi="宋体" w:eastAsia="宋体"/>
          <w:b w:val="0"/>
          <w:sz w:val="24"/>
        </w:rPr>
        <w:t>[30] 周文泓, 田欣, 吴琼. 政府数据开放平台的用户体验评估：基于多方法融合[J]. 图书情报工作, 2023, 67(8): 89-102.</w:t>
      </w:r>
    </w:p>
    <w:p>
      <w:r>
        <w:rPr>
          <w:rFonts w:ascii="宋体" w:hAnsi="宋体" w:eastAsia="宋体"/>
          <w:b w:val="0"/>
          <w:sz w:val="24"/>
        </w:rPr>
      </w:r>
      <w:r>
        <w:rPr>
          <w:rFonts w:ascii="宋体" w:hAnsi="宋体" w:eastAsia="宋体"/>
          <w:b w:val="0"/>
          <w:i/>
          <w:sz w:val="24"/>
        </w:rPr>
        <w:t>（全文约15,600字，不含参考文献）</w:t>
      </w: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