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中国省级政府数据开放平台绩效评估——基于TOPSIS-DEA的实证研究</w:t>
      </w:r>
    </w:p>
    <w:p>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政府数据开放平台的绩效评估是数字政府建设的重要议题，但现有评估体系存在"重供给轻效果"的系统性偏差。本研究基于4E评估框架（供给保障-平台服务-数据质量-利用效果-公平性），构建了涵盖5个一级维度、24个具体指标的评估体系，运用AHP-熵权组合赋权确定指标权重，采用TOPSIS方法对全国23个省级政府数据开放平台进行综合绩效评估，并运用DEA-BCC方法评估各平台的资源配置效率。研究发现：（1）23个平台的绩效差异显著，呈现"头部集中"特征，广东（1.000）、山东（0.540）、浙江（0.415）位列前三；（2）无平台达到DEA有效（TE=1），23个平台均存在效率改进空间，"高绩效低效率"悖论显著；（3）绩效-效率矩阵将平台分为"明星型"（无）"优化型"（4个）"潜力型"（2个）和"帮扶型"（17个）四类；（4）区域差异显著，东部平台的绩效均值（0.32）和效率均值（0.25）均高于中部和西部，但东部内部差异同样显著。研究为政府数据开放平台的效果导向评估和效率优化提供了方法论工具和政策参考。</w:t>
      </w:r>
    </w:p>
    <w:p>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政府数据开放；绩效评估；TOPSIS；DEA；效率分析；4E框架</w:t>
      </w:r>
    </w:p>
    <w:p>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Performance evaluation of government open data platforms is a critical issue in digital government construction, yet existing evaluation systems suffer from a systemic bias of emphasizing supply over effect. Based on the 4E evaluation framework (Supply Assurance-Platform Service-Data Quality-Utilization Effect-Equity), this study constructs an evaluation system comprising 5 first-level dimensions and 24 specific indicators. Using AHP-entropy weight combination for indicator weighting, TOPSIS for comprehensive performance evaluation, and DEA-BCC for efficiency assessment, this study evaluates 23 provincial government open data platforms across China. The findings reveal that: (1) significant performance differences exist among the 23 platforms, exhibiting a "head concentration" pattern, with Guangdong (1.000), Shandong (0.540), and Zhejiang (0.415) ranking top three; (2) no platform achieves DEA efficiency (TE=1), and all 23 platforms have room for efficiency improvement, with a prominent "high performance-low efficiency" paradox; (3) the performance-efficiency matrix classifies platforms into four types: "Star" (none), "Optimization" (4), "Potential" (2), and "Support-needed" (17); (4) regional differences are significant, with eastern platforms outperforming central and western platforms in both performance mean (0.32) and efficiency mean (0.25), yet internal differences within the eastern region are also notable. This study provides methodological tools and policy references for effect-oriented evaluation and efficiency optimization of government open data platforms.</w:t>
      </w:r>
    </w:p>
    <w:p>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Open Government Data; Performance Evaluation; TOPSIS; DEA; Efficiency Analysis; 4E Framework</w:t>
      </w:r>
    </w:p>
    <w:p>
      <w:pPr>
        <w:pStyle w:val="Heading2"/>
      </w:pPr>
      <w:r>
        <w:rPr>
          <w:rFonts w:ascii="黑体" w:hAnsi="黑体" w:eastAsia="黑体"/>
          <w:b/>
          <w:sz w:val="28"/>
        </w:rPr>
        <w:t>1 引言</w:t>
      </w:r>
    </w:p>
    <w:p>
      <w:pPr>
        <w:pStyle w:val="Heading3"/>
      </w:pPr>
      <w:r>
        <w:rPr>
          <w:rFonts w:ascii="黑体" w:hAnsi="黑体" w:eastAsia="黑体"/>
          <w:b/>
          <w:sz w:val="24"/>
        </w:rPr>
        <w:t>1.1 政府数据开放的重要性与评估困境</w:t>
      </w:r>
    </w:p>
    <w:p>
      <w:r>
        <w:rPr>
          <w:rFonts w:ascii="宋体" w:hAnsi="宋体" w:eastAsia="宋体"/>
          <w:b w:val="0"/>
          <w:sz w:val="24"/>
        </w:rPr>
        <w:t>政府数据开放（Open Government Data, OGD）是数字政府建设的重要组成部分，也是数据要素价值释放的关键路径。自2009年美国Data.gov上线以来，全球已有超过100个国家和地区建立了政府数据开放平台。我国自2015年《促进大数据发展行动纲要》发布以来，政府数据开放平台建设进入快车道。截至2025年3月，全国31个省级行政区中已有28个建立了独立的政府数据开放门户，平台数量呈现快速扩张态势。</w:t>
      </w:r>
    </w:p>
    <w:p>
      <w:r>
        <w:rPr>
          <w:rFonts w:ascii="宋体" w:hAnsi="宋体" w:eastAsia="宋体"/>
          <w:b w:val="0"/>
          <w:sz w:val="24"/>
        </w:rPr>
        <w:t>然而，与平台建设"数量繁荣"形成鲜明对比的是评估体系的"效果贫瘠"。现有评估工具（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w:t>
      </w:r>
    </w:p>
    <w:p>
      <w:r>
        <w:rPr>
          <w:rFonts w:ascii="宋体" w:hAnsi="宋体" w:eastAsia="宋体"/>
          <w:b w:val="0"/>
          <w:sz w:val="24"/>
        </w:rPr>
        <w:t>更为关键的是，现有评估工具缺乏效率维度——它们衡量了"开放了多少"和"利用了多少"，但未衡量"投入了多少资源来获得这些产出"。一个投入1亿元获得500个应用的平台与一个投入1000万元获得200个应用的平台，哪个更"高效"？现有评估工具无法回答这一问题。效率维度的缺失使得评估结果无法为资源配置优化提供指导——高绩效平台是否高效？低绩效平台是否因为投入不足？这些问题的答案对于政策制定者和平台运营者至关重要。</w:t>
      </w:r>
    </w:p>
    <w:p>
      <w:r>
        <w:rPr>
          <w:rFonts w:ascii="宋体" w:hAnsi="宋体" w:eastAsia="宋体"/>
          <w:b w:val="0"/>
          <w:sz w:val="24"/>
        </w:rPr>
        <w:t>本研究提出的"高绩效低效率"悖论进一步凸显了效率评估的紧迫性。本研究的DEA分析结果显示，23个平台中没有一个是DEA有效的（TE=1），效率最高的山东平台TE仅为0.498。这意味着，即便是绩效表现最好的平台，其资源配置效率也仅为最优水平的不到一半。这一发现颠覆了"高绩效必然高效率"的直觉假设，揭示了我国政府数据开放平台建设中普遍存在的"粗放式"发展问题——重投入、轻管理，重数量、轻效率。</w:t>
      </w:r>
    </w:p>
    <w:p>
      <w:pPr>
        <w:pStyle w:val="Heading3"/>
      </w:pPr>
      <w:r>
        <w:rPr>
          <w:rFonts w:ascii="黑体" w:hAnsi="黑体" w:eastAsia="黑体"/>
          <w:b/>
          <w:sz w:val="24"/>
        </w:rPr>
        <w:t>1.2 现有评估的"重供给轻效果"偏差</w:t>
      </w:r>
    </w:p>
    <w:p>
      <w:r>
        <w:rPr>
          <w:rFonts w:ascii="宋体" w:hAnsi="宋体" w:eastAsia="宋体"/>
          <w:b w:val="0"/>
          <w:sz w:val="24"/>
        </w:rPr>
        <w:t>"重供给轻效果"偏差的形成有深刻的理论和实践根源。</w:t>
      </w:r>
    </w:p>
    <w:p>
      <w:r>
        <w:rPr>
          <w:rFonts w:ascii="宋体" w:hAnsi="宋体" w:eastAsia="宋体"/>
          <w:b w:val="0"/>
          <w:sz w:val="24"/>
        </w:rPr>
        <w:t>从理论层面看，供给导向的评估源于"可及性"（accessibility）范式的支配。早期政府数据开放研究将"开放"界定为"数据的可获取性"——只要数据被发布在平台上，就意味着"开放"的实现。这一范式将评估焦点锁定在供给侧指标（数据集数量、格式标准化程度、元数据完整率等），忽视了数据发布后的利用环节。然而，随着开放数据运动的深入，学界逐渐认识到"可及性"只是数据开放的必要条件，而非充分条件——数据的可及性不等于数据的可用性，数据的可用性不等于数据的价值实现。</w:t>
      </w:r>
    </w:p>
    <w:p>
      <w:r>
        <w:rPr>
          <w:rFonts w:ascii="宋体" w:hAnsi="宋体" w:eastAsia="宋体"/>
          <w:b w:val="0"/>
          <w:sz w:val="24"/>
        </w:rPr>
        <w:t>从实践层面看，供给导向的评估源于数据获取的便利性。供给侧指标（如数据集数量、更新频率）可以通过自动化采集系统轻松获取，而效果侧指标（如数据利用的经济价值、社会影响力）则需要复杂的追踪和评估。在评估资源有限的情况下，评估机构自然倾向于选择"容易测量"的指标，导致效果侧被系统性忽视。</w:t>
      </w:r>
    </w:p>
    <w:p>
      <w:r>
        <w:rPr>
          <w:rFonts w:ascii="宋体" w:hAnsi="宋体" w:eastAsia="宋体"/>
          <w:b w:val="0"/>
          <w:sz w:val="24"/>
        </w:rPr>
        <w:t>从行为层面看，供给导向的评估塑造了平台运营者的"数量最大化"行为。当评估体系将"数据集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数据口径幻觉"现象。</w:t>
      </w:r>
    </w:p>
    <w:p>
      <w:pPr>
        <w:pStyle w:val="Heading3"/>
      </w:pPr>
      <w:r>
        <w:rPr>
          <w:rFonts w:ascii="黑体" w:hAnsi="黑体" w:eastAsia="黑体"/>
          <w:b/>
          <w:sz w:val="24"/>
        </w:rPr>
        <w:t>1.3 研究目的：效果导向的绩效评估</w:t>
      </w:r>
    </w:p>
    <w:p>
      <w:r>
        <w:rPr>
          <w:rFonts w:ascii="宋体" w:hAnsi="宋体" w:eastAsia="宋体"/>
          <w:b w:val="0"/>
          <w:sz w:val="24"/>
        </w:rPr>
        <w:t>基于上述分析，本研究旨在构建一个"效果导向"的政府数据开放平台绩效评估框架，弥补现有评估体系的三个结构性局限：</w:t>
      </w:r>
    </w:p>
    <w:p>
      <w:r>
        <w:rPr>
          <w:rFonts w:ascii="宋体" w:hAnsi="宋体" w:eastAsia="宋体"/>
          <w:b w:val="0"/>
          <w:sz w:val="24"/>
        </w:rPr>
      </w:r>
      <w:r>
        <w:rPr>
          <w:rFonts w:ascii="宋体" w:hAnsi="宋体" w:eastAsia="宋体"/>
          <w:b/>
          <w:sz w:val="24"/>
        </w:rPr>
        <w:t>第一，效果导向。</w:t>
      </w:r>
      <w:r>
        <w:rPr>
          <w:rFonts w:ascii="宋体" w:hAnsi="宋体" w:eastAsia="宋体"/>
          <w:b w:val="0"/>
          <w:sz w:val="24"/>
        </w:rPr>
        <w:t xml:space="preserve"> 将"利用效果"从辅助维度提升为核心维度，构建从"供给"到"效果"的全链条评估体系。评估不仅关注"数据是否开放"，更关注"数据是否被利用""利用产生了多少价值"。</w:t>
      </w:r>
    </w:p>
    <w:p>
      <w:r>
        <w:rPr>
          <w:rFonts w:ascii="宋体" w:hAnsi="宋体" w:eastAsia="宋体"/>
          <w:b w:val="0"/>
          <w:sz w:val="24"/>
        </w:rPr>
      </w:r>
      <w:r>
        <w:rPr>
          <w:rFonts w:ascii="宋体" w:hAnsi="宋体" w:eastAsia="宋体"/>
          <w:b/>
          <w:sz w:val="24"/>
        </w:rPr>
        <w:t>第二，效率维度。</w:t>
      </w:r>
      <w:r>
        <w:rPr>
          <w:rFonts w:ascii="宋体" w:hAnsi="宋体" w:eastAsia="宋体"/>
          <w:b w:val="0"/>
          <w:sz w:val="24"/>
        </w:rPr>
        <w:t xml:space="preserve"> 引入DEA效率评价方法，评估各平台的资源配置效率，识别"高绩效低效率"和"低绩效高效率"的平台类型，为资源配置优化提供依据。</w:t>
      </w:r>
    </w:p>
    <w:p>
      <w:r>
        <w:rPr>
          <w:rFonts w:ascii="宋体" w:hAnsi="宋体" w:eastAsia="宋体"/>
          <w:b w:val="0"/>
          <w:sz w:val="24"/>
        </w:rPr>
      </w:r>
      <w:r>
        <w:rPr>
          <w:rFonts w:ascii="宋体" w:hAnsi="宋体" w:eastAsia="宋体"/>
          <w:b/>
          <w:sz w:val="24"/>
        </w:rPr>
        <w:t>第三，方法创新。</w:t>
      </w:r>
      <w:r>
        <w:rPr>
          <w:rFonts w:ascii="宋体" w:hAnsi="宋体" w:eastAsia="宋体"/>
          <w:b w:val="0"/>
          <w:sz w:val="24"/>
        </w:rPr>
        <w:t xml:space="preserve"> 采用TOPSIS-DEA组合方法，既评估绩效水平（"是什么"），又评估效率高低（"是否高效"），形成"绩效-效率"二维分析框架。</w:t>
      </w:r>
    </w:p>
    <w:p>
      <w:pPr>
        <w:pStyle w:val="Heading2"/>
      </w:pPr>
      <w:r>
        <w:rPr>
          <w:rFonts w:ascii="黑体" w:hAnsi="黑体" w:eastAsia="黑体"/>
          <w:b/>
          <w:sz w:val="28"/>
        </w:rPr>
        <w:t>2 评估框架与指标体系</w:t>
      </w:r>
    </w:p>
    <w:p>
      <w:pPr>
        <w:pStyle w:val="Heading3"/>
      </w:pPr>
      <w:r>
        <w:rPr>
          <w:rFonts w:ascii="黑体" w:hAnsi="黑体" w:eastAsia="黑体"/>
          <w:b/>
          <w:sz w:val="24"/>
        </w:rPr>
        <w:t>2.1 4E评估框架的引入</w:t>
      </w:r>
    </w:p>
    <w:p>
      <w:r>
        <w:rPr>
          <w:rFonts w:ascii="宋体" w:hAnsi="宋体" w:eastAsia="宋体"/>
          <w:b w:val="0"/>
          <w:sz w:val="24"/>
        </w:rPr>
        <w:t>本研究基于4E绩效评估框架构建政府数据开放平台的评估体系。4E框架源自公共部门绩效评估理论，包含经济性（Economy）、效率性（Efficiency）、效果性（Effectiveness）和公平性（Equity）四个维度。本研究将4E框架迁移到政府数据开放领域，并结合数据要素价值化理论进行了概念重构，增加了"质量性"（Quality）作为独立维度，形成了"供给保障-平台服务-数据质量-利用效果-公平性"的五维度评估框架。</w:t>
      </w:r>
    </w:p>
    <w:p>
      <w:r>
        <w:rPr>
          <w:rFonts w:ascii="宋体" w:hAnsi="宋体" w:eastAsia="宋体"/>
          <w:b w:val="0"/>
          <w:sz w:val="24"/>
        </w:rPr>
      </w:r>
      <w:r>
        <w:rPr>
          <w:rFonts w:ascii="宋体" w:hAnsi="宋体" w:eastAsia="宋体"/>
          <w:b/>
          <w:sz w:val="24"/>
        </w:rPr>
        <w:t>供给保障（Supply Assurance）对应经济性（Economy）。</w:t>
      </w:r>
      <w:r>
        <w:rPr>
          <w:rFonts w:ascii="宋体" w:hAnsi="宋体" w:eastAsia="宋体"/>
          <w:b w:val="0"/>
          <w:sz w:val="24"/>
        </w:rPr>
        <w:t xml:space="preserve"> 经济性关注"是否以最低成本获取资源"，在政府数据开放领域转化为"数据供给是否充分"。供给保障维度衡量平台开放的数据资源规模，包括数据集数量、主题覆盖度和更新频率等指标。</w:t>
      </w:r>
    </w:p>
    <w:p>
      <w:r>
        <w:rPr>
          <w:rFonts w:ascii="宋体" w:hAnsi="宋体" w:eastAsia="宋体"/>
          <w:b w:val="0"/>
          <w:sz w:val="24"/>
        </w:rPr>
      </w:r>
      <w:r>
        <w:rPr>
          <w:rFonts w:ascii="宋体" w:hAnsi="宋体" w:eastAsia="宋体"/>
          <w:b/>
          <w:sz w:val="24"/>
        </w:rPr>
        <w:t>平台服务（Platform Service）对应效率性（Efficiency）。</w:t>
      </w:r>
      <w:r>
        <w:rPr>
          <w:rFonts w:ascii="宋体" w:hAnsi="宋体" w:eastAsia="宋体"/>
          <w:b w:val="0"/>
          <w:sz w:val="24"/>
        </w:rPr>
        <w:t xml:space="preserve"> 效率性关注"投入产出比是否最优"，在政府数据开放领域转化为"数据从供给到需求的转化效率"。平台服务维度衡量平台的技术功能和用户体验，包括功能完整性、API开放度和响应速度等指标。</w:t>
      </w:r>
    </w:p>
    <w:p>
      <w:r>
        <w:rPr>
          <w:rFonts w:ascii="宋体" w:hAnsi="宋体" w:eastAsia="宋体"/>
          <w:b w:val="0"/>
          <w:sz w:val="24"/>
        </w:rPr>
      </w:r>
      <w:r>
        <w:rPr>
          <w:rFonts w:ascii="宋体" w:hAnsi="宋体" w:eastAsia="宋体"/>
          <w:b/>
          <w:sz w:val="24"/>
        </w:rPr>
        <w:t>数据质量（Data Quality）对应质量性（Quality）。</w:t>
      </w:r>
      <w:r>
        <w:rPr>
          <w:rFonts w:ascii="宋体" w:hAnsi="宋体" w:eastAsia="宋体"/>
          <w:b w:val="0"/>
          <w:sz w:val="24"/>
        </w:rPr>
        <w:t xml:space="preserve"> 质量性是本研究增加的独立维度，关注"数据是否可用"。数据质量维度衡量开放数据本身的质量水平，包括完整性、准确性和机读性等指标。</w:t>
      </w:r>
    </w:p>
    <w:p>
      <w:r>
        <w:rPr>
          <w:rFonts w:ascii="宋体" w:hAnsi="宋体" w:eastAsia="宋体"/>
          <w:b w:val="0"/>
          <w:sz w:val="24"/>
        </w:rPr>
      </w:r>
      <w:r>
        <w:rPr>
          <w:rFonts w:ascii="宋体" w:hAnsi="宋体" w:eastAsia="宋体"/>
          <w:b/>
          <w:sz w:val="24"/>
        </w:rPr>
        <w:t>利用效果（Utilization Effect）对应效果性（Effectiveness）。</w:t>
      </w:r>
      <w:r>
        <w:rPr>
          <w:rFonts w:ascii="宋体" w:hAnsi="宋体" w:eastAsia="宋体"/>
          <w:b w:val="0"/>
          <w:sz w:val="24"/>
        </w:rPr>
        <w:t xml:space="preserve"> 效果性关注"是否达成预定目标"，在政府数据开放领域转化为"数据利用产生了多少价值"。利用效果维度衡量数据利用的外部成果和社会影响，包括下载量、应用成果数和授权运营成效等指标。</w:t>
      </w:r>
    </w:p>
    <w:p>
      <w:r>
        <w:rPr>
          <w:rFonts w:ascii="宋体" w:hAnsi="宋体" w:eastAsia="宋体"/>
          <w:b w:val="0"/>
          <w:sz w:val="24"/>
        </w:rPr>
      </w:r>
      <w:r>
        <w:rPr>
          <w:rFonts w:ascii="宋体" w:hAnsi="宋体" w:eastAsia="宋体"/>
          <w:b/>
          <w:sz w:val="24"/>
        </w:rPr>
        <w:t>公平性（Equity）对应公平性（Equity）。</w:t>
      </w:r>
      <w:r>
        <w:rPr>
          <w:rFonts w:ascii="宋体" w:hAnsi="宋体" w:eastAsia="宋体"/>
          <w:b w:val="0"/>
          <w:sz w:val="24"/>
        </w:rPr>
        <w:t xml:space="preserve"> 公平性关注"红利分配是否公平"，在政府数据开放领域转化为"数据开放是否惠及不同区域和群体"。公平性维度衡量数据开放的包容性和可及性，包括区域公平和群体公平等指标。</w:t>
      </w:r>
    </w:p>
    <w:p>
      <w:r>
        <w:rPr>
          <w:rFonts w:ascii="宋体" w:hAnsi="宋体" w:eastAsia="宋体"/>
          <w:b w:val="0"/>
          <w:sz w:val="24"/>
        </w:rPr>
        <w:t>五个维度与数据要素价值化理论的价值链形成了逻辑映射：供给保障对应"数据资源化"，平台服务和数据质量对应"数据资产化"，利用效果对应"数据资本化"，公平性对应"价值分配"。这一映射为4E框架在政府数据开放领域的应用提供了理论论证。</w:t>
      </w:r>
    </w:p>
    <w:p>
      <w:pPr>
        <w:pStyle w:val="Heading3"/>
      </w:pPr>
      <w:r>
        <w:rPr>
          <w:rFonts w:ascii="黑体" w:hAnsi="黑体" w:eastAsia="黑体"/>
          <w:b/>
          <w:sz w:val="24"/>
        </w:rPr>
        <w:t>2.2 指标体系构建</w:t>
      </w:r>
    </w:p>
    <w:p>
      <w:r>
        <w:rPr>
          <w:rFonts w:ascii="宋体" w:hAnsi="宋体" w:eastAsia="宋体"/>
          <w:b w:val="0"/>
          <w:sz w:val="24"/>
        </w:rPr>
        <w:t>基于4E评估框架，本研究构建了涵盖5个一级维度、9个二级维度和24个具体指标的评估体系（表2-1）。</w:t>
      </w:r>
    </w:p>
    <w:p>
      <w:r>
        <w:rPr>
          <w:rFonts w:ascii="宋体" w:hAnsi="宋体" w:eastAsia="宋体"/>
          <w:b w:val="0"/>
          <w:sz w:val="24"/>
        </w:rPr>
      </w:r>
      <w:r>
        <w:rPr>
          <w:rFonts w:ascii="宋体" w:hAnsi="宋体" w:eastAsia="宋体"/>
          <w:b/>
          <w:sz w:val="24"/>
        </w:rPr>
        <w:t>表2-1 4E评估指标体系</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一级维度</w:t>
            </w:r>
          </w:p>
        </w:tc>
        <w:tc>
          <w:tcPr>
            <w:tcW w:type="dxa" w:w="1440"/>
          </w:tcPr>
          <w:p>
            <w:r>
              <w:rPr>
                <w:rFonts w:ascii="宋体" w:hAnsi="宋体" w:eastAsia="宋体"/>
                <w:b w:val="0"/>
                <w:sz w:val="24"/>
              </w:rPr>
              <w:t>权重</w:t>
            </w:r>
          </w:p>
        </w:tc>
        <w:tc>
          <w:tcPr>
            <w:tcW w:type="dxa" w:w="1440"/>
          </w:tcPr>
          <w:p>
            <w:r>
              <w:rPr>
                <w:rFonts w:ascii="宋体" w:hAnsi="宋体" w:eastAsia="宋体"/>
                <w:b w:val="0"/>
                <w:sz w:val="24"/>
              </w:rPr>
              <w:t>二级指标</w:t>
            </w:r>
          </w:p>
        </w:tc>
        <w:tc>
          <w:tcPr>
            <w:tcW w:type="dxa" w:w="1440"/>
          </w:tcPr>
          <w:p>
            <w:r>
              <w:rPr>
                <w:rFonts w:ascii="宋体" w:hAnsi="宋体" w:eastAsia="宋体"/>
                <w:b w:val="0"/>
                <w:sz w:val="24"/>
              </w:rPr>
              <w:t>权重</w:t>
            </w:r>
          </w:p>
        </w:tc>
        <w:tc>
          <w:tcPr>
            <w:tcW w:type="dxa" w:w="1440"/>
          </w:tcPr>
          <w:p>
            <w:r>
              <w:rPr>
                <w:rFonts w:ascii="宋体" w:hAnsi="宋体" w:eastAsia="宋体"/>
                <w:b w:val="0"/>
                <w:sz w:val="24"/>
              </w:rPr>
              <w:t>三级指标</w:t>
            </w:r>
          </w:p>
        </w:tc>
        <w:tc>
          <w:tcPr>
            <w:tcW w:type="dxa" w:w="1440"/>
          </w:tcPr>
          <w:p>
            <w:r>
              <w:rPr>
                <w:rFonts w:ascii="宋体" w:hAnsi="宋体" w:eastAsia="宋体"/>
                <w:b w:val="0"/>
                <w:sz w:val="24"/>
              </w:rPr>
              <w:t>指标说明</w:t>
            </w:r>
          </w:p>
        </w:tc>
      </w:tr>
      <w:tr>
        <w:tc>
          <w:tcPr>
            <w:tcW w:type="dxa" w:w="1440"/>
          </w:tcPr>
          <w:p>
            <w:r>
              <w:rPr>
                <w:rFonts w:ascii="宋体" w:hAnsi="宋体" w:eastAsia="宋体"/>
                <w:b w:val="0"/>
                <w:sz w:val="24"/>
              </w:rPr>
              <w:t>供给保障</w:t>
            </w:r>
          </w:p>
        </w:tc>
        <w:tc>
          <w:tcPr>
            <w:tcW w:type="dxa" w:w="1440"/>
          </w:tcPr>
          <w:p>
            <w:r>
              <w:rPr>
                <w:rFonts w:ascii="宋体" w:hAnsi="宋体" w:eastAsia="宋体"/>
                <w:b w:val="0"/>
                <w:sz w:val="24"/>
              </w:rPr>
              <w:t>0.20</w:t>
            </w:r>
          </w:p>
        </w:tc>
        <w:tc>
          <w:tcPr>
            <w:tcW w:type="dxa" w:w="1440"/>
          </w:tcPr>
          <w:p>
            <w:r>
              <w:rPr>
                <w:rFonts w:ascii="宋体" w:hAnsi="宋体" w:eastAsia="宋体"/>
                <w:b w:val="0"/>
                <w:sz w:val="24"/>
              </w:rPr>
              <w:t>数据规模</w:t>
            </w:r>
          </w:p>
        </w:tc>
        <w:tc>
          <w:tcPr>
            <w:tcW w:type="dxa" w:w="1440"/>
          </w:tcPr>
          <w:p>
            <w:r>
              <w:rPr>
                <w:rFonts w:ascii="宋体" w:hAnsi="宋体" w:eastAsia="宋体"/>
                <w:b w:val="0"/>
                <w:sz w:val="24"/>
              </w:rPr>
              <w:t>0.12</w:t>
            </w:r>
          </w:p>
        </w:tc>
        <w:tc>
          <w:tcPr>
            <w:tcW w:type="dxa" w:w="1440"/>
          </w:tcPr>
          <w:p>
            <w:r>
              <w:rPr>
                <w:rFonts w:ascii="宋体" w:hAnsi="宋体" w:eastAsia="宋体"/>
                <w:b w:val="0"/>
                <w:sz w:val="24"/>
              </w:rPr>
              <w:t>数据集数量</w:t>
            </w:r>
          </w:p>
        </w:tc>
        <w:tc>
          <w:tcPr>
            <w:tcW w:type="dxa" w:w="1440"/>
          </w:tcPr>
          <w:p>
            <w:r>
              <w:rPr>
                <w:rFonts w:ascii="宋体" w:hAnsi="宋体" w:eastAsia="宋体"/>
                <w:b w:val="0"/>
                <w:sz w:val="24"/>
              </w:rPr>
              <w:t>平台开放的数据集/目录数</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主题覆盖度</w:t>
            </w:r>
          </w:p>
        </w:tc>
        <w:tc>
          <w:tcPr>
            <w:tcW w:type="dxa" w:w="1440"/>
          </w:tcPr>
          <w:p>
            <w:r>
              <w:rPr>
                <w:rFonts w:ascii="宋体" w:hAnsi="宋体" w:eastAsia="宋体"/>
                <w:b w:val="0"/>
                <w:sz w:val="24"/>
              </w:rPr>
              <w:t>覆盖的主题领域数量</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更新频率</w:t>
            </w:r>
          </w:p>
        </w:tc>
        <w:tc>
          <w:tcPr>
            <w:tcW w:type="dxa" w:w="1440"/>
          </w:tcPr>
          <w:p>
            <w:r>
              <w:rPr>
                <w:rFonts w:ascii="宋体" w:hAnsi="宋体" w:eastAsia="宋体"/>
                <w:b w:val="0"/>
                <w:sz w:val="24"/>
              </w:rPr>
              <w:t>0.08</w:t>
            </w:r>
          </w:p>
        </w:tc>
        <w:tc>
          <w:tcPr>
            <w:tcW w:type="dxa" w:w="1440"/>
          </w:tcPr>
          <w:p>
            <w:r>
              <w:rPr>
                <w:rFonts w:ascii="宋体" w:hAnsi="宋体" w:eastAsia="宋体"/>
                <w:b w:val="0"/>
                <w:sz w:val="24"/>
              </w:rPr>
              <w:t>更新及时率</w:t>
            </w:r>
          </w:p>
        </w:tc>
        <w:tc>
          <w:tcPr>
            <w:tcW w:type="dxa" w:w="1440"/>
          </w:tcPr>
          <w:p>
            <w:r>
              <w:rPr>
                <w:rFonts w:ascii="宋体" w:hAnsi="宋体" w:eastAsia="宋体"/>
                <w:b w:val="0"/>
                <w:sz w:val="24"/>
              </w:rPr>
              <w:t>近一年内更新的数据集占比</w:t>
            </w:r>
          </w:p>
        </w:tc>
      </w:tr>
      <w:tr>
        <w:tc>
          <w:tcPr>
            <w:tcW w:type="dxa" w:w="1440"/>
          </w:tcPr>
          <w:p>
            <w:r>
              <w:rPr>
                <w:rFonts w:ascii="宋体" w:hAnsi="宋体" w:eastAsia="宋体"/>
                <w:b w:val="0"/>
                <w:sz w:val="24"/>
              </w:rPr>
              <w:t>平台服务</w:t>
            </w:r>
          </w:p>
        </w:tc>
        <w:tc>
          <w:tcPr>
            <w:tcW w:type="dxa" w:w="1440"/>
          </w:tcPr>
          <w:p>
            <w:r>
              <w:rPr>
                <w:rFonts w:ascii="宋体" w:hAnsi="宋体" w:eastAsia="宋体"/>
                <w:b w:val="0"/>
                <w:sz w:val="24"/>
              </w:rPr>
              <w:t>0.20</w:t>
            </w:r>
          </w:p>
        </w:tc>
        <w:tc>
          <w:tcPr>
            <w:tcW w:type="dxa" w:w="1440"/>
          </w:tcPr>
          <w:p>
            <w:r>
              <w:rPr>
                <w:rFonts w:ascii="宋体" w:hAnsi="宋体" w:eastAsia="宋体"/>
                <w:b w:val="0"/>
                <w:sz w:val="24"/>
              </w:rPr>
              <w:t>功能完整性</w:t>
            </w:r>
          </w:p>
        </w:tc>
        <w:tc>
          <w:tcPr>
            <w:tcW w:type="dxa" w:w="1440"/>
          </w:tcPr>
          <w:p>
            <w:r>
              <w:rPr>
                <w:rFonts w:ascii="宋体" w:hAnsi="宋体" w:eastAsia="宋体"/>
                <w:b w:val="0"/>
                <w:sz w:val="24"/>
              </w:rPr>
              <w:t>0.12</w:t>
            </w:r>
          </w:p>
        </w:tc>
        <w:tc>
          <w:tcPr>
            <w:tcW w:type="dxa" w:w="1440"/>
          </w:tcPr>
          <w:p>
            <w:r>
              <w:rPr>
                <w:rFonts w:ascii="宋体" w:hAnsi="宋体" w:eastAsia="宋体"/>
                <w:b w:val="0"/>
                <w:sz w:val="24"/>
              </w:rPr>
              <w:t>检索功能</w:t>
            </w:r>
          </w:p>
        </w:tc>
        <w:tc>
          <w:tcPr>
            <w:tcW w:type="dxa" w:w="1440"/>
          </w:tcPr>
          <w:p>
            <w:r>
              <w:rPr>
                <w:rFonts w:ascii="宋体" w:hAnsi="宋体" w:eastAsia="宋体"/>
                <w:b w:val="0"/>
                <w:sz w:val="24"/>
              </w:rPr>
              <w:t>多维度数据检索能力</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预览功能</w:t>
            </w:r>
          </w:p>
        </w:tc>
        <w:tc>
          <w:tcPr>
            <w:tcW w:type="dxa" w:w="1440"/>
          </w:tcPr>
          <w:p>
            <w:r>
              <w:rPr>
                <w:rFonts w:ascii="宋体" w:hAnsi="宋体" w:eastAsia="宋体"/>
                <w:b w:val="0"/>
                <w:sz w:val="24"/>
              </w:rPr>
              <w:t>数据在线预览能力</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下载功能</w:t>
            </w:r>
          </w:p>
        </w:tc>
        <w:tc>
          <w:tcPr>
            <w:tcW w:type="dxa" w:w="1440"/>
          </w:tcPr>
          <w:p>
            <w:r>
              <w:rPr>
                <w:rFonts w:ascii="宋体" w:hAnsi="宋体" w:eastAsia="宋体"/>
                <w:b w:val="0"/>
                <w:sz w:val="24"/>
              </w:rPr>
              <w:t>数据下载便利性</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API开放度</w:t>
            </w:r>
          </w:p>
        </w:tc>
        <w:tc>
          <w:tcPr>
            <w:tcW w:type="dxa" w:w="1440"/>
          </w:tcPr>
          <w:p>
            <w:r>
              <w:rPr>
                <w:rFonts w:ascii="宋体" w:hAnsi="宋体" w:eastAsia="宋体"/>
                <w:b w:val="0"/>
                <w:sz w:val="24"/>
              </w:rPr>
              <w:t>0.08</w:t>
            </w:r>
          </w:p>
        </w:tc>
        <w:tc>
          <w:tcPr>
            <w:tcW w:type="dxa" w:w="1440"/>
          </w:tcPr>
          <w:p>
            <w:r>
              <w:rPr>
                <w:rFonts w:ascii="宋体" w:hAnsi="宋体" w:eastAsia="宋体"/>
                <w:b w:val="0"/>
                <w:sz w:val="24"/>
              </w:rPr>
              <w:t>API接口数</w:t>
            </w:r>
          </w:p>
        </w:tc>
        <w:tc>
          <w:tcPr>
            <w:tcW w:type="dxa" w:w="1440"/>
          </w:tcPr>
          <w:p>
            <w:r>
              <w:rPr>
                <w:rFonts w:ascii="宋体" w:hAnsi="宋体" w:eastAsia="宋体"/>
                <w:b w:val="0"/>
                <w:sz w:val="24"/>
              </w:rPr>
              <w:t>开放API接口数量</w:t>
            </w:r>
          </w:p>
        </w:tc>
      </w:tr>
      <w:tr>
        <w:tc>
          <w:tcPr>
            <w:tcW w:type="dxa" w:w="1440"/>
          </w:tcPr>
          <w:p>
            <w:r>
              <w:rPr>
                <w:rFonts w:ascii="宋体" w:hAnsi="宋体" w:eastAsia="宋体"/>
                <w:b w:val="0"/>
                <w:sz w:val="24"/>
              </w:rPr>
              <w:t>数据质量</w:t>
            </w:r>
          </w:p>
        </w:tc>
        <w:tc>
          <w:tcPr>
            <w:tcW w:type="dxa" w:w="1440"/>
          </w:tcPr>
          <w:p>
            <w:r>
              <w:rPr>
                <w:rFonts w:ascii="宋体" w:hAnsi="宋体" w:eastAsia="宋体"/>
                <w:b w:val="0"/>
                <w:sz w:val="24"/>
              </w:rPr>
              <w:t>0.20</w:t>
            </w:r>
          </w:p>
        </w:tc>
        <w:tc>
          <w:tcPr>
            <w:tcW w:type="dxa" w:w="1440"/>
          </w:tcPr>
          <w:p>
            <w:r>
              <w:rPr>
                <w:rFonts w:ascii="宋体" w:hAnsi="宋体" w:eastAsia="宋体"/>
                <w:b w:val="0"/>
                <w:sz w:val="24"/>
              </w:rPr>
              <w:t>完整性</w:t>
            </w:r>
          </w:p>
        </w:tc>
        <w:tc>
          <w:tcPr>
            <w:tcW w:type="dxa" w:w="1440"/>
          </w:tcPr>
          <w:p>
            <w:r>
              <w:rPr>
                <w:rFonts w:ascii="宋体" w:hAnsi="宋体" w:eastAsia="宋体"/>
                <w:b w:val="0"/>
                <w:sz w:val="24"/>
              </w:rPr>
              <w:t>0.08</w:t>
            </w:r>
          </w:p>
        </w:tc>
        <w:tc>
          <w:tcPr>
            <w:tcW w:type="dxa" w:w="1440"/>
          </w:tcPr>
          <w:p>
            <w:r>
              <w:rPr>
                <w:rFonts w:ascii="宋体" w:hAnsi="宋体" w:eastAsia="宋体"/>
                <w:b w:val="0"/>
                <w:sz w:val="24"/>
              </w:rPr>
              <w:t>元数据完整率</w:t>
            </w:r>
          </w:p>
        </w:tc>
        <w:tc>
          <w:tcPr>
            <w:tcW w:type="dxa" w:w="1440"/>
          </w:tcPr>
          <w:p>
            <w:r>
              <w:rPr>
                <w:rFonts w:ascii="宋体" w:hAnsi="宋体" w:eastAsia="宋体"/>
                <w:b w:val="0"/>
                <w:sz w:val="24"/>
              </w:rPr>
              <w:t>元数据字段完整程度</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准确性</w:t>
            </w:r>
          </w:p>
        </w:tc>
        <w:tc>
          <w:tcPr>
            <w:tcW w:type="dxa" w:w="1440"/>
          </w:tcPr>
          <w:p>
            <w:r>
              <w:rPr>
                <w:rFonts w:ascii="宋体" w:hAnsi="宋体" w:eastAsia="宋体"/>
                <w:b w:val="0"/>
                <w:sz w:val="24"/>
              </w:rPr>
              <w:t>0.06</w:t>
            </w:r>
          </w:p>
        </w:tc>
        <w:tc>
          <w:tcPr>
            <w:tcW w:type="dxa" w:w="1440"/>
          </w:tcPr>
          <w:p>
            <w:r>
              <w:rPr>
                <w:rFonts w:ascii="宋体" w:hAnsi="宋体" w:eastAsia="宋体"/>
                <w:b w:val="0"/>
                <w:sz w:val="24"/>
              </w:rPr>
              <w:t>数据准确率</w:t>
            </w:r>
          </w:p>
        </w:tc>
        <w:tc>
          <w:tcPr>
            <w:tcW w:type="dxa" w:w="1440"/>
          </w:tcPr>
          <w:p>
            <w:r>
              <w:rPr>
                <w:rFonts w:ascii="宋体" w:hAnsi="宋体" w:eastAsia="宋体"/>
                <w:b w:val="0"/>
                <w:sz w:val="24"/>
              </w:rPr>
              <w:t>抽样数据的准确率</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机读性</w:t>
            </w:r>
          </w:p>
        </w:tc>
        <w:tc>
          <w:tcPr>
            <w:tcW w:type="dxa" w:w="1440"/>
          </w:tcPr>
          <w:p>
            <w:r>
              <w:rPr>
                <w:rFonts w:ascii="宋体" w:hAnsi="宋体" w:eastAsia="宋体"/>
                <w:b w:val="0"/>
                <w:sz w:val="24"/>
              </w:rPr>
              <w:t>0.06</w:t>
            </w:r>
          </w:p>
        </w:tc>
        <w:tc>
          <w:tcPr>
            <w:tcW w:type="dxa" w:w="1440"/>
          </w:tcPr>
          <w:p>
            <w:r>
              <w:rPr>
                <w:rFonts w:ascii="宋体" w:hAnsi="宋体" w:eastAsia="宋体"/>
                <w:b w:val="0"/>
                <w:sz w:val="24"/>
              </w:rPr>
              <w:t>结构化格式占比</w:t>
            </w:r>
          </w:p>
        </w:tc>
        <w:tc>
          <w:tcPr>
            <w:tcW w:type="dxa" w:w="1440"/>
          </w:tcPr>
          <w:p>
            <w:r>
              <w:rPr>
                <w:rFonts w:ascii="宋体" w:hAnsi="宋体" w:eastAsia="宋体"/>
                <w:b w:val="0"/>
                <w:sz w:val="24"/>
              </w:rPr>
              <w:t>CSV/JSON/XML等格式占比</w:t>
            </w:r>
          </w:p>
        </w:tc>
      </w:tr>
      <w:tr>
        <w:tc>
          <w:tcPr>
            <w:tcW w:type="dxa" w:w="1440"/>
          </w:tcPr>
          <w:p>
            <w:r>
              <w:rPr>
                <w:rFonts w:ascii="宋体" w:hAnsi="宋体" w:eastAsia="宋体"/>
                <w:b w:val="0"/>
                <w:sz w:val="24"/>
              </w:rPr>
            </w:r>
            <w:r>
              <w:rPr>
                <w:rFonts w:ascii="宋体" w:hAnsi="宋体" w:eastAsia="宋体"/>
                <w:b/>
                <w:sz w:val="24"/>
              </w:rPr>
              <w:t>利用效果</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0.30</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下载利用</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0.12</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年均下载量</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数据集年均下载次数</w:t>
            </w:r>
            <w:r>
              <w:rPr>
                <w:rFonts w:ascii="宋体" w:hAnsi="宋体" w:eastAsia="宋体"/>
                <w:b w:val="0"/>
                <w:sz w:val="24"/>
              </w:rPr>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应用成果</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0.10</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应用数量</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数据应用/案例数量</w:t>
            </w:r>
            <w:r>
              <w:rPr>
                <w:rFonts w:ascii="宋体" w:hAnsi="宋体" w:eastAsia="宋体"/>
                <w:b w:val="0"/>
                <w:sz w:val="24"/>
              </w:rPr>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授权运营</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0.08</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授权运营项目数</w:t>
            </w:r>
            <w:r>
              <w:rPr>
                <w:rFonts w:ascii="宋体" w:hAnsi="宋体" w:eastAsia="宋体"/>
                <w:b w:val="0"/>
                <w:sz w:val="24"/>
              </w:rPr>
            </w:r>
          </w:p>
        </w:tc>
        <w:tc>
          <w:tcPr>
            <w:tcW w:type="dxa" w:w="1440"/>
          </w:tcPr>
          <w:p>
            <w:r>
              <w:rPr>
                <w:rFonts w:ascii="宋体" w:hAnsi="宋体" w:eastAsia="宋体"/>
                <w:b w:val="0"/>
                <w:sz w:val="24"/>
              </w:rPr>
            </w:r>
            <w:r>
              <w:rPr>
                <w:rFonts w:ascii="宋体" w:hAnsi="宋体" w:eastAsia="宋体"/>
                <w:b/>
                <w:sz w:val="24"/>
              </w:rPr>
              <w:t>授权运营项目数量</w:t>
            </w:r>
            <w:r>
              <w:rPr>
                <w:rFonts w:ascii="宋体" w:hAnsi="宋体" w:eastAsia="宋体"/>
                <w:b w:val="0"/>
                <w:sz w:val="24"/>
              </w:rPr>
            </w:r>
          </w:p>
        </w:tc>
      </w:tr>
      <w:tr>
        <w:tc>
          <w:tcPr>
            <w:tcW w:type="dxa" w:w="1440"/>
          </w:tcPr>
          <w:p>
            <w:r>
              <w:rPr>
                <w:rFonts w:ascii="宋体" w:hAnsi="宋体" w:eastAsia="宋体"/>
                <w:b w:val="0"/>
                <w:sz w:val="24"/>
              </w:rPr>
              <w:t>公平性</w:t>
            </w:r>
          </w:p>
        </w:tc>
        <w:tc>
          <w:tcPr>
            <w:tcW w:type="dxa" w:w="1440"/>
          </w:tcPr>
          <w:p>
            <w:r>
              <w:rPr>
                <w:rFonts w:ascii="宋体" w:hAnsi="宋体" w:eastAsia="宋体"/>
                <w:b w:val="0"/>
                <w:sz w:val="24"/>
              </w:rPr>
              <w:t>0.10</w:t>
            </w:r>
          </w:p>
        </w:tc>
        <w:tc>
          <w:tcPr>
            <w:tcW w:type="dxa" w:w="1440"/>
          </w:tcPr>
          <w:p>
            <w:r>
              <w:rPr>
                <w:rFonts w:ascii="宋体" w:hAnsi="宋体" w:eastAsia="宋体"/>
                <w:b w:val="0"/>
                <w:sz w:val="24"/>
              </w:rPr>
              <w:t>区域公平</w:t>
            </w:r>
          </w:p>
        </w:tc>
        <w:tc>
          <w:tcPr>
            <w:tcW w:type="dxa" w:w="1440"/>
          </w:tcPr>
          <w:p>
            <w:r>
              <w:rPr>
                <w:rFonts w:ascii="宋体" w:hAnsi="宋体" w:eastAsia="宋体"/>
                <w:b w:val="0"/>
                <w:sz w:val="24"/>
              </w:rPr>
              <w:t>0.06</w:t>
            </w:r>
          </w:p>
        </w:tc>
        <w:tc>
          <w:tcPr>
            <w:tcW w:type="dxa" w:w="1440"/>
          </w:tcPr>
          <w:p>
            <w:r>
              <w:rPr>
                <w:rFonts w:ascii="宋体" w:hAnsi="宋体" w:eastAsia="宋体"/>
                <w:b w:val="0"/>
                <w:sz w:val="24"/>
              </w:rPr>
              <w:t>东中西部可及性</w:t>
            </w:r>
          </w:p>
        </w:tc>
        <w:tc>
          <w:tcPr>
            <w:tcW w:type="dxa" w:w="1440"/>
          </w:tcPr>
          <w:p>
            <w:r>
              <w:rPr>
                <w:rFonts w:ascii="宋体" w:hAnsi="宋体" w:eastAsia="宋体"/>
                <w:b w:val="0"/>
                <w:sz w:val="24"/>
              </w:rPr>
              <w:t>不同区域用户的数据可及性</w:t>
            </w:r>
          </w:p>
        </w:tc>
      </w:tr>
      <w:tr>
        <w:tc>
          <w:tcPr>
            <w:tcW w:type="dxa" w:w="1440"/>
          </w:tcPr>
          <w:p>
            <w:r>
              <w:rPr>
                <w:rFonts w:ascii="宋体" w:hAnsi="宋体" w:eastAsia="宋体"/>
                <w:b w:val="0"/>
                <w:sz w:val="24"/>
              </w:rPr>
            </w:r>
          </w:p>
        </w:tc>
        <w:tc>
          <w:tcPr>
            <w:tcW w:type="dxa" w:w="1440"/>
          </w:tcPr>
          <w:p>
            <w:r>
              <w:rPr>
                <w:rFonts w:ascii="宋体" w:hAnsi="宋体" w:eastAsia="宋体"/>
                <w:b w:val="0"/>
                <w:sz w:val="24"/>
              </w:rPr>
            </w:r>
          </w:p>
        </w:tc>
        <w:tc>
          <w:tcPr>
            <w:tcW w:type="dxa" w:w="1440"/>
          </w:tcPr>
          <w:p>
            <w:r>
              <w:rPr>
                <w:rFonts w:ascii="宋体" w:hAnsi="宋体" w:eastAsia="宋体"/>
                <w:b w:val="0"/>
                <w:sz w:val="24"/>
              </w:rPr>
              <w:t>群体公平</w:t>
            </w:r>
          </w:p>
        </w:tc>
        <w:tc>
          <w:tcPr>
            <w:tcW w:type="dxa" w:w="1440"/>
          </w:tcPr>
          <w:p>
            <w:r>
              <w:rPr>
                <w:rFonts w:ascii="宋体" w:hAnsi="宋体" w:eastAsia="宋体"/>
                <w:b w:val="0"/>
                <w:sz w:val="24"/>
              </w:rPr>
              <w:t>0.04</w:t>
            </w:r>
          </w:p>
        </w:tc>
        <w:tc>
          <w:tcPr>
            <w:tcW w:type="dxa" w:w="1440"/>
          </w:tcPr>
          <w:p>
            <w:r>
              <w:rPr>
                <w:rFonts w:ascii="宋体" w:hAnsi="宋体" w:eastAsia="宋体"/>
                <w:b w:val="0"/>
                <w:sz w:val="24"/>
              </w:rPr>
              <w:t>弱势群体包容性</w:t>
            </w:r>
          </w:p>
        </w:tc>
        <w:tc>
          <w:tcPr>
            <w:tcW w:type="dxa" w:w="1440"/>
          </w:tcPr>
          <w:p>
            <w:r>
              <w:rPr>
                <w:rFonts w:ascii="宋体" w:hAnsi="宋体" w:eastAsia="宋体"/>
                <w:b w:val="0"/>
                <w:sz w:val="24"/>
              </w:rPr>
              <w:t>老年人/残障人士等包容性</w:t>
            </w:r>
          </w:p>
        </w:tc>
      </w:tr>
    </w:tbl>
    <w:p>
      <w:r>
        <w:rPr>
          <w:rFonts w:ascii="宋体" w:hAnsi="宋体" w:eastAsia="宋体"/>
          <w:b w:val="0"/>
          <w:sz w:val="24"/>
        </w:rPr>
      </w:r>
      <w:r>
        <w:rPr>
          <w:rFonts w:ascii="宋体" w:hAnsi="宋体" w:eastAsia="宋体"/>
          <w:b w:val="0"/>
          <w:i/>
          <w:sz w:val="24"/>
        </w:rPr>
        <w:t>数据来源：作者整理。权重基于AHP-熵权组合赋权确定。</w:t>
      </w:r>
      <w:r>
        <w:rPr>
          <w:rFonts w:ascii="宋体" w:hAnsi="宋体" w:eastAsia="宋体"/>
          <w:b w:val="0"/>
          <w:sz w:val="24"/>
        </w:rPr>
      </w:r>
    </w:p>
    <w:p>
      <w:r>
        <w:rPr>
          <w:rFonts w:ascii="宋体" w:hAnsi="宋体" w:eastAsia="宋体"/>
          <w:b w:val="0"/>
          <w:sz w:val="24"/>
        </w:rPr>
        <w:t>指标体系的设计遵循了以下原则：</w:t>
      </w:r>
    </w:p>
    <w:p>
      <w:r>
        <w:rPr>
          <w:rFonts w:ascii="宋体" w:hAnsi="宋体" w:eastAsia="宋体"/>
          <w:b w:val="0"/>
          <w:sz w:val="24"/>
        </w:rPr>
      </w:r>
      <w:r>
        <w:rPr>
          <w:rFonts w:ascii="宋体" w:hAnsi="宋体" w:eastAsia="宋体"/>
          <w:b/>
          <w:sz w:val="24"/>
        </w:rPr>
        <w:t>SMART原则。</w:t>
      </w:r>
      <w:r>
        <w:rPr>
          <w:rFonts w:ascii="宋体" w:hAnsi="宋体" w:eastAsia="宋体"/>
          <w:b w:val="0"/>
          <w:sz w:val="24"/>
        </w:rPr>
        <w:t xml:space="preserve"> 所有指标均满足具体（Specific）、可测量（Measurable）、可达成（Achievable）、相关（Relevant）和有时限（Time-bound）的要求。例如，"数据集数量"通过自动化采集系统统计，"年均下载量"通过平台统计接口或第三方监测获取，"应用数量"通过平台公示和人工核验确认。</w:t>
      </w:r>
    </w:p>
    <w:p>
      <w:r>
        <w:rPr>
          <w:rFonts w:ascii="宋体" w:hAnsi="宋体" w:eastAsia="宋体"/>
          <w:b w:val="0"/>
          <w:sz w:val="24"/>
        </w:rPr>
      </w:r>
      <w:r>
        <w:rPr>
          <w:rFonts w:ascii="宋体" w:hAnsi="宋体" w:eastAsia="宋体"/>
          <w:b/>
          <w:sz w:val="24"/>
        </w:rPr>
        <w:t>独立性原则。</w:t>
      </w:r>
      <w:r>
        <w:rPr>
          <w:rFonts w:ascii="宋体" w:hAnsi="宋体" w:eastAsia="宋体"/>
          <w:b w:val="0"/>
          <w:sz w:val="24"/>
        </w:rPr>
        <w:t xml:space="preserve"> 各指标之间相互独立，避免信息冗余。例如，"数据集数量"和"主题覆盖度"虽然都衡量供给规模，但前者衡量"数量"，后者衡量"广度"，二者提供了不同维度的信息。</w:t>
      </w:r>
    </w:p>
    <w:p>
      <w:r>
        <w:rPr>
          <w:rFonts w:ascii="宋体" w:hAnsi="宋体" w:eastAsia="宋体"/>
          <w:b w:val="0"/>
          <w:sz w:val="24"/>
        </w:rPr>
      </w:r>
      <w:r>
        <w:rPr>
          <w:rFonts w:ascii="宋体" w:hAnsi="宋体" w:eastAsia="宋体"/>
          <w:b/>
          <w:sz w:val="24"/>
        </w:rPr>
        <w:t>可比性原则。</w:t>
      </w:r>
      <w:r>
        <w:rPr>
          <w:rFonts w:ascii="宋体" w:hAnsi="宋体" w:eastAsia="宋体"/>
          <w:b w:val="0"/>
          <w:sz w:val="24"/>
        </w:rPr>
        <w:t xml:space="preserve"> 所有指标均可进行跨平台比较。例如，"元数据完整率"的计算采用统一的字段标准，"结构化格式占比"采用统一的格式分类标准，确保不同平台之间的得分具有可比性。</w:t>
      </w:r>
    </w:p>
    <w:p>
      <w:r>
        <w:rPr>
          <w:rFonts w:ascii="宋体" w:hAnsi="宋体" w:eastAsia="宋体"/>
          <w:b w:val="0"/>
          <w:sz w:val="24"/>
        </w:rPr>
      </w:r>
      <w:r>
        <w:rPr>
          <w:rFonts w:ascii="宋体" w:hAnsi="宋体" w:eastAsia="宋体"/>
          <w:b/>
          <w:sz w:val="24"/>
        </w:rPr>
        <w:t>效果导向原则。</w:t>
      </w:r>
      <w:r>
        <w:rPr>
          <w:rFonts w:ascii="宋体" w:hAnsi="宋体" w:eastAsia="宋体"/>
          <w:b w:val="0"/>
          <w:sz w:val="24"/>
        </w:rPr>
        <w:t xml:space="preserve"> 指标体系将"利用效果"维度的权重提升至30%，并引入了授权运营成效、API调用深度等前瞻性指标，超越了简单的"应用数量统计"。这一权重设计体现了从"供给导向"到"效果导向"的范式转变。</w:t>
      </w:r>
    </w:p>
    <w:p>
      <w:pPr>
        <w:pStyle w:val="Heading3"/>
      </w:pPr>
      <w:r>
        <w:rPr>
          <w:rFonts w:ascii="黑体" w:hAnsi="黑体" w:eastAsia="黑体"/>
          <w:b/>
          <w:sz w:val="24"/>
        </w:rPr>
        <w:t>2.3 AHP-熵权组合赋权方法</w:t>
      </w:r>
    </w:p>
    <w:p>
      <w:r>
        <w:rPr>
          <w:rFonts w:ascii="宋体" w:hAnsi="宋体" w:eastAsia="宋体"/>
          <w:b w:val="0"/>
          <w:sz w:val="24"/>
        </w:rPr>
        <w:t>指标权重的确定采用AHP-熵权组合赋权法，兼顾主观偏好和客观信息。</w:t>
      </w:r>
    </w:p>
    <w:p>
      <w:r>
        <w:rPr>
          <w:rFonts w:ascii="宋体" w:hAnsi="宋体" w:eastAsia="宋体"/>
          <w:b w:val="0"/>
          <w:sz w:val="24"/>
        </w:rPr>
      </w:r>
      <w:r>
        <w:rPr>
          <w:rFonts w:ascii="宋体" w:hAnsi="宋体" w:eastAsia="宋体"/>
          <w:b/>
          <w:sz w:val="24"/>
        </w:rPr>
        <w:t>AHP主观赋权。</w:t>
      </w:r>
      <w:r>
        <w:rPr>
          <w:rFonts w:ascii="宋体" w:hAnsi="宋体" w:eastAsia="宋体"/>
          <w:b w:val="0"/>
          <w:sz w:val="24"/>
        </w:rPr>
        <w:t xml:space="preserve"> 邀请10位政府数据开放领域的专家（包括高校研究者5位、平台运营者3位、政策制定者2位）进行层次分析法（AHP）打分。专家基于Saaty 1-9标度法对各指标的重要性进行两两比较，构建判断矩阵。通过计算判断矩阵的最大特征值和特征向量，得到各指标的主观权重。AHP的一致性比率（CR）为0.032，小于0.10的阈值，表明专家判断具有较好的一致性。</w:t>
      </w:r>
    </w:p>
    <w:p>
      <w:r>
        <w:rPr>
          <w:rFonts w:ascii="宋体" w:hAnsi="宋体" w:eastAsia="宋体"/>
          <w:b w:val="0"/>
          <w:sz w:val="24"/>
        </w:rPr>
      </w:r>
      <w:r>
        <w:rPr>
          <w:rFonts w:ascii="宋体" w:hAnsi="宋体" w:eastAsia="宋体"/>
          <w:b/>
          <w:sz w:val="24"/>
        </w:rPr>
        <w:t>熵权客观赋权。</w:t>
      </w:r>
      <w:r>
        <w:rPr>
          <w:rFonts w:ascii="宋体" w:hAnsi="宋体" w:eastAsia="宋体"/>
          <w:b w:val="0"/>
          <w:sz w:val="24"/>
        </w:rPr>
        <w:t xml:space="preserve"> 基于23个平台的实际数据，采用熵权法计算各指标的客观权重。熵权法的核心思想是：指标的信息熵越小，表明该指标在不同平台间的差异越大，蕴含的信息量越多，因此权重应越高。通过计算各指标的信息熵和差异系数，得到各指标的客观权重。</w:t>
      </w:r>
    </w:p>
    <w:p>
      <w:r>
        <w:rPr>
          <w:rFonts w:ascii="宋体" w:hAnsi="宋体" w:eastAsia="宋体"/>
          <w:b w:val="0"/>
          <w:sz w:val="24"/>
        </w:rPr>
      </w:r>
      <w:r>
        <w:rPr>
          <w:rFonts w:ascii="宋体" w:hAnsi="宋体" w:eastAsia="宋体"/>
          <w:b/>
          <w:sz w:val="24"/>
        </w:rPr>
        <w:t>组合赋权。</w:t>
      </w:r>
      <w:r>
        <w:rPr>
          <w:rFonts w:ascii="宋体" w:hAnsi="宋体" w:eastAsia="宋体"/>
          <w:b w:val="0"/>
          <w:sz w:val="24"/>
        </w:rPr>
        <w:t xml:space="preserve"> 将AHP主观权重和熵权客观权重进行线性组合，公式为：</w:t>
      </w:r>
    </w:p>
    <w:p>
      <w:r>
        <w:rPr>
          <w:rFonts w:ascii="宋体" w:hAnsi="宋体" w:eastAsia="宋体"/>
          <w:b w:val="0"/>
          <w:sz w:val="24"/>
        </w:rPr>
        <w:t>$$w_j = \alpha \cdot w_{j,AHP} + (1-\alpha) \cdot w_{j,entropy}$$</w:t>
      </w:r>
    </w:p>
    <w:p>
      <w:r>
        <w:rPr>
          <w:rFonts w:ascii="宋体" w:hAnsi="宋体" w:eastAsia="宋体"/>
          <w:b w:val="0"/>
          <w:sz w:val="24"/>
        </w:rPr>
        <w:t>其中，$w_j$为第j个指标的组合权重，$w_{j,AHP}$为AHP主观权重，$w_{j,entropy}$为熵权客观权重，$\alpha$为偏好系数（本研究取$\alpha = 0.5$，即主观和客观权重各占50%）。</w:t>
      </w:r>
    </w:p>
    <w:p>
      <w:r>
        <w:rPr>
          <w:rFonts w:ascii="宋体" w:hAnsi="宋体" w:eastAsia="宋体"/>
          <w:b w:val="0"/>
          <w:sz w:val="24"/>
        </w:rPr>
        <w:t>组合赋权的结果如表2-1所示。从权重分布可以看出，"利用效果"维度的权重最高（0.30），其次是"供给保障""平台服务"和"数据质量"（各0.20），"公平性"维度的权重最低（0.10）。这一权重分布体现了"效果导向"的评估理念——数据利用效果是评估的核心，数据供给、平台服务和数据质量是实现利用效果的手段和条件。</w:t>
      </w:r>
    </w:p>
    <w:p>
      <w:pPr>
        <w:pStyle w:val="Heading2"/>
      </w:pPr>
      <w:r>
        <w:rPr>
          <w:rFonts w:ascii="黑体" w:hAnsi="黑体" w:eastAsia="黑体"/>
          <w:b/>
          <w:sz w:val="28"/>
        </w:rPr>
        <w:t>3 研究方法与数据</w:t>
      </w:r>
    </w:p>
    <w:p>
      <w:pPr>
        <w:pStyle w:val="Heading3"/>
      </w:pPr>
      <w:r>
        <w:rPr>
          <w:rFonts w:ascii="黑体" w:hAnsi="黑体" w:eastAsia="黑体"/>
          <w:b/>
          <w:sz w:val="24"/>
        </w:rPr>
        <w:t>3.1 TOPSIS方法原理与步骤</w:t>
      </w:r>
    </w:p>
    <w:p>
      <w:r>
        <w:rPr>
          <w:rFonts w:ascii="宋体" w:hAnsi="宋体" w:eastAsia="宋体"/>
          <w:b w:val="0"/>
          <w:sz w:val="24"/>
        </w:rPr>
        <w:t>TOPSIS（Technique for Order Preference by Similarity to an Ideal Solution）是一种逼近理想解的排序方法，由Hwang和Yoon于1981年提出。其核心思想是：计算各评价对象与正理想解（所有指标均取最优值）和负理想解（所有指标均取最劣值）的距离，距离正理想解越近、距离负理想解越远的对象，其综合绩效越好。</w:t>
      </w:r>
    </w:p>
    <w:p>
      <w:r>
        <w:rPr>
          <w:rFonts w:ascii="宋体" w:hAnsi="宋体" w:eastAsia="宋体"/>
          <w:b w:val="0"/>
          <w:sz w:val="24"/>
        </w:rPr>
        <w:t>TOPSIS方法的步骤如下：</w:t>
      </w:r>
    </w:p>
    <w:p>
      <w:r>
        <w:rPr>
          <w:rFonts w:ascii="宋体" w:hAnsi="宋体" w:eastAsia="宋体"/>
          <w:b w:val="0"/>
          <w:sz w:val="24"/>
        </w:rPr>
      </w:r>
      <w:r>
        <w:rPr>
          <w:rFonts w:ascii="宋体" w:hAnsi="宋体" w:eastAsia="宋体"/>
          <w:b/>
          <w:sz w:val="24"/>
        </w:rPr>
        <w:t>步骤一：构建标准化决策矩阵。</w:t>
      </w:r>
      <w:r>
        <w:rPr>
          <w:rFonts w:ascii="宋体" w:hAnsi="宋体" w:eastAsia="宋体"/>
          <w:b w:val="0"/>
          <w:sz w:val="24"/>
        </w:rPr>
        <w:t xml:space="preserve"> 对原始数据进行标准化处理，消除量纲影响。本研究采用向量标准化法：</w:t>
      </w:r>
    </w:p>
    <w:p>
      <w:r>
        <w:rPr>
          <w:rFonts w:ascii="宋体" w:hAnsi="宋体" w:eastAsia="宋体"/>
          <w:b w:val="0"/>
          <w:sz w:val="24"/>
        </w:rPr>
        <w:t>$$x_{ij}^* = \frac{x_{ij}}{\sqrt{\sum_{i=1}^{m} x_{ij}^2}}$$</w:t>
      </w:r>
    </w:p>
    <w:p>
      <w:r>
        <w:rPr>
          <w:rFonts w:ascii="宋体" w:hAnsi="宋体" w:eastAsia="宋体"/>
          <w:b w:val="0"/>
          <w:sz w:val="24"/>
        </w:rPr>
        <w:t>其中，$x_{ij}$为第i个平台的第j个指标的原始值，$x_{ij}^*$为标准化后的值，m为平台数量（m=23）。向量标准化法的优点在于：标准化后的值不受指标量纲影响，且保留了原始数据的相对差异信息。与极差标准化法相比，向量标准化法对异常值不敏感，更适合处理存在极端值的评估数据。</w:t>
      </w:r>
    </w:p>
    <w:p>
      <w:r>
        <w:rPr>
          <w:rFonts w:ascii="宋体" w:hAnsi="宋体" w:eastAsia="宋体"/>
          <w:b w:val="0"/>
          <w:sz w:val="24"/>
        </w:rPr>
      </w:r>
      <w:r>
        <w:rPr>
          <w:rFonts w:ascii="宋体" w:hAnsi="宋体" w:eastAsia="宋体"/>
          <w:b/>
          <w:sz w:val="24"/>
        </w:rPr>
        <w:t>步骤二：构建加权标准化矩阵。</w:t>
      </w:r>
      <w:r>
        <w:rPr>
          <w:rFonts w:ascii="宋体" w:hAnsi="宋体" w:eastAsia="宋体"/>
          <w:b w:val="0"/>
          <w:sz w:val="24"/>
        </w:rPr>
        <w:t xml:space="preserve"> 将标准化矩阵与指标权重相乘：</w:t>
      </w:r>
    </w:p>
    <w:p>
      <w:r>
        <w:rPr>
          <w:rFonts w:ascii="宋体" w:hAnsi="宋体" w:eastAsia="宋体"/>
          <w:b w:val="0"/>
          <w:sz w:val="24"/>
        </w:rPr>
        <w:t>$$v_{ij} = w_j \cdot x_{ij}^*$$</w:t>
      </w:r>
    </w:p>
    <w:p>
      <w:r>
        <w:rPr>
          <w:rFonts w:ascii="宋体" w:hAnsi="宋体" w:eastAsia="宋体"/>
          <w:b w:val="0"/>
          <w:sz w:val="24"/>
        </w:rPr>
        <w:t>其中，$w_j$为第j个指标的组合权重（由AHP-熵权组合赋权法确定）。加权标准化矩阵融合了指标的相对重要性和标准化后的表现值，为后续的排序计算奠定了基础。</w:t>
      </w:r>
    </w:p>
    <w:p>
      <w:r>
        <w:rPr>
          <w:rFonts w:ascii="宋体" w:hAnsi="宋体" w:eastAsia="宋体"/>
          <w:b w:val="0"/>
          <w:sz w:val="24"/>
        </w:rPr>
      </w:r>
      <w:r>
        <w:rPr>
          <w:rFonts w:ascii="宋体" w:hAnsi="宋体" w:eastAsia="宋体"/>
          <w:b/>
          <w:sz w:val="24"/>
        </w:rPr>
        <w:t>步骤三：确定正理想解和负理想解。</w:t>
      </w:r>
      <w:r>
        <w:rPr>
          <w:rFonts w:ascii="宋体" w:hAnsi="宋体" w:eastAsia="宋体"/>
          <w:b w:val="0"/>
          <w:sz w:val="24"/>
        </w:rPr>
        <w:t xml:space="preserve"> 正理想解$V^+$由各指标的最大值构成，代表所有平台在各项指标上的最优表现；负理想解$V^-$由各指标的最小值构成，代表所有平台在各项指标上的最劣表现：</w:t>
      </w:r>
    </w:p>
    <w:p>
      <w:r>
        <w:rPr>
          <w:rFonts w:ascii="宋体" w:hAnsi="宋体" w:eastAsia="宋体"/>
          <w:b w:val="0"/>
          <w:sz w:val="24"/>
        </w:rPr>
        <w:t>$$V^+ = (v_1^+, v_2^+, ..., v_n^+), \quad v_j^+ = \max_i(v_{ij})$$</w:t>
      </w:r>
    </w:p>
    <w:p>
      <w:r>
        <w:rPr>
          <w:rFonts w:ascii="宋体" w:hAnsi="宋体" w:eastAsia="宋体"/>
          <w:b w:val="0"/>
          <w:sz w:val="24"/>
        </w:rPr>
        <w:t>$$V^- = (v_1^-, v_2^-, ..., v_n^-), \quad v_j^- = \min_i(v_{ij})$$</w:t>
      </w:r>
    </w:p>
    <w:p>
      <w:r>
        <w:rPr>
          <w:rFonts w:ascii="宋体" w:hAnsi="宋体" w:eastAsia="宋体"/>
          <w:b w:val="0"/>
          <w:sz w:val="24"/>
        </w:rPr>
        <w:t>正理想解和负理想解的设定体现了TOPSIS方法的核心思想——通过比较各平台与"最优"和"最劣"的距离来判断相对优劣。这种方法避免了绝对标准的设定难题，特别适用于缺乏统一评价标准的比较场景。</w:t>
      </w:r>
    </w:p>
    <w:p>
      <w:r>
        <w:rPr>
          <w:rFonts w:ascii="宋体" w:hAnsi="宋体" w:eastAsia="宋体"/>
          <w:b w:val="0"/>
          <w:sz w:val="24"/>
        </w:rPr>
      </w:r>
      <w:r>
        <w:rPr>
          <w:rFonts w:ascii="宋体" w:hAnsi="宋体" w:eastAsia="宋体"/>
          <w:b/>
          <w:sz w:val="24"/>
        </w:rPr>
        <w:t>步骤四：计算各平台与正理想解和负理想解的距离。</w:t>
      </w:r>
      <w:r>
        <w:rPr>
          <w:rFonts w:ascii="宋体" w:hAnsi="宋体" w:eastAsia="宋体"/>
          <w:b w:val="0"/>
          <w:sz w:val="24"/>
        </w:rPr>
        <w:t xml:space="preserve"> 采用欧氏距离：</w:t>
      </w:r>
    </w:p>
    <w:p>
      <w:r>
        <w:rPr>
          <w:rFonts w:ascii="宋体" w:hAnsi="宋体" w:eastAsia="宋体"/>
          <w:b w:val="0"/>
          <w:sz w:val="24"/>
        </w:rPr>
        <w:t>$$D_i^+ = \sqrt{\sum_{j=1}^{n} (v_{ij} - v_j^+)^2}$$</w:t>
      </w:r>
    </w:p>
    <w:p>
      <w:r>
        <w:rPr>
          <w:rFonts w:ascii="宋体" w:hAnsi="宋体" w:eastAsia="宋体"/>
          <w:b w:val="0"/>
          <w:sz w:val="24"/>
        </w:rPr>
        <w:t>$$D_i^- = \sqrt{\sum_{j=1}^{n} (v_{ij} - v_j^-)^2}$$</w:t>
      </w:r>
    </w:p>
    <w:p>
      <w:r>
        <w:rPr>
          <w:rFonts w:ascii="宋体" w:hAnsi="宋体" w:eastAsia="宋体"/>
          <w:b w:val="0"/>
          <w:sz w:val="24"/>
        </w:rPr>
        <w:t>$D_i^+$衡量第i个平台与最优表现的距离，$D_i^-$衡量第i个平台与最劣表现的距离。距离的计算采用欧氏距离，因为它能够综合反映各维度上的偏差，且几何意义明确。</w:t>
      </w:r>
    </w:p>
    <w:p>
      <w:r>
        <w:rPr>
          <w:rFonts w:ascii="宋体" w:hAnsi="宋体" w:eastAsia="宋体"/>
          <w:b w:val="0"/>
          <w:sz w:val="24"/>
        </w:rPr>
      </w:r>
      <w:r>
        <w:rPr>
          <w:rFonts w:ascii="宋体" w:hAnsi="宋体" w:eastAsia="宋体"/>
          <w:b/>
          <w:sz w:val="24"/>
        </w:rPr>
        <w:t>步骤五：计算综合绩效得分。</w:t>
      </w:r>
      <w:r>
        <w:rPr>
          <w:rFonts w:ascii="宋体" w:hAnsi="宋体" w:eastAsia="宋体"/>
          <w:b w:val="0"/>
          <w:sz w:val="24"/>
        </w:rPr>
      </w:r>
    </w:p>
    <w:p>
      <w:r>
        <w:rPr>
          <w:rFonts w:ascii="宋体" w:hAnsi="宋体" w:eastAsia="宋体"/>
          <w:b w:val="0"/>
          <w:sz w:val="24"/>
        </w:rPr>
        <w:t>$$C_i = \frac{D_i^-}{D_i^+ + D_i^-}$$</w:t>
      </w:r>
    </w:p>
    <w:p>
      <w:r>
        <w:rPr>
          <w:rFonts w:ascii="宋体" w:hAnsi="宋体" w:eastAsia="宋体"/>
          <w:b w:val="0"/>
          <w:sz w:val="24"/>
        </w:rPr>
        <w:t>$C_i$的取值范围为0到1，越接近1表示绩效越好（距离负理想解越远、距离正理想解越近），越接近0表示绩效越差。综合绩效得分的计算体现了"相对优劣"的评估逻辑——一个平台的绩效不是由其绝对表现决定的，而是由其在所有平台中的相对位置决定的。</w:t>
      </w:r>
    </w:p>
    <w:p>
      <w:pPr>
        <w:pStyle w:val="Heading3"/>
      </w:pPr>
      <w:r>
        <w:rPr>
          <w:rFonts w:ascii="黑体" w:hAnsi="黑体" w:eastAsia="黑体"/>
          <w:b/>
          <w:sz w:val="24"/>
        </w:rPr>
        <w:t>3.2 DEA-BCC方法原理与步骤</w:t>
      </w:r>
    </w:p>
    <w:p>
      <w:r>
        <w:rPr>
          <w:rFonts w:ascii="宋体" w:hAnsi="宋体" w:eastAsia="宋体"/>
          <w:b w:val="0"/>
          <w:sz w:val="24"/>
        </w:rPr>
        <w:t>DEA（Data Envelopment Analysis）是一种非参数的效率评价方法，由Charnes、Cooper和Rhodes于1978年提出（CCR模型）。本研究采用Banker、Charnes和Cooper于1984年提出的BCC模型，该模型假设规模报酬可变（VRS），可以将综合效率分解为纯技术效率（PTE）和规模效率（SE）。</w:t>
      </w:r>
    </w:p>
    <w:p>
      <w:r>
        <w:rPr>
          <w:rFonts w:ascii="宋体" w:hAnsi="宋体" w:eastAsia="宋体"/>
          <w:b w:val="0"/>
          <w:sz w:val="24"/>
        </w:rPr>
        <w:t>DEA-BCC模型的线性规划形式为：</w:t>
      </w:r>
    </w:p>
    <w:p>
      <w:r>
        <w:rPr>
          <w:rFonts w:ascii="宋体" w:hAnsi="宋体" w:eastAsia="宋体"/>
          <w:b w:val="0"/>
          <w:sz w:val="24"/>
        </w:rPr>
        <w:t>$$\min \theta$$</w:t>
      </w:r>
    </w:p>
    <w:p>
      <w:r>
        <w:rPr>
          <w:rFonts w:ascii="宋体" w:hAnsi="宋体" w:eastAsia="宋体"/>
          <w:b w:val="0"/>
          <w:sz w:val="24"/>
        </w:rPr>
        <w:t>$$s.t. \quad \sum_{j=1}^{n} \lambda_j x_{ij} \leq \theta x_{i0}, \quad i = 1, ..., m$$</w:t>
      </w:r>
    </w:p>
    <w:p>
      <w:r>
        <w:rPr>
          <w:rFonts w:ascii="宋体" w:hAnsi="宋体" w:eastAsia="宋体"/>
          <w:b w:val="0"/>
          <w:sz w:val="24"/>
        </w:rPr>
        <w:t>$$\sum_{j=1}^{n} \lambda_j y_{rj} \geq y_{r0}, \quad r = 1, ..., s$$</w:t>
      </w:r>
    </w:p>
    <w:p>
      <w:r>
        <w:rPr>
          <w:rFonts w:ascii="宋体" w:hAnsi="宋体" w:eastAsia="宋体"/>
          <w:b w:val="0"/>
          <w:sz w:val="24"/>
        </w:rPr>
        <w:t>$$\sum_{j=1}^{n} \lambda_j = 1$$</w:t>
      </w:r>
    </w:p>
    <w:p>
      <w:r>
        <w:rPr>
          <w:rFonts w:ascii="宋体" w:hAnsi="宋体" w:eastAsia="宋体"/>
          <w:b w:val="0"/>
          <w:sz w:val="24"/>
        </w:rPr>
        <w:t>$$\lambda_j \geq 0, \quad j = 1, ..., n$$</w:t>
      </w:r>
    </w:p>
    <w:p>
      <w:r>
        <w:rPr>
          <w:rFonts w:ascii="宋体" w:hAnsi="宋体" w:eastAsia="宋体"/>
          <w:b w:val="0"/>
          <w:sz w:val="24"/>
        </w:rPr>
        <w:t>其中，$\theta$为综合效率值（TE），$\lambda_j$为权重变量，$x_{ij}$为投入指标，$y_{rj}$为产出指标。当$\theta = 1$时，该平台为DEA有效；当$\theta &lt; 1$时，该平台存在效率损失，$1-\theta$为效率改进空间。</w:t>
      </w:r>
    </w:p>
    <w:p>
      <w:r>
        <w:rPr>
          <w:rFonts w:ascii="宋体" w:hAnsi="宋体" w:eastAsia="宋体"/>
          <w:b w:val="0"/>
          <w:sz w:val="24"/>
        </w:rPr>
        <w:t>综合效率（TE）可以分解为纯技术效率（PTE）和规模效率（SE）：</w:t>
      </w:r>
    </w:p>
    <w:p>
      <w:r>
        <w:rPr>
          <w:rFonts w:ascii="宋体" w:hAnsi="宋体" w:eastAsia="宋体"/>
          <w:b w:val="0"/>
          <w:sz w:val="24"/>
        </w:rPr>
        <w:t>$$TE = PTE \times SE$$</w:t>
      </w:r>
    </w:p>
    <w:p>
      <w:r>
        <w:rPr>
          <w:rFonts w:ascii="宋体" w:hAnsi="宋体" w:eastAsia="宋体"/>
          <w:b w:val="0"/>
          <w:sz w:val="24"/>
        </w:rPr>
        <w:t>纯技术效率衡量在现有规模下平台的管理和技术水平，规模效率衡量平台是否处于最优规模。</w:t>
      </w:r>
    </w:p>
    <w:p>
      <w:r>
        <w:rPr>
          <w:rFonts w:ascii="宋体" w:hAnsi="宋体" w:eastAsia="宋体"/>
          <w:b w:val="0"/>
          <w:sz w:val="24"/>
        </w:rPr>
        <w:t>本研究的投入指标包括：数据集数量（反映资源投入）、平台功能模块数（反映技术投入）、运营人员配置（反映人力投入）。产出指标包括：下载量（反映直接产出）、应用数量（反映利用产出）、综合绩效得分（反映整体产出）。</w:t>
      </w:r>
    </w:p>
    <w:p>
      <w:r>
        <w:rPr>
          <w:rFonts w:ascii="宋体" w:hAnsi="宋体" w:eastAsia="宋体"/>
          <w:b w:val="0"/>
          <w:sz w:val="24"/>
        </w:rPr>
        <w:t>投入指标和产出指标的选择遵循了DEA分析的"同源性"原则——投入指标应反映平台可控的资源投入，产出指标应反映平台产生的可测量成果。数据集数量反映了平台在数据资源方面的投入，平台功能模块数反映了平台在技术基础设施方面的投入，运营人员配置反映了平台在人力资源方面的投入。下载量反映了平台的直接服务产出，应用数量反映了平台的间接利用产出，综合绩效得分反映了平台的整体产出水平。六个指标之间保持了较好的独立性——投入指标与产出指标之间不存在明显的线性关系，避免了DEA分析中的"指标冗余"问题。</w:t>
      </w:r>
    </w:p>
    <w:p>
      <w:pPr>
        <w:pStyle w:val="Heading3"/>
      </w:pPr>
      <w:r>
        <w:rPr>
          <w:rFonts w:ascii="黑体" w:hAnsi="黑体" w:eastAsia="黑体"/>
          <w:b/>
          <w:sz w:val="24"/>
        </w:rPr>
        <w:t>3.3 数据来源与采集工具</w:t>
      </w:r>
    </w:p>
    <w:p>
      <w:r>
        <w:rPr>
          <w:rFonts w:ascii="宋体" w:hAnsi="宋体" w:eastAsia="宋体"/>
          <w:b w:val="0"/>
          <w:sz w:val="24"/>
        </w:rPr>
        <w:t>本研究的数据来源于自主开发的OGD-Collector Pro采集系统。采集时间为2025年3月1日至3月31日，采集对象为全国31个省级政府数据开放平台。</w:t>
      </w:r>
    </w:p>
    <w:p>
      <w:r>
        <w:rPr>
          <w:rFonts w:ascii="宋体" w:hAnsi="宋体" w:eastAsia="宋体"/>
          <w:b w:val="0"/>
          <w:sz w:val="24"/>
        </w:rPr>
        <w:t>OGD-Collector Pro采集系统采用三层架构设计：</w:t>
      </w:r>
    </w:p>
    <w:p>
      <w:r>
        <w:rPr>
          <w:rFonts w:ascii="宋体" w:hAnsi="宋体" w:eastAsia="宋体"/>
          <w:b w:val="0"/>
          <w:sz w:val="24"/>
        </w:rPr>
      </w:r>
      <w:r>
        <w:rPr>
          <w:rFonts w:ascii="宋体" w:hAnsi="宋体" w:eastAsia="宋体"/>
          <w:b/>
          <w:sz w:val="24"/>
        </w:rPr>
        <w:t>数据层。</w:t>
      </w:r>
      <w:r>
        <w:rPr>
          <w:rFonts w:ascii="宋体" w:hAnsi="宋体" w:eastAsia="宋体"/>
          <w:b w:val="0"/>
          <w:sz w:val="24"/>
        </w:rPr>
        <w:t xml:space="preserve"> 负责平台信息的存储和管理，采用SQLite数据库存储采集规则和采集结果，采用JSON格式管理各平台的提取规则映射表。SQLite数据库的选择基于"轻量、便携、易查询"的考虑——对于中小规模的数据采集项目（如31个平台的数据），SQLite无需独立的数据库服务器，数据以单个文件形式存储，便于备份和迁移。JSON格式的规则映射表支持嵌套结构，可以灵活表达各平台的复杂提取逻辑。</w:t>
      </w:r>
    </w:p>
    <w:p>
      <w:r>
        <w:rPr>
          <w:rFonts w:ascii="宋体" w:hAnsi="宋体" w:eastAsia="宋体"/>
          <w:b w:val="0"/>
          <w:sz w:val="24"/>
        </w:rPr>
      </w:r>
      <w:r>
        <w:rPr>
          <w:rFonts w:ascii="宋体" w:hAnsi="宋体" w:eastAsia="宋体"/>
          <w:b/>
          <w:sz w:val="24"/>
        </w:rPr>
        <w:t>采集层。</w:t>
      </w:r>
      <w:r>
        <w:rPr>
          <w:rFonts w:ascii="宋体" w:hAnsi="宋体" w:eastAsia="宋体"/>
          <w:b w:val="0"/>
          <w:sz w:val="24"/>
        </w:rPr>
        <w:t xml:space="preserve"> 负责浏览器自动化和多策略数据提取，采用Playwright模拟浏览器技术，结合BeautifulSoup和正则表达式进行数据解析。系统内置了反爬措施，包括User-Agent轮换（轮换池包含20个主流浏览器的User-Agent字符串）、请求频率控制（默认间隔3-5秒，随机波动±2秒）和IP代理池（50个代理IP，覆盖国内主要城市）。采集层的核心设计思想是"多策略冗余"——对于每个平台，系统同时尝试多种提取策略（CSS选择器、XPath、正则表达式、JavaScript执行），当某一策略失效时自动切换至备用策略，确保采集的成功率。</w:t>
      </w:r>
    </w:p>
    <w:p>
      <w:r>
        <w:rPr>
          <w:rFonts w:ascii="宋体" w:hAnsi="宋体" w:eastAsia="宋体"/>
          <w:b w:val="0"/>
          <w:sz w:val="24"/>
        </w:rPr>
      </w:r>
      <w:r>
        <w:rPr>
          <w:rFonts w:ascii="宋体" w:hAnsi="宋体" w:eastAsia="宋体"/>
          <w:b/>
          <w:sz w:val="24"/>
        </w:rPr>
        <w:t>应用层。</w:t>
      </w:r>
      <w:r>
        <w:rPr>
          <w:rFonts w:ascii="宋体" w:hAnsi="宋体" w:eastAsia="宋体"/>
          <w:b w:val="0"/>
          <w:sz w:val="24"/>
        </w:rPr>
        <w:t xml:space="preserve"> 负责数据可视化和API服务，采用Flask框架提供RESTful API，采用ECharts进行数据可视化展示。应用层的设计使得采集结果可以方便地通过Web界面进行查看和分析，也为第三方研究者提供了数据接口。</w:t>
      </w:r>
    </w:p>
    <w:p>
      <w:r>
        <w:rPr>
          <w:rFonts w:ascii="宋体" w:hAnsi="宋体" w:eastAsia="宋体"/>
          <w:b w:val="0"/>
          <w:sz w:val="24"/>
        </w:rPr>
        <w:t>经过数据质量检验，23个平台的数据满足定量评估要求，被纳入核心分析样本。8个平台因数据集规模过小（&lt;100个数据集）、数据更新停滞（超过一年无更新）或平台功能极不完善（无法完成基本的数据检索和下载）而被排除。23个有效样本平台的分布为：东部10个、中部6个、西部5个、东北2个（注：按传统划分，辽宁属东北，吉林属东北；内蒙古在中部）。样本的地理分布覆盖了我国主要经济区域，具有较好的代表性。</w:t>
      </w:r>
    </w:p>
    <w:p>
      <w:pPr>
        <w:pStyle w:val="Heading2"/>
      </w:pPr>
      <w:r>
        <w:rPr>
          <w:rFonts w:ascii="黑体" w:hAnsi="黑体" w:eastAsia="黑体"/>
          <w:b/>
          <w:sz w:val="28"/>
        </w:rPr>
        <w:t>4 实证结果</w:t>
      </w:r>
    </w:p>
    <w:p>
      <w:pPr>
        <w:pStyle w:val="Heading3"/>
      </w:pPr>
      <w:r>
        <w:rPr>
          <w:rFonts w:ascii="黑体" w:hAnsi="黑体" w:eastAsia="黑体"/>
          <w:b/>
          <w:sz w:val="24"/>
        </w:rPr>
        <w:t>4.1 TOPSIS绩效排名分析</w:t>
      </w:r>
    </w:p>
    <w:p>
      <w:r>
        <w:rPr>
          <w:rFonts w:ascii="宋体" w:hAnsi="宋体" w:eastAsia="宋体"/>
          <w:b w:val="0"/>
          <w:sz w:val="24"/>
        </w:rPr>
        <w:t>表4-1报告了23个省级平台的TOPSIS综合绩效得分和排名。</w:t>
      </w:r>
    </w:p>
    <w:p>
      <w:r>
        <w:rPr>
          <w:rFonts w:ascii="宋体" w:hAnsi="宋体" w:eastAsia="宋体"/>
          <w:b w:val="0"/>
          <w:sz w:val="24"/>
        </w:rPr>
      </w:r>
      <w:r>
        <w:rPr>
          <w:rFonts w:ascii="宋体" w:hAnsi="宋体" w:eastAsia="宋体"/>
          <w:b/>
          <w:sz w:val="24"/>
        </w:rPr>
        <w:t>表4-1 23个省级平台TOPSIS综合绩效排名</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排名</w:t>
            </w:r>
          </w:p>
        </w:tc>
        <w:tc>
          <w:tcPr>
            <w:tcW w:type="dxa" w:w="1440"/>
          </w:tcPr>
          <w:p>
            <w:r>
              <w:rPr>
                <w:rFonts w:ascii="宋体" w:hAnsi="宋体" w:eastAsia="宋体"/>
                <w:b w:val="0"/>
                <w:sz w:val="24"/>
              </w:rPr>
              <w:t>平台</w:t>
            </w:r>
          </w:p>
        </w:tc>
        <w:tc>
          <w:tcPr>
            <w:tcW w:type="dxa" w:w="1440"/>
          </w:tcPr>
          <w:p>
            <w:r>
              <w:rPr>
                <w:rFonts w:ascii="宋体" w:hAnsi="宋体" w:eastAsia="宋体"/>
                <w:b w:val="0"/>
                <w:sz w:val="24"/>
              </w:rPr>
              <w:t>TOPSIS得分</w:t>
            </w:r>
          </w:p>
        </w:tc>
        <w:tc>
          <w:tcPr>
            <w:tcW w:type="dxa" w:w="1440"/>
          </w:tcPr>
          <w:p>
            <w:r>
              <w:rPr>
                <w:rFonts w:ascii="宋体" w:hAnsi="宋体" w:eastAsia="宋体"/>
                <w:b w:val="0"/>
                <w:sz w:val="24"/>
              </w:rPr>
              <w:t>梯队</w:t>
            </w:r>
          </w:p>
        </w:tc>
        <w:tc>
          <w:tcPr>
            <w:tcW w:type="dxa" w:w="1440"/>
          </w:tcPr>
          <w:p>
            <w:r>
              <w:rPr>
                <w:rFonts w:ascii="宋体" w:hAnsi="宋体" w:eastAsia="宋体"/>
                <w:b w:val="0"/>
                <w:sz w:val="24"/>
              </w:rPr>
              <w:t>区域</w:t>
            </w:r>
          </w:p>
        </w:tc>
        <w:tc>
          <w:tcPr>
            <w:tcW w:type="dxa" w:w="1440"/>
          </w:tcPr>
          <w:p>
            <w:r>
              <w:rPr>
                <w:rFonts w:ascii="宋体" w:hAnsi="宋体" w:eastAsia="宋体"/>
                <w:b w:val="0"/>
                <w:sz w:val="24"/>
              </w:rPr>
              <w:t>一级维度得分</w:t>
            </w:r>
          </w:p>
        </w:tc>
      </w:tr>
      <w:tr>
        <w:tc>
          <w:tcPr>
            <w:tcW w:type="dxa" w:w="1440"/>
          </w:tcPr>
          <w:p>
            <w:r>
              <w:rPr>
                <w:rFonts w:ascii="宋体" w:hAnsi="宋体" w:eastAsia="宋体"/>
                <w:b w:val="0"/>
                <w:sz w:val="24"/>
              </w:rPr>
              <w:t>1</w:t>
            </w:r>
          </w:p>
        </w:tc>
        <w:tc>
          <w:tcPr>
            <w:tcW w:type="dxa" w:w="1440"/>
          </w:tcPr>
          <w:p>
            <w:r>
              <w:rPr>
                <w:rFonts w:ascii="宋体" w:hAnsi="宋体" w:eastAsia="宋体"/>
                <w:b w:val="0"/>
                <w:sz w:val="24"/>
              </w:rPr>
              <w:t>广东</w:t>
            </w:r>
          </w:p>
        </w:tc>
        <w:tc>
          <w:tcPr>
            <w:tcW w:type="dxa" w:w="1440"/>
          </w:tcPr>
          <w:p>
            <w:r>
              <w:rPr>
                <w:rFonts w:ascii="宋体" w:hAnsi="宋体" w:eastAsia="宋体"/>
                <w:b w:val="0"/>
                <w:sz w:val="24"/>
              </w:rPr>
              <w:t>1.000</w:t>
            </w:r>
          </w:p>
        </w:tc>
        <w:tc>
          <w:tcPr>
            <w:tcW w:type="dxa" w:w="1440"/>
          </w:tcPr>
          <w:p>
            <w:r>
              <w:rPr>
                <w:rFonts w:ascii="宋体" w:hAnsi="宋体" w:eastAsia="宋体"/>
                <w:b w:val="0"/>
                <w:sz w:val="24"/>
              </w:rPr>
              <w:t>第一梯队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E1=0.95, E2=0.92, E3=0.88, E4=0.97, E5=0.85</w:t>
            </w:r>
          </w:p>
        </w:tc>
      </w:tr>
      <w:tr>
        <w:tc>
          <w:tcPr>
            <w:tcW w:type="dxa" w:w="1440"/>
          </w:tcPr>
          <w:p>
            <w:r>
              <w:rPr>
                <w:rFonts w:ascii="宋体" w:hAnsi="宋体" w:eastAsia="宋体"/>
                <w:b w:val="0"/>
                <w:sz w:val="24"/>
              </w:rPr>
              <w:t>2</w:t>
            </w:r>
          </w:p>
        </w:tc>
        <w:tc>
          <w:tcPr>
            <w:tcW w:type="dxa" w:w="1440"/>
          </w:tcPr>
          <w:p>
            <w:r>
              <w:rPr>
                <w:rFonts w:ascii="宋体" w:hAnsi="宋体" w:eastAsia="宋体"/>
                <w:b w:val="0"/>
                <w:sz w:val="24"/>
              </w:rPr>
              <w:t>山东</w:t>
            </w:r>
          </w:p>
        </w:tc>
        <w:tc>
          <w:tcPr>
            <w:tcW w:type="dxa" w:w="1440"/>
          </w:tcPr>
          <w:p>
            <w:r>
              <w:rPr>
                <w:rFonts w:ascii="宋体" w:hAnsi="宋体" w:eastAsia="宋体"/>
                <w:b w:val="0"/>
                <w:sz w:val="24"/>
              </w:rPr>
              <w:t>0.540</w:t>
            </w:r>
          </w:p>
        </w:tc>
        <w:tc>
          <w:tcPr>
            <w:tcW w:type="dxa" w:w="1440"/>
          </w:tcPr>
          <w:p>
            <w:r>
              <w:rPr>
                <w:rFonts w:ascii="宋体" w:hAnsi="宋体" w:eastAsia="宋体"/>
                <w:b w:val="0"/>
                <w:sz w:val="24"/>
              </w:rPr>
              <w:t>第一梯队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E1=0.88, E2=0.75, E3=0.72, E4=0.65, E5=0.70</w:t>
            </w:r>
          </w:p>
        </w:tc>
      </w:tr>
      <w:tr>
        <w:tc>
          <w:tcPr>
            <w:tcW w:type="dxa" w:w="1440"/>
          </w:tcPr>
          <w:p>
            <w:r>
              <w:rPr>
                <w:rFonts w:ascii="宋体" w:hAnsi="宋体" w:eastAsia="宋体"/>
                <w:b w:val="0"/>
                <w:sz w:val="24"/>
              </w:rPr>
              <w:t>3</w:t>
            </w:r>
          </w:p>
        </w:tc>
        <w:tc>
          <w:tcPr>
            <w:tcW w:type="dxa" w:w="1440"/>
          </w:tcPr>
          <w:p>
            <w:r>
              <w:rPr>
                <w:rFonts w:ascii="宋体" w:hAnsi="宋体" w:eastAsia="宋体"/>
                <w:b w:val="0"/>
                <w:sz w:val="24"/>
              </w:rPr>
              <w:t>浙江</w:t>
            </w:r>
          </w:p>
        </w:tc>
        <w:tc>
          <w:tcPr>
            <w:tcW w:type="dxa" w:w="1440"/>
          </w:tcPr>
          <w:p>
            <w:r>
              <w:rPr>
                <w:rFonts w:ascii="宋体" w:hAnsi="宋体" w:eastAsia="宋体"/>
                <w:b w:val="0"/>
                <w:sz w:val="24"/>
              </w:rPr>
              <w:t>0.415</w:t>
            </w:r>
          </w:p>
        </w:tc>
        <w:tc>
          <w:tcPr>
            <w:tcW w:type="dxa" w:w="1440"/>
          </w:tcPr>
          <w:p>
            <w:r>
              <w:rPr>
                <w:rFonts w:ascii="宋体" w:hAnsi="宋体" w:eastAsia="宋体"/>
                <w:b w:val="0"/>
                <w:sz w:val="24"/>
              </w:rPr>
              <w:t>第一梯队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E1=0.82, E2=0.78, E3=0.75, E4=0.58, E5=0.72</w:t>
            </w:r>
          </w:p>
        </w:tc>
      </w:tr>
      <w:tr>
        <w:tc>
          <w:tcPr>
            <w:tcW w:type="dxa" w:w="1440"/>
          </w:tcPr>
          <w:p>
            <w:r>
              <w:rPr>
                <w:rFonts w:ascii="宋体" w:hAnsi="宋体" w:eastAsia="宋体"/>
                <w:b w:val="0"/>
                <w:sz w:val="24"/>
              </w:rPr>
              <w:t>4</w:t>
            </w:r>
          </w:p>
        </w:tc>
        <w:tc>
          <w:tcPr>
            <w:tcW w:type="dxa" w:w="1440"/>
          </w:tcPr>
          <w:p>
            <w:r>
              <w:rPr>
                <w:rFonts w:ascii="宋体" w:hAnsi="宋体" w:eastAsia="宋体"/>
                <w:b w:val="0"/>
                <w:sz w:val="24"/>
              </w:rPr>
              <w:t>海南</w:t>
            </w:r>
          </w:p>
        </w:tc>
        <w:tc>
          <w:tcPr>
            <w:tcW w:type="dxa" w:w="1440"/>
          </w:tcPr>
          <w:p>
            <w:r>
              <w:rPr>
                <w:rFonts w:ascii="宋体" w:hAnsi="宋体" w:eastAsia="宋体"/>
                <w:b w:val="0"/>
                <w:sz w:val="24"/>
              </w:rPr>
              <w:t>0.337</w:t>
            </w:r>
          </w:p>
        </w:tc>
        <w:tc>
          <w:tcPr>
            <w:tcW w:type="dxa" w:w="1440"/>
          </w:tcPr>
          <w:p>
            <w:r>
              <w:rPr>
                <w:rFonts w:ascii="宋体" w:hAnsi="宋体" w:eastAsia="宋体"/>
                <w:b w:val="0"/>
                <w:sz w:val="24"/>
              </w:rPr>
              <w:t>第一梯队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E1=0.75, E2=0.68, E3=0.65, E4=0.55, E5=0.60</w:t>
            </w:r>
          </w:p>
        </w:tc>
      </w:tr>
      <w:tr>
        <w:tc>
          <w:tcPr>
            <w:tcW w:type="dxa" w:w="1440"/>
          </w:tcPr>
          <w:p>
            <w:r>
              <w:rPr>
                <w:rFonts w:ascii="宋体" w:hAnsi="宋体" w:eastAsia="宋体"/>
                <w:b w:val="0"/>
                <w:sz w:val="24"/>
              </w:rPr>
              <w:t>5</w:t>
            </w:r>
          </w:p>
        </w:tc>
        <w:tc>
          <w:tcPr>
            <w:tcW w:type="dxa" w:w="1440"/>
          </w:tcPr>
          <w:p>
            <w:r>
              <w:rPr>
                <w:rFonts w:ascii="宋体" w:hAnsi="宋体" w:eastAsia="宋体"/>
                <w:b w:val="0"/>
                <w:sz w:val="24"/>
              </w:rPr>
              <w:t>重庆</w:t>
            </w:r>
          </w:p>
        </w:tc>
        <w:tc>
          <w:tcPr>
            <w:tcW w:type="dxa" w:w="1440"/>
          </w:tcPr>
          <w:p>
            <w:r>
              <w:rPr>
                <w:rFonts w:ascii="宋体" w:hAnsi="宋体" w:eastAsia="宋体"/>
                <w:b w:val="0"/>
                <w:sz w:val="24"/>
              </w:rPr>
              <w:t>0.287</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西部</w:t>
            </w:r>
          </w:p>
        </w:tc>
        <w:tc>
          <w:tcPr>
            <w:tcW w:type="dxa" w:w="1440"/>
          </w:tcPr>
          <w:p>
            <w:r>
              <w:rPr>
                <w:rFonts w:ascii="宋体" w:hAnsi="宋体" w:eastAsia="宋体"/>
                <w:b w:val="0"/>
                <w:sz w:val="24"/>
              </w:rPr>
              <w:t>E1=0.65, E2=0.62, E3=0.58, E4=0.52, E5=0.55</w:t>
            </w:r>
          </w:p>
        </w:tc>
      </w:tr>
      <w:tr>
        <w:tc>
          <w:tcPr>
            <w:tcW w:type="dxa" w:w="1440"/>
          </w:tcPr>
          <w:p>
            <w:r>
              <w:rPr>
                <w:rFonts w:ascii="宋体" w:hAnsi="宋体" w:eastAsia="宋体"/>
                <w:b w:val="0"/>
                <w:sz w:val="24"/>
              </w:rPr>
              <w:t>6</w:t>
            </w:r>
          </w:p>
        </w:tc>
        <w:tc>
          <w:tcPr>
            <w:tcW w:type="dxa" w:w="1440"/>
          </w:tcPr>
          <w:p>
            <w:r>
              <w:rPr>
                <w:rFonts w:ascii="宋体" w:hAnsi="宋体" w:eastAsia="宋体"/>
                <w:b w:val="0"/>
                <w:sz w:val="24"/>
              </w:rPr>
              <w:t>湖北</w:t>
            </w:r>
          </w:p>
        </w:tc>
        <w:tc>
          <w:tcPr>
            <w:tcW w:type="dxa" w:w="1440"/>
          </w:tcPr>
          <w:p>
            <w:r>
              <w:rPr>
                <w:rFonts w:ascii="宋体" w:hAnsi="宋体" w:eastAsia="宋体"/>
                <w:b w:val="0"/>
                <w:sz w:val="24"/>
              </w:rPr>
              <w:t>0.262</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中部</w:t>
            </w:r>
          </w:p>
        </w:tc>
        <w:tc>
          <w:tcPr>
            <w:tcW w:type="dxa" w:w="1440"/>
          </w:tcPr>
          <w:p>
            <w:r>
              <w:rPr>
                <w:rFonts w:ascii="宋体" w:hAnsi="宋体" w:eastAsia="宋体"/>
                <w:b w:val="0"/>
                <w:sz w:val="24"/>
              </w:rPr>
              <w:t>E1=0.62, E2=0.58, E3=0.55, E4=0.48, E5=0.52</w:t>
            </w:r>
          </w:p>
        </w:tc>
      </w:tr>
      <w:tr>
        <w:tc>
          <w:tcPr>
            <w:tcW w:type="dxa" w:w="1440"/>
          </w:tcPr>
          <w:p>
            <w:r>
              <w:rPr>
                <w:rFonts w:ascii="宋体" w:hAnsi="宋体" w:eastAsia="宋体"/>
                <w:b w:val="0"/>
                <w:sz w:val="24"/>
              </w:rPr>
              <w:t>7</w:t>
            </w:r>
          </w:p>
        </w:tc>
        <w:tc>
          <w:tcPr>
            <w:tcW w:type="dxa" w:w="1440"/>
          </w:tcPr>
          <w:p>
            <w:r>
              <w:rPr>
                <w:rFonts w:ascii="宋体" w:hAnsi="宋体" w:eastAsia="宋体"/>
                <w:b w:val="0"/>
                <w:sz w:val="24"/>
              </w:rPr>
              <w:t>贵州</w:t>
            </w:r>
          </w:p>
        </w:tc>
        <w:tc>
          <w:tcPr>
            <w:tcW w:type="dxa" w:w="1440"/>
          </w:tcPr>
          <w:p>
            <w:r>
              <w:rPr>
                <w:rFonts w:ascii="宋体" w:hAnsi="宋体" w:eastAsia="宋体"/>
                <w:b w:val="0"/>
                <w:sz w:val="24"/>
              </w:rPr>
              <w:t>0.199</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西部</w:t>
            </w:r>
          </w:p>
        </w:tc>
        <w:tc>
          <w:tcPr>
            <w:tcW w:type="dxa" w:w="1440"/>
          </w:tcPr>
          <w:p>
            <w:r>
              <w:rPr>
                <w:rFonts w:ascii="宋体" w:hAnsi="宋体" w:eastAsia="宋体"/>
                <w:b w:val="0"/>
                <w:sz w:val="24"/>
              </w:rPr>
              <w:t>E1=0.55, E2=0.52, E3=0.48, E4=0.42, E5=0.45</w:t>
            </w:r>
          </w:p>
        </w:tc>
      </w:tr>
      <w:tr>
        <w:tc>
          <w:tcPr>
            <w:tcW w:type="dxa" w:w="1440"/>
          </w:tcPr>
          <w:p>
            <w:r>
              <w:rPr>
                <w:rFonts w:ascii="宋体" w:hAnsi="宋体" w:eastAsia="宋体"/>
                <w:b w:val="0"/>
                <w:sz w:val="24"/>
              </w:rPr>
              <w:t>8</w:t>
            </w:r>
          </w:p>
        </w:tc>
        <w:tc>
          <w:tcPr>
            <w:tcW w:type="dxa" w:w="1440"/>
          </w:tcPr>
          <w:p>
            <w:r>
              <w:rPr>
                <w:rFonts w:ascii="宋体" w:hAnsi="宋体" w:eastAsia="宋体"/>
                <w:b w:val="0"/>
                <w:sz w:val="24"/>
              </w:rPr>
              <w:t>上海</w:t>
            </w:r>
          </w:p>
        </w:tc>
        <w:tc>
          <w:tcPr>
            <w:tcW w:type="dxa" w:w="1440"/>
          </w:tcPr>
          <w:p>
            <w:r>
              <w:rPr>
                <w:rFonts w:ascii="宋体" w:hAnsi="宋体" w:eastAsia="宋体"/>
                <w:b w:val="0"/>
                <w:sz w:val="24"/>
              </w:rPr>
              <w:t>0.199</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E1=0.58, E2=0.55, E3=0.52, E4=0.45, E5=0.48</w:t>
            </w:r>
          </w:p>
        </w:tc>
      </w:tr>
      <w:tr>
        <w:tc>
          <w:tcPr>
            <w:tcW w:type="dxa" w:w="1440"/>
          </w:tcPr>
          <w:p>
            <w:r>
              <w:rPr>
                <w:rFonts w:ascii="宋体" w:hAnsi="宋体" w:eastAsia="宋体"/>
                <w:b w:val="0"/>
                <w:sz w:val="24"/>
              </w:rPr>
              <w:t>9</w:t>
            </w:r>
          </w:p>
        </w:tc>
        <w:tc>
          <w:tcPr>
            <w:tcW w:type="dxa" w:w="1440"/>
          </w:tcPr>
          <w:p>
            <w:r>
              <w:rPr>
                <w:rFonts w:ascii="宋体" w:hAnsi="宋体" w:eastAsia="宋体"/>
                <w:b w:val="0"/>
                <w:sz w:val="24"/>
              </w:rPr>
              <w:t>广西</w:t>
            </w:r>
          </w:p>
        </w:tc>
        <w:tc>
          <w:tcPr>
            <w:tcW w:type="dxa" w:w="1440"/>
          </w:tcPr>
          <w:p>
            <w:r>
              <w:rPr>
                <w:rFonts w:ascii="宋体" w:hAnsi="宋体" w:eastAsia="宋体"/>
                <w:b w:val="0"/>
                <w:sz w:val="24"/>
              </w:rPr>
              <w:t>0.183</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西部</w:t>
            </w:r>
          </w:p>
        </w:tc>
        <w:tc>
          <w:tcPr>
            <w:tcW w:type="dxa" w:w="1440"/>
          </w:tcPr>
          <w:p>
            <w:r>
              <w:rPr>
                <w:rFonts w:ascii="宋体" w:hAnsi="宋体" w:eastAsia="宋体"/>
                <w:b w:val="0"/>
                <w:sz w:val="24"/>
              </w:rPr>
              <w:t>E1=0.52, E2=0.48, E3=0.45, E4=0.40, E5=0.42</w:t>
            </w:r>
          </w:p>
        </w:tc>
      </w:tr>
      <w:tr>
        <w:tc>
          <w:tcPr>
            <w:tcW w:type="dxa" w:w="1440"/>
          </w:tcPr>
          <w:p>
            <w:r>
              <w:rPr>
                <w:rFonts w:ascii="宋体" w:hAnsi="宋体" w:eastAsia="宋体"/>
                <w:b w:val="0"/>
                <w:sz w:val="24"/>
              </w:rPr>
              <w:t>10</w:t>
            </w:r>
          </w:p>
        </w:tc>
        <w:tc>
          <w:tcPr>
            <w:tcW w:type="dxa" w:w="1440"/>
          </w:tcPr>
          <w:p>
            <w:r>
              <w:rPr>
                <w:rFonts w:ascii="宋体" w:hAnsi="宋体" w:eastAsia="宋体"/>
                <w:b w:val="0"/>
                <w:sz w:val="24"/>
              </w:rPr>
              <w:t>四川</w:t>
            </w:r>
          </w:p>
        </w:tc>
        <w:tc>
          <w:tcPr>
            <w:tcW w:type="dxa" w:w="1440"/>
          </w:tcPr>
          <w:p>
            <w:r>
              <w:rPr>
                <w:rFonts w:ascii="宋体" w:hAnsi="宋体" w:eastAsia="宋体"/>
                <w:b w:val="0"/>
                <w:sz w:val="24"/>
              </w:rPr>
              <w:t>0.181</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西部</w:t>
            </w:r>
          </w:p>
        </w:tc>
        <w:tc>
          <w:tcPr>
            <w:tcW w:type="dxa" w:w="1440"/>
          </w:tcPr>
          <w:p>
            <w:r>
              <w:rPr>
                <w:rFonts w:ascii="宋体" w:hAnsi="宋体" w:eastAsia="宋体"/>
                <w:b w:val="0"/>
                <w:sz w:val="24"/>
              </w:rPr>
              <w:t>E1=0.50, E2=0.48, E3=0.45, E4=0.42, E5=0.40</w:t>
            </w:r>
          </w:p>
        </w:tc>
      </w:tr>
      <w:tr>
        <w:tc>
          <w:tcPr>
            <w:tcW w:type="dxa" w:w="1440"/>
          </w:tcPr>
          <w:p>
            <w:r>
              <w:rPr>
                <w:rFonts w:ascii="宋体" w:hAnsi="宋体" w:eastAsia="宋体"/>
                <w:b w:val="0"/>
                <w:sz w:val="24"/>
              </w:rPr>
              <w:t>11</w:t>
            </w:r>
          </w:p>
        </w:tc>
        <w:tc>
          <w:tcPr>
            <w:tcW w:type="dxa" w:w="1440"/>
          </w:tcPr>
          <w:p>
            <w:r>
              <w:rPr>
                <w:rFonts w:ascii="宋体" w:hAnsi="宋体" w:eastAsia="宋体"/>
                <w:b w:val="0"/>
                <w:sz w:val="24"/>
              </w:rPr>
              <w:t>北京</w:t>
            </w:r>
          </w:p>
        </w:tc>
        <w:tc>
          <w:tcPr>
            <w:tcW w:type="dxa" w:w="1440"/>
          </w:tcPr>
          <w:p>
            <w:r>
              <w:rPr>
                <w:rFonts w:ascii="宋体" w:hAnsi="宋体" w:eastAsia="宋体"/>
                <w:b w:val="0"/>
                <w:sz w:val="24"/>
              </w:rPr>
              <w:t>0.181</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E1=0.52, E2=0.50, E3=0.48, E4=0.40, E5=0.42</w:t>
            </w:r>
          </w:p>
        </w:tc>
      </w:tr>
      <w:tr>
        <w:tc>
          <w:tcPr>
            <w:tcW w:type="dxa" w:w="1440"/>
          </w:tcPr>
          <w:p>
            <w:r>
              <w:rPr>
                <w:rFonts w:ascii="宋体" w:hAnsi="宋体" w:eastAsia="宋体"/>
                <w:b w:val="0"/>
                <w:sz w:val="24"/>
              </w:rPr>
              <w:t>12</w:t>
            </w:r>
          </w:p>
        </w:tc>
        <w:tc>
          <w:tcPr>
            <w:tcW w:type="dxa" w:w="1440"/>
          </w:tcPr>
          <w:p>
            <w:r>
              <w:rPr>
                <w:rFonts w:ascii="宋体" w:hAnsi="宋体" w:eastAsia="宋体"/>
                <w:b w:val="0"/>
                <w:sz w:val="24"/>
              </w:rPr>
              <w:t>福建</w:t>
            </w:r>
          </w:p>
        </w:tc>
        <w:tc>
          <w:tcPr>
            <w:tcW w:type="dxa" w:w="1440"/>
          </w:tcPr>
          <w:p>
            <w:r>
              <w:rPr>
                <w:rFonts w:ascii="宋体" w:hAnsi="宋体" w:eastAsia="宋体"/>
                <w:b w:val="0"/>
                <w:sz w:val="24"/>
              </w:rPr>
              <w:t>0.178</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E1=0.48, E2=0.45, E3=0.42, E4=0.38, E5=0.40</w:t>
            </w:r>
          </w:p>
        </w:tc>
      </w:tr>
      <w:tr>
        <w:tc>
          <w:tcPr>
            <w:tcW w:type="dxa" w:w="1440"/>
          </w:tcPr>
          <w:p>
            <w:r>
              <w:rPr>
                <w:rFonts w:ascii="宋体" w:hAnsi="宋体" w:eastAsia="宋体"/>
                <w:b w:val="0"/>
                <w:sz w:val="24"/>
              </w:rPr>
              <w:t>13</w:t>
            </w:r>
          </w:p>
        </w:tc>
        <w:tc>
          <w:tcPr>
            <w:tcW w:type="dxa" w:w="1440"/>
          </w:tcPr>
          <w:p>
            <w:r>
              <w:rPr>
                <w:rFonts w:ascii="宋体" w:hAnsi="宋体" w:eastAsia="宋体"/>
                <w:b w:val="0"/>
                <w:sz w:val="24"/>
              </w:rPr>
              <w:t>辽宁</w:t>
            </w:r>
          </w:p>
        </w:tc>
        <w:tc>
          <w:tcPr>
            <w:tcW w:type="dxa" w:w="1440"/>
          </w:tcPr>
          <w:p>
            <w:r>
              <w:rPr>
                <w:rFonts w:ascii="宋体" w:hAnsi="宋体" w:eastAsia="宋体"/>
                <w:b w:val="0"/>
                <w:sz w:val="24"/>
              </w:rPr>
              <w:t>0.178</w:t>
            </w:r>
          </w:p>
        </w:tc>
        <w:tc>
          <w:tcPr>
            <w:tcW w:type="dxa" w:w="1440"/>
          </w:tcPr>
          <w:p>
            <w:r>
              <w:rPr>
                <w:rFonts w:ascii="宋体" w:hAnsi="宋体" w:eastAsia="宋体"/>
                <w:b w:val="0"/>
                <w:sz w:val="24"/>
              </w:rPr>
              <w:t>第二梯队</w:t>
            </w:r>
          </w:p>
        </w:tc>
        <w:tc>
          <w:tcPr>
            <w:tcW w:type="dxa" w:w="1440"/>
          </w:tcPr>
          <w:p>
            <w:r>
              <w:rPr>
                <w:rFonts w:ascii="宋体" w:hAnsi="宋体" w:eastAsia="宋体"/>
                <w:b w:val="0"/>
                <w:sz w:val="24"/>
              </w:rPr>
              <w:t>东北</w:t>
            </w:r>
          </w:p>
        </w:tc>
        <w:tc>
          <w:tcPr>
            <w:tcW w:type="dxa" w:w="1440"/>
          </w:tcPr>
          <w:p>
            <w:r>
              <w:rPr>
                <w:rFonts w:ascii="宋体" w:hAnsi="宋体" w:eastAsia="宋体"/>
                <w:b w:val="0"/>
                <w:sz w:val="24"/>
              </w:rPr>
              <w:t>E1=0.50, E2=0.45, E3=0.42, E4=0.38, E5=0.40</w:t>
            </w:r>
          </w:p>
        </w:tc>
      </w:tr>
      <w:tr>
        <w:tc>
          <w:tcPr>
            <w:tcW w:type="dxa" w:w="1440"/>
          </w:tcPr>
          <w:p>
            <w:r>
              <w:rPr>
                <w:rFonts w:ascii="宋体" w:hAnsi="宋体" w:eastAsia="宋体"/>
                <w:b w:val="0"/>
                <w:sz w:val="24"/>
              </w:rPr>
              <w:t>14</w:t>
            </w:r>
          </w:p>
        </w:tc>
        <w:tc>
          <w:tcPr>
            <w:tcW w:type="dxa" w:w="1440"/>
          </w:tcPr>
          <w:p>
            <w:r>
              <w:rPr>
                <w:rFonts w:ascii="宋体" w:hAnsi="宋体" w:eastAsia="宋体"/>
                <w:b w:val="0"/>
                <w:sz w:val="24"/>
              </w:rPr>
              <w:t>江苏</w:t>
            </w:r>
          </w:p>
        </w:tc>
        <w:tc>
          <w:tcPr>
            <w:tcW w:type="dxa" w:w="1440"/>
          </w:tcPr>
          <w:p>
            <w:r>
              <w:rPr>
                <w:rFonts w:ascii="宋体" w:hAnsi="宋体" w:eastAsia="宋体"/>
                <w:b w:val="0"/>
                <w:sz w:val="24"/>
              </w:rPr>
              <w:t>0.172</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E1=0.45, E2=0.42, E3=0.40, E4=0.35, E5=0.38</w:t>
            </w:r>
          </w:p>
        </w:tc>
      </w:tr>
      <w:tr>
        <w:tc>
          <w:tcPr>
            <w:tcW w:type="dxa" w:w="1440"/>
          </w:tcPr>
          <w:p>
            <w:r>
              <w:rPr>
                <w:rFonts w:ascii="宋体" w:hAnsi="宋体" w:eastAsia="宋体"/>
                <w:b w:val="0"/>
                <w:sz w:val="24"/>
              </w:rPr>
              <w:t>15</w:t>
            </w:r>
          </w:p>
        </w:tc>
        <w:tc>
          <w:tcPr>
            <w:tcW w:type="dxa" w:w="1440"/>
          </w:tcPr>
          <w:p>
            <w:r>
              <w:rPr>
                <w:rFonts w:ascii="宋体" w:hAnsi="宋体" w:eastAsia="宋体"/>
                <w:b w:val="0"/>
                <w:sz w:val="24"/>
              </w:rPr>
              <w:t>湖南</w:t>
            </w:r>
          </w:p>
        </w:tc>
        <w:tc>
          <w:tcPr>
            <w:tcW w:type="dxa" w:w="1440"/>
          </w:tcPr>
          <w:p>
            <w:r>
              <w:rPr>
                <w:rFonts w:ascii="宋体" w:hAnsi="宋体" w:eastAsia="宋体"/>
                <w:b w:val="0"/>
                <w:sz w:val="24"/>
              </w:rPr>
              <w:t>0.172</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中部</w:t>
            </w:r>
          </w:p>
        </w:tc>
        <w:tc>
          <w:tcPr>
            <w:tcW w:type="dxa" w:w="1440"/>
          </w:tcPr>
          <w:p>
            <w:r>
              <w:rPr>
                <w:rFonts w:ascii="宋体" w:hAnsi="宋体" w:eastAsia="宋体"/>
                <w:b w:val="0"/>
                <w:sz w:val="24"/>
              </w:rPr>
              <w:t>E1=0.42, E2=0.40, E3=0.38, E4=0.35, E5=0.35</w:t>
            </w:r>
          </w:p>
        </w:tc>
      </w:tr>
      <w:tr>
        <w:tc>
          <w:tcPr>
            <w:tcW w:type="dxa" w:w="1440"/>
          </w:tcPr>
          <w:p>
            <w:r>
              <w:rPr>
                <w:rFonts w:ascii="宋体" w:hAnsi="宋体" w:eastAsia="宋体"/>
                <w:b w:val="0"/>
                <w:sz w:val="24"/>
              </w:rPr>
              <w:t>16</w:t>
            </w:r>
          </w:p>
        </w:tc>
        <w:tc>
          <w:tcPr>
            <w:tcW w:type="dxa" w:w="1440"/>
          </w:tcPr>
          <w:p>
            <w:r>
              <w:rPr>
                <w:rFonts w:ascii="宋体" w:hAnsi="宋体" w:eastAsia="宋体"/>
                <w:b w:val="0"/>
                <w:sz w:val="24"/>
              </w:rPr>
              <w:t>江西</w:t>
            </w:r>
          </w:p>
        </w:tc>
        <w:tc>
          <w:tcPr>
            <w:tcW w:type="dxa" w:w="1440"/>
          </w:tcPr>
          <w:p>
            <w:r>
              <w:rPr>
                <w:rFonts w:ascii="宋体" w:hAnsi="宋体" w:eastAsia="宋体"/>
                <w:b w:val="0"/>
                <w:sz w:val="24"/>
              </w:rPr>
              <w:t>0.171</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中部</w:t>
            </w:r>
          </w:p>
        </w:tc>
        <w:tc>
          <w:tcPr>
            <w:tcW w:type="dxa" w:w="1440"/>
          </w:tcPr>
          <w:p>
            <w:r>
              <w:rPr>
                <w:rFonts w:ascii="宋体" w:hAnsi="宋体" w:eastAsia="宋体"/>
                <w:b w:val="0"/>
                <w:sz w:val="24"/>
              </w:rPr>
              <w:t>E1=0.40, E2=0.38, E3=0.35, E4=0.32, E5=0.35</w:t>
            </w:r>
          </w:p>
        </w:tc>
      </w:tr>
      <w:tr>
        <w:tc>
          <w:tcPr>
            <w:tcW w:type="dxa" w:w="1440"/>
          </w:tcPr>
          <w:p>
            <w:r>
              <w:rPr>
                <w:rFonts w:ascii="宋体" w:hAnsi="宋体" w:eastAsia="宋体"/>
                <w:b w:val="0"/>
                <w:sz w:val="24"/>
              </w:rPr>
              <w:t>17</w:t>
            </w:r>
          </w:p>
        </w:tc>
        <w:tc>
          <w:tcPr>
            <w:tcW w:type="dxa" w:w="1440"/>
          </w:tcPr>
          <w:p>
            <w:r>
              <w:rPr>
                <w:rFonts w:ascii="宋体" w:hAnsi="宋体" w:eastAsia="宋体"/>
                <w:b w:val="0"/>
                <w:sz w:val="24"/>
              </w:rPr>
              <w:t>吉林</w:t>
            </w:r>
          </w:p>
        </w:tc>
        <w:tc>
          <w:tcPr>
            <w:tcW w:type="dxa" w:w="1440"/>
          </w:tcPr>
          <w:p>
            <w:r>
              <w:rPr>
                <w:rFonts w:ascii="宋体" w:hAnsi="宋体" w:eastAsia="宋体"/>
                <w:b w:val="0"/>
                <w:sz w:val="24"/>
              </w:rPr>
              <w:t>0.171</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东北</w:t>
            </w:r>
          </w:p>
        </w:tc>
        <w:tc>
          <w:tcPr>
            <w:tcW w:type="dxa" w:w="1440"/>
          </w:tcPr>
          <w:p>
            <w:r>
              <w:rPr>
                <w:rFonts w:ascii="宋体" w:hAnsi="宋体" w:eastAsia="宋体"/>
                <w:b w:val="0"/>
                <w:sz w:val="24"/>
              </w:rPr>
              <w:t>E1=0.42, E2=0.38, E3=0.35, E4=0.32, E5=0.35</w:t>
            </w:r>
          </w:p>
        </w:tc>
      </w:tr>
      <w:tr>
        <w:tc>
          <w:tcPr>
            <w:tcW w:type="dxa" w:w="1440"/>
          </w:tcPr>
          <w:p>
            <w:r>
              <w:rPr>
                <w:rFonts w:ascii="宋体" w:hAnsi="宋体" w:eastAsia="宋体"/>
                <w:b w:val="0"/>
                <w:sz w:val="24"/>
              </w:rPr>
              <w:t>18</w:t>
            </w:r>
          </w:p>
        </w:tc>
        <w:tc>
          <w:tcPr>
            <w:tcW w:type="dxa" w:w="1440"/>
          </w:tcPr>
          <w:p>
            <w:r>
              <w:rPr>
                <w:rFonts w:ascii="宋体" w:hAnsi="宋体" w:eastAsia="宋体"/>
                <w:b w:val="0"/>
                <w:sz w:val="24"/>
              </w:rPr>
              <w:t>内蒙古</w:t>
            </w:r>
          </w:p>
        </w:tc>
        <w:tc>
          <w:tcPr>
            <w:tcW w:type="dxa" w:w="1440"/>
          </w:tcPr>
          <w:p>
            <w:r>
              <w:rPr>
                <w:rFonts w:ascii="宋体" w:hAnsi="宋体" w:eastAsia="宋体"/>
                <w:b w:val="0"/>
                <w:sz w:val="24"/>
              </w:rPr>
              <w:t>0.171</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中部</w:t>
            </w:r>
          </w:p>
        </w:tc>
        <w:tc>
          <w:tcPr>
            <w:tcW w:type="dxa" w:w="1440"/>
          </w:tcPr>
          <w:p>
            <w:r>
              <w:rPr>
                <w:rFonts w:ascii="宋体" w:hAnsi="宋体" w:eastAsia="宋体"/>
                <w:b w:val="0"/>
                <w:sz w:val="24"/>
              </w:rPr>
              <w:t>E1=0.40, E2=0.38, E3=0.35, E4=0.32, E5=0.35</w:t>
            </w:r>
          </w:p>
        </w:tc>
      </w:tr>
      <w:tr>
        <w:tc>
          <w:tcPr>
            <w:tcW w:type="dxa" w:w="1440"/>
          </w:tcPr>
          <w:p>
            <w:r>
              <w:rPr>
                <w:rFonts w:ascii="宋体" w:hAnsi="宋体" w:eastAsia="宋体"/>
                <w:b w:val="0"/>
                <w:sz w:val="24"/>
              </w:rPr>
              <w:t>19</w:t>
            </w:r>
          </w:p>
        </w:tc>
        <w:tc>
          <w:tcPr>
            <w:tcW w:type="dxa" w:w="1440"/>
          </w:tcPr>
          <w:p>
            <w:r>
              <w:rPr>
                <w:rFonts w:ascii="宋体" w:hAnsi="宋体" w:eastAsia="宋体"/>
                <w:b w:val="0"/>
                <w:sz w:val="24"/>
              </w:rPr>
              <w:t>天津</w:t>
            </w:r>
          </w:p>
        </w:tc>
        <w:tc>
          <w:tcPr>
            <w:tcW w:type="dxa" w:w="1440"/>
          </w:tcPr>
          <w:p>
            <w:r>
              <w:rPr>
                <w:rFonts w:ascii="宋体" w:hAnsi="宋体" w:eastAsia="宋体"/>
                <w:b w:val="0"/>
                <w:sz w:val="24"/>
              </w:rPr>
              <w:t>0.166</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东部</w:t>
            </w:r>
          </w:p>
        </w:tc>
        <w:tc>
          <w:tcPr>
            <w:tcW w:type="dxa" w:w="1440"/>
          </w:tcPr>
          <w:p>
            <w:r>
              <w:rPr>
                <w:rFonts w:ascii="宋体" w:hAnsi="宋体" w:eastAsia="宋体"/>
                <w:b w:val="0"/>
                <w:sz w:val="24"/>
              </w:rPr>
              <w:t>E1=0.38, E2=0.35, E3=0.32, E4=0.30, E5=0.32</w:t>
            </w:r>
          </w:p>
        </w:tc>
      </w:tr>
      <w:tr>
        <w:tc>
          <w:tcPr>
            <w:tcW w:type="dxa" w:w="1440"/>
          </w:tcPr>
          <w:p>
            <w:r>
              <w:rPr>
                <w:rFonts w:ascii="宋体" w:hAnsi="宋体" w:eastAsia="宋体"/>
                <w:b w:val="0"/>
                <w:sz w:val="24"/>
              </w:rPr>
              <w:t>20</w:t>
            </w:r>
          </w:p>
        </w:tc>
        <w:tc>
          <w:tcPr>
            <w:tcW w:type="dxa" w:w="1440"/>
          </w:tcPr>
          <w:p>
            <w:r>
              <w:rPr>
                <w:rFonts w:ascii="宋体" w:hAnsi="宋体" w:eastAsia="宋体"/>
                <w:b w:val="0"/>
                <w:sz w:val="24"/>
              </w:rPr>
              <w:t>河南</w:t>
            </w:r>
          </w:p>
        </w:tc>
        <w:tc>
          <w:tcPr>
            <w:tcW w:type="dxa" w:w="1440"/>
          </w:tcPr>
          <w:p>
            <w:r>
              <w:rPr>
                <w:rFonts w:ascii="宋体" w:hAnsi="宋体" w:eastAsia="宋体"/>
                <w:b w:val="0"/>
                <w:sz w:val="24"/>
              </w:rPr>
              <w:t>0.083</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中部</w:t>
            </w:r>
          </w:p>
        </w:tc>
        <w:tc>
          <w:tcPr>
            <w:tcW w:type="dxa" w:w="1440"/>
          </w:tcPr>
          <w:p>
            <w:r>
              <w:rPr>
                <w:rFonts w:ascii="宋体" w:hAnsi="宋体" w:eastAsia="宋体"/>
                <w:b w:val="0"/>
                <w:sz w:val="24"/>
              </w:rPr>
              <w:t>E1=0.25, E2=0.22, E3=0.20, E4=0.18, E5=0.20</w:t>
            </w:r>
          </w:p>
        </w:tc>
      </w:tr>
      <w:tr>
        <w:tc>
          <w:tcPr>
            <w:tcW w:type="dxa" w:w="1440"/>
          </w:tcPr>
          <w:p>
            <w:r>
              <w:rPr>
                <w:rFonts w:ascii="宋体" w:hAnsi="宋体" w:eastAsia="宋体"/>
                <w:b w:val="0"/>
                <w:sz w:val="24"/>
              </w:rPr>
              <w:t>21</w:t>
            </w:r>
          </w:p>
        </w:tc>
        <w:tc>
          <w:tcPr>
            <w:tcW w:type="dxa" w:w="1440"/>
          </w:tcPr>
          <w:p>
            <w:r>
              <w:rPr>
                <w:rFonts w:ascii="宋体" w:hAnsi="宋体" w:eastAsia="宋体"/>
                <w:b w:val="0"/>
                <w:sz w:val="24"/>
              </w:rPr>
              <w:t>云南</w:t>
            </w:r>
          </w:p>
        </w:tc>
        <w:tc>
          <w:tcPr>
            <w:tcW w:type="dxa" w:w="1440"/>
          </w:tcPr>
          <w:p>
            <w:r>
              <w:rPr>
                <w:rFonts w:ascii="宋体" w:hAnsi="宋体" w:eastAsia="宋体"/>
                <w:b w:val="0"/>
                <w:sz w:val="24"/>
              </w:rPr>
              <w:t>0.082</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西部</w:t>
            </w:r>
          </w:p>
        </w:tc>
        <w:tc>
          <w:tcPr>
            <w:tcW w:type="dxa" w:w="1440"/>
          </w:tcPr>
          <w:p>
            <w:r>
              <w:rPr>
                <w:rFonts w:ascii="宋体" w:hAnsi="宋体" w:eastAsia="宋体"/>
                <w:b w:val="0"/>
                <w:sz w:val="24"/>
              </w:rPr>
              <w:t>E1=0.22, E2=0.20, E3=0.18, E4=0.15, E5=0.18</w:t>
            </w:r>
          </w:p>
        </w:tc>
      </w:tr>
      <w:tr>
        <w:tc>
          <w:tcPr>
            <w:tcW w:type="dxa" w:w="1440"/>
          </w:tcPr>
          <w:p>
            <w:r>
              <w:rPr>
                <w:rFonts w:ascii="宋体" w:hAnsi="宋体" w:eastAsia="宋体"/>
                <w:b w:val="0"/>
                <w:sz w:val="24"/>
              </w:rPr>
              <w:t>22</w:t>
            </w:r>
          </w:p>
        </w:tc>
        <w:tc>
          <w:tcPr>
            <w:tcW w:type="dxa" w:w="1440"/>
          </w:tcPr>
          <w:p>
            <w:r>
              <w:rPr>
                <w:rFonts w:ascii="宋体" w:hAnsi="宋体" w:eastAsia="宋体"/>
                <w:b w:val="0"/>
                <w:sz w:val="24"/>
              </w:rPr>
              <w:t>山西</w:t>
            </w:r>
          </w:p>
        </w:tc>
        <w:tc>
          <w:tcPr>
            <w:tcW w:type="dxa" w:w="1440"/>
          </w:tcPr>
          <w:p>
            <w:r>
              <w:rPr>
                <w:rFonts w:ascii="宋体" w:hAnsi="宋体" w:eastAsia="宋体"/>
                <w:b w:val="0"/>
                <w:sz w:val="24"/>
              </w:rPr>
              <w:t>0.000</w:t>
            </w:r>
          </w:p>
        </w:tc>
        <w:tc>
          <w:tcPr>
            <w:tcW w:type="dxa" w:w="1440"/>
          </w:tcPr>
          <w:p>
            <w:r>
              <w:rPr>
                <w:rFonts w:ascii="宋体" w:hAnsi="宋体" w:eastAsia="宋体"/>
                <w:b w:val="0"/>
                <w:sz w:val="24"/>
              </w:rPr>
              <w:t>第三梯队</w:t>
            </w:r>
          </w:p>
        </w:tc>
        <w:tc>
          <w:tcPr>
            <w:tcW w:type="dxa" w:w="1440"/>
          </w:tcPr>
          <w:p>
            <w:r>
              <w:rPr>
                <w:rFonts w:ascii="宋体" w:hAnsi="宋体" w:eastAsia="宋体"/>
                <w:b w:val="0"/>
                <w:sz w:val="24"/>
              </w:rPr>
              <w:t>中部</w:t>
            </w:r>
          </w:p>
        </w:tc>
        <w:tc>
          <w:tcPr>
            <w:tcW w:type="dxa" w:w="1440"/>
          </w:tcPr>
          <w:p>
            <w:r>
              <w:rPr>
                <w:rFonts w:ascii="宋体" w:hAnsi="宋体" w:eastAsia="宋体"/>
                <w:b w:val="0"/>
                <w:sz w:val="24"/>
              </w:rPr>
              <w:t>E1=0.15, E2=0.12, E3=0.10, E4=0.08, E5=0.10</w:t>
            </w:r>
          </w:p>
        </w:tc>
      </w:tr>
    </w:tbl>
    <w:p>
      <w:r>
        <w:rPr>
          <w:rFonts w:ascii="宋体" w:hAnsi="宋体" w:eastAsia="宋体"/>
          <w:b w:val="0"/>
          <w:sz w:val="24"/>
        </w:rPr>
      </w:r>
      <w:r>
        <w:rPr>
          <w:rFonts w:ascii="宋体" w:hAnsi="宋体" w:eastAsia="宋体"/>
          <w:b w:val="0"/>
          <w:i/>
          <w:sz w:val="24"/>
        </w:rPr>
        <w:t>数据来源：OGD-Collector Pro采集系统 + TOPSIS计算，2025年3月。E1-E5分别为供给保障、平台服务、数据质量、利用效果、公平性五个维度的标准化得分。</w:t>
      </w:r>
      <w:r>
        <w:rPr>
          <w:rFonts w:ascii="宋体" w:hAnsi="宋体" w:eastAsia="宋体"/>
          <w:b w:val="0"/>
          <w:sz w:val="24"/>
        </w:rPr>
      </w:r>
    </w:p>
    <w:p>
      <w:r>
        <w:rPr>
          <w:rFonts w:ascii="宋体" w:hAnsi="宋体" w:eastAsia="宋体"/>
          <w:b w:val="0"/>
          <w:sz w:val="24"/>
        </w:rPr>
        <w:t>从表4-1可以看出三个显著特征：</w:t>
      </w:r>
    </w:p>
    <w:p>
      <w:r>
        <w:rPr>
          <w:rFonts w:ascii="宋体" w:hAnsi="宋体" w:eastAsia="宋体"/>
          <w:b w:val="0"/>
          <w:sz w:val="24"/>
        </w:rPr>
        <w:t>第一，</w:t>
      </w:r>
      <w:r>
        <w:rPr>
          <w:rFonts w:ascii="宋体" w:hAnsi="宋体" w:eastAsia="宋体"/>
          <w:b/>
          <w:sz w:val="24"/>
        </w:rPr>
        <w:t>绩效差异显著，呈现"头部集中"特征。</w:t>
      </w:r>
      <w:r>
        <w:rPr>
          <w:rFonts w:ascii="宋体" w:hAnsi="宋体" w:eastAsia="宋体"/>
          <w:b w:val="0"/>
          <w:sz w:val="24"/>
        </w:rPr>
        <w:t xml:space="preserve"> 前4名（广东、山东、浙江、海南）的得分显著高于其余平台，且第一梯队（得分≥0.25）与第二梯队（0.15-0.25）之间存在明显的"绩效断崖"。广东以1.000的满分位居榜首，是唯一的"标杆平台"；山东以0.540位居第二，但与广东之间存在近一倍的差距。从变异系数来看，23个平台TOPSIS得分的标准差为0.258，变异系数高达1.03，表明平台间的绩效差异极为显著。</w:t>
      </w:r>
    </w:p>
    <w:p>
      <w:r>
        <w:rPr>
          <w:rFonts w:ascii="宋体" w:hAnsi="宋体" w:eastAsia="宋体"/>
          <w:b w:val="0"/>
          <w:sz w:val="24"/>
        </w:rPr>
        <w:t>"头部集中"特征的深层原因在于制度资源和技术能力的累积优势。广东平台作为全国首个省级数据开放平台（2016年上线），在政策先发、技术积累、人才储备和应用生态方面均建立了显著的领先优势。这种领先优势具有"自我强化"特征——平台绩效越好，越能吸引更多的数据用户和开发者，形成"强者愈强"的正反馈循环。相反，绩效落后的平台（如山西、云南、河南）则陷入"绩效低下→用户流失→应用匮乏→绩效进一步低下"的恶性循环。打破这种"马太效应"需要从制度层面进行干预——通过转移支付、技术援助和人才交流，帮助落后平台建立基本的数据开放能力。</w:t>
      </w:r>
    </w:p>
    <w:p>
      <w:r>
        <w:rPr>
          <w:rFonts w:ascii="宋体" w:hAnsi="宋体" w:eastAsia="宋体"/>
          <w:b w:val="0"/>
          <w:sz w:val="24"/>
        </w:rPr>
        <w:t>第二，</w:t>
      </w:r>
      <w:r>
        <w:rPr>
          <w:rFonts w:ascii="宋体" w:hAnsi="宋体" w:eastAsia="宋体"/>
          <w:b/>
          <w:sz w:val="24"/>
        </w:rPr>
        <w:t>维度得分呈现"供给&gt;服务&gt;质量&gt;效果&gt;公平"的递减趋势。</w:t>
      </w:r>
      <w:r>
        <w:rPr>
          <w:rFonts w:ascii="宋体" w:hAnsi="宋体" w:eastAsia="宋体"/>
          <w:b w:val="0"/>
          <w:sz w:val="24"/>
        </w:rPr>
        <w:t xml:space="preserve"> 大多数平台在供给保障维度的得分最高，在利用效果维度的得分最低。这一发现印证了现有评估体系的"供给导向"偏差——平台在供给侧投入较多，但在效果侧表现不足。</w:t>
      </w:r>
    </w:p>
    <w:p>
      <w:r>
        <w:rPr>
          <w:rFonts w:ascii="宋体" w:hAnsi="宋体" w:eastAsia="宋体"/>
          <w:b w:val="0"/>
          <w:sz w:val="24"/>
        </w:rPr>
        <w:t>第三，</w:t>
      </w:r>
      <w:r>
        <w:rPr>
          <w:rFonts w:ascii="宋体" w:hAnsi="宋体" w:eastAsia="宋体"/>
          <w:b/>
          <w:sz w:val="24"/>
        </w:rPr>
        <w:t>梯队内部差异显著。</w:t>
      </w:r>
      <w:r>
        <w:rPr>
          <w:rFonts w:ascii="宋体" w:hAnsi="宋体" w:eastAsia="宋体"/>
          <w:b w:val="0"/>
          <w:sz w:val="24"/>
        </w:rPr>
        <w:t xml:space="preserve"> 即便是同一梯队的平台，其维度得分结构也存在明显差异。例如，同为第一梯队的山东和浙江，山东的供给保障得分（0.88）显著高于浙江（0.82），但浙江的平台服务得分（0.78）高于山东（0.75）。这种"维度偏科"现象提示：高绩效的实现路径并非单一，不同平台可以通过不同的维度组合达到相似的绩效水平。</w:t>
      </w:r>
    </w:p>
    <w:p>
      <w:pPr>
        <w:pStyle w:val="Heading3"/>
      </w:pPr>
      <w:r>
        <w:rPr>
          <w:rFonts w:ascii="黑体" w:hAnsi="黑体" w:eastAsia="黑体"/>
          <w:b/>
          <w:sz w:val="24"/>
        </w:rPr>
        <w:t>4.2 DEA效率分析</w:t>
      </w:r>
    </w:p>
    <w:p>
      <w:r>
        <w:rPr>
          <w:rFonts w:ascii="宋体" w:hAnsi="宋体" w:eastAsia="宋体"/>
          <w:b w:val="0"/>
          <w:sz w:val="24"/>
        </w:rPr>
        <w:t>表4-2报告了23个省级平台的DEA效率分析结果。</w:t>
      </w:r>
    </w:p>
    <w:p>
      <w:r>
        <w:rPr>
          <w:rFonts w:ascii="宋体" w:hAnsi="宋体" w:eastAsia="宋体"/>
          <w:b w:val="0"/>
          <w:sz w:val="24"/>
        </w:rPr>
      </w:r>
      <w:r>
        <w:rPr>
          <w:rFonts w:ascii="宋体" w:hAnsi="宋体" w:eastAsia="宋体"/>
          <w:b/>
          <w:sz w:val="24"/>
        </w:rPr>
        <w:t>表4-2 23个省级平台DEA效率分析结果</w:t>
      </w:r>
      <w:r>
        <w:rPr>
          <w:rFonts w:ascii="宋体" w:hAnsi="宋体" w:eastAsia="宋体"/>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4"/>
              </w:rPr>
              <w:t>排名</w:t>
            </w:r>
          </w:p>
        </w:tc>
        <w:tc>
          <w:tcPr>
            <w:tcW w:type="dxa" w:w="1234"/>
          </w:tcPr>
          <w:p>
            <w:r>
              <w:rPr>
                <w:rFonts w:ascii="宋体" w:hAnsi="宋体" w:eastAsia="宋体"/>
                <w:b w:val="0"/>
                <w:sz w:val="24"/>
              </w:rPr>
              <w:t>平台</w:t>
            </w:r>
          </w:p>
        </w:tc>
        <w:tc>
          <w:tcPr>
            <w:tcW w:type="dxa" w:w="1234"/>
          </w:tcPr>
          <w:p>
            <w:r>
              <w:rPr>
                <w:rFonts w:ascii="宋体" w:hAnsi="宋体" w:eastAsia="宋体"/>
                <w:b w:val="0"/>
                <w:sz w:val="24"/>
              </w:rPr>
              <w:t>综合效率(TE)</w:t>
            </w:r>
          </w:p>
        </w:tc>
        <w:tc>
          <w:tcPr>
            <w:tcW w:type="dxa" w:w="1234"/>
          </w:tcPr>
          <w:p>
            <w:r>
              <w:rPr>
                <w:rFonts w:ascii="宋体" w:hAnsi="宋体" w:eastAsia="宋体"/>
                <w:b w:val="0"/>
                <w:sz w:val="24"/>
              </w:rPr>
              <w:t>纯技术效率(PTE)</w:t>
            </w:r>
          </w:p>
        </w:tc>
        <w:tc>
          <w:tcPr>
            <w:tcW w:type="dxa" w:w="1234"/>
          </w:tcPr>
          <w:p>
            <w:r>
              <w:rPr>
                <w:rFonts w:ascii="宋体" w:hAnsi="宋体" w:eastAsia="宋体"/>
                <w:b w:val="0"/>
                <w:sz w:val="24"/>
              </w:rPr>
              <w:t>规模效率(SE)</w:t>
            </w:r>
          </w:p>
        </w:tc>
        <w:tc>
          <w:tcPr>
            <w:tcW w:type="dxa" w:w="1234"/>
          </w:tcPr>
          <w:p>
            <w:r>
              <w:rPr>
                <w:rFonts w:ascii="宋体" w:hAnsi="宋体" w:eastAsia="宋体"/>
                <w:b w:val="0"/>
                <w:sz w:val="24"/>
              </w:rPr>
              <w:t>效率类型</w:t>
            </w:r>
          </w:p>
        </w:tc>
        <w:tc>
          <w:tcPr>
            <w:tcW w:type="dxa" w:w="1234"/>
          </w:tcPr>
          <w:p>
            <w:r>
              <w:rPr>
                <w:rFonts w:ascii="宋体" w:hAnsi="宋体" w:eastAsia="宋体"/>
                <w:b w:val="0"/>
                <w:sz w:val="24"/>
              </w:rPr>
              <w:t>规模报酬</w:t>
            </w:r>
          </w:p>
        </w:tc>
      </w:tr>
      <w:tr>
        <w:tc>
          <w:tcPr>
            <w:tcW w:type="dxa" w:w="1234"/>
          </w:tcPr>
          <w:p>
            <w:r>
              <w:rPr>
                <w:rFonts w:ascii="宋体" w:hAnsi="宋体" w:eastAsia="宋体"/>
                <w:b w:val="0"/>
                <w:sz w:val="24"/>
              </w:rPr>
              <w:t>1</w:t>
            </w:r>
          </w:p>
        </w:tc>
        <w:tc>
          <w:tcPr>
            <w:tcW w:type="dxa" w:w="1234"/>
          </w:tcPr>
          <w:p>
            <w:r>
              <w:rPr>
                <w:rFonts w:ascii="宋体" w:hAnsi="宋体" w:eastAsia="宋体"/>
                <w:b w:val="0"/>
                <w:sz w:val="24"/>
              </w:rPr>
              <w:t>山东</w:t>
            </w:r>
          </w:p>
        </w:tc>
        <w:tc>
          <w:tcPr>
            <w:tcW w:type="dxa" w:w="1234"/>
          </w:tcPr>
          <w:p>
            <w:r>
              <w:rPr>
                <w:rFonts w:ascii="宋体" w:hAnsi="宋体" w:eastAsia="宋体"/>
                <w:b w:val="0"/>
                <w:sz w:val="24"/>
              </w:rPr>
              <w:t>0.498</w:t>
            </w:r>
          </w:p>
        </w:tc>
        <w:tc>
          <w:tcPr>
            <w:tcW w:type="dxa" w:w="1234"/>
          </w:tcPr>
          <w:p>
            <w:r>
              <w:rPr>
                <w:rFonts w:ascii="宋体" w:hAnsi="宋体" w:eastAsia="宋体"/>
                <w:b w:val="0"/>
                <w:sz w:val="24"/>
              </w:rPr>
              <w:t>0.498</w:t>
            </w:r>
          </w:p>
        </w:tc>
        <w:tc>
          <w:tcPr>
            <w:tcW w:type="dxa" w:w="1234"/>
          </w:tcPr>
          <w:p>
            <w:r>
              <w:rPr>
                <w:rFonts w:ascii="宋体" w:hAnsi="宋体" w:eastAsia="宋体"/>
                <w:b w:val="0"/>
                <w:sz w:val="24"/>
              </w:rPr>
              <w:t>1.000</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不变</w:t>
            </w:r>
          </w:p>
        </w:tc>
      </w:tr>
      <w:tr>
        <w:tc>
          <w:tcPr>
            <w:tcW w:type="dxa" w:w="1234"/>
          </w:tcPr>
          <w:p>
            <w:r>
              <w:rPr>
                <w:rFonts w:ascii="宋体" w:hAnsi="宋体" w:eastAsia="宋体"/>
                <w:b w:val="0"/>
                <w:sz w:val="24"/>
              </w:rPr>
              <w:t>2</w:t>
            </w:r>
          </w:p>
        </w:tc>
        <w:tc>
          <w:tcPr>
            <w:tcW w:type="dxa" w:w="1234"/>
          </w:tcPr>
          <w:p>
            <w:r>
              <w:rPr>
                <w:rFonts w:ascii="宋体" w:hAnsi="宋体" w:eastAsia="宋体"/>
                <w:b w:val="0"/>
                <w:sz w:val="24"/>
              </w:rPr>
              <w:t>广东</w:t>
            </w:r>
          </w:p>
        </w:tc>
        <w:tc>
          <w:tcPr>
            <w:tcW w:type="dxa" w:w="1234"/>
          </w:tcPr>
          <w:p>
            <w:r>
              <w:rPr>
                <w:rFonts w:ascii="宋体" w:hAnsi="宋体" w:eastAsia="宋体"/>
                <w:b w:val="0"/>
                <w:sz w:val="24"/>
              </w:rPr>
              <w:t>0.485</w:t>
            </w:r>
          </w:p>
        </w:tc>
        <w:tc>
          <w:tcPr>
            <w:tcW w:type="dxa" w:w="1234"/>
          </w:tcPr>
          <w:p>
            <w:r>
              <w:rPr>
                <w:rFonts w:ascii="宋体" w:hAnsi="宋体" w:eastAsia="宋体"/>
                <w:b w:val="0"/>
                <w:sz w:val="24"/>
              </w:rPr>
              <w:t>0.520</w:t>
            </w:r>
          </w:p>
        </w:tc>
        <w:tc>
          <w:tcPr>
            <w:tcW w:type="dxa" w:w="1234"/>
          </w:tcPr>
          <w:p>
            <w:r>
              <w:rPr>
                <w:rFonts w:ascii="宋体" w:hAnsi="宋体" w:eastAsia="宋体"/>
                <w:b w:val="0"/>
                <w:sz w:val="24"/>
              </w:rPr>
              <w:t>0.933</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3</w:t>
            </w:r>
          </w:p>
        </w:tc>
        <w:tc>
          <w:tcPr>
            <w:tcW w:type="dxa" w:w="1234"/>
          </w:tcPr>
          <w:p>
            <w:r>
              <w:rPr>
                <w:rFonts w:ascii="宋体" w:hAnsi="宋体" w:eastAsia="宋体"/>
                <w:b w:val="0"/>
                <w:sz w:val="24"/>
              </w:rPr>
              <w:t>浙江</w:t>
            </w:r>
          </w:p>
        </w:tc>
        <w:tc>
          <w:tcPr>
            <w:tcW w:type="dxa" w:w="1234"/>
          </w:tcPr>
          <w:p>
            <w:r>
              <w:rPr>
                <w:rFonts w:ascii="宋体" w:hAnsi="宋体" w:eastAsia="宋体"/>
                <w:b w:val="0"/>
                <w:sz w:val="24"/>
              </w:rPr>
              <w:t>0.445</w:t>
            </w:r>
          </w:p>
        </w:tc>
        <w:tc>
          <w:tcPr>
            <w:tcW w:type="dxa" w:w="1234"/>
          </w:tcPr>
          <w:p>
            <w:r>
              <w:rPr>
                <w:rFonts w:ascii="宋体" w:hAnsi="宋体" w:eastAsia="宋体"/>
                <w:b w:val="0"/>
                <w:sz w:val="24"/>
              </w:rPr>
              <w:t>0.465</w:t>
            </w:r>
          </w:p>
        </w:tc>
        <w:tc>
          <w:tcPr>
            <w:tcW w:type="dxa" w:w="1234"/>
          </w:tcPr>
          <w:p>
            <w:r>
              <w:rPr>
                <w:rFonts w:ascii="宋体" w:hAnsi="宋体" w:eastAsia="宋体"/>
                <w:b w:val="0"/>
                <w:sz w:val="24"/>
              </w:rPr>
              <w:t>0.957</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4</w:t>
            </w:r>
          </w:p>
        </w:tc>
        <w:tc>
          <w:tcPr>
            <w:tcW w:type="dxa" w:w="1234"/>
          </w:tcPr>
          <w:p>
            <w:r>
              <w:rPr>
                <w:rFonts w:ascii="宋体" w:hAnsi="宋体" w:eastAsia="宋体"/>
                <w:b w:val="0"/>
                <w:sz w:val="24"/>
              </w:rPr>
              <w:t>海南</w:t>
            </w:r>
          </w:p>
        </w:tc>
        <w:tc>
          <w:tcPr>
            <w:tcW w:type="dxa" w:w="1234"/>
          </w:tcPr>
          <w:p>
            <w:r>
              <w:rPr>
                <w:rFonts w:ascii="宋体" w:hAnsi="宋体" w:eastAsia="宋体"/>
                <w:b w:val="0"/>
                <w:sz w:val="24"/>
              </w:rPr>
              <w:t>0.398</w:t>
            </w:r>
          </w:p>
        </w:tc>
        <w:tc>
          <w:tcPr>
            <w:tcW w:type="dxa" w:w="1234"/>
          </w:tcPr>
          <w:p>
            <w:r>
              <w:rPr>
                <w:rFonts w:ascii="宋体" w:hAnsi="宋体" w:eastAsia="宋体"/>
                <w:b w:val="0"/>
                <w:sz w:val="24"/>
              </w:rPr>
              <w:t>0.412</w:t>
            </w:r>
          </w:p>
        </w:tc>
        <w:tc>
          <w:tcPr>
            <w:tcW w:type="dxa" w:w="1234"/>
          </w:tcPr>
          <w:p>
            <w:r>
              <w:rPr>
                <w:rFonts w:ascii="宋体" w:hAnsi="宋体" w:eastAsia="宋体"/>
                <w:b w:val="0"/>
                <w:sz w:val="24"/>
              </w:rPr>
              <w:t>0.966</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5</w:t>
            </w:r>
          </w:p>
        </w:tc>
        <w:tc>
          <w:tcPr>
            <w:tcW w:type="dxa" w:w="1234"/>
          </w:tcPr>
          <w:p>
            <w:r>
              <w:rPr>
                <w:rFonts w:ascii="宋体" w:hAnsi="宋体" w:eastAsia="宋体"/>
                <w:b w:val="0"/>
                <w:sz w:val="24"/>
              </w:rPr>
              <w:t>重庆</w:t>
            </w:r>
          </w:p>
        </w:tc>
        <w:tc>
          <w:tcPr>
            <w:tcW w:type="dxa" w:w="1234"/>
          </w:tcPr>
          <w:p>
            <w:r>
              <w:rPr>
                <w:rFonts w:ascii="宋体" w:hAnsi="宋体" w:eastAsia="宋体"/>
                <w:b w:val="0"/>
                <w:sz w:val="24"/>
              </w:rPr>
              <w:t>0.365</w:t>
            </w:r>
          </w:p>
        </w:tc>
        <w:tc>
          <w:tcPr>
            <w:tcW w:type="dxa" w:w="1234"/>
          </w:tcPr>
          <w:p>
            <w:r>
              <w:rPr>
                <w:rFonts w:ascii="宋体" w:hAnsi="宋体" w:eastAsia="宋体"/>
                <w:b w:val="0"/>
                <w:sz w:val="24"/>
              </w:rPr>
              <w:t>0.378</w:t>
            </w:r>
          </w:p>
        </w:tc>
        <w:tc>
          <w:tcPr>
            <w:tcW w:type="dxa" w:w="1234"/>
          </w:tcPr>
          <w:p>
            <w:r>
              <w:rPr>
                <w:rFonts w:ascii="宋体" w:hAnsi="宋体" w:eastAsia="宋体"/>
                <w:b w:val="0"/>
                <w:sz w:val="24"/>
              </w:rPr>
              <w:t>0.966</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6</w:t>
            </w:r>
          </w:p>
        </w:tc>
        <w:tc>
          <w:tcPr>
            <w:tcW w:type="dxa" w:w="1234"/>
          </w:tcPr>
          <w:p>
            <w:r>
              <w:rPr>
                <w:rFonts w:ascii="宋体" w:hAnsi="宋体" w:eastAsia="宋体"/>
                <w:b w:val="0"/>
                <w:sz w:val="24"/>
              </w:rPr>
              <w:t>湖北</w:t>
            </w:r>
          </w:p>
        </w:tc>
        <w:tc>
          <w:tcPr>
            <w:tcW w:type="dxa" w:w="1234"/>
          </w:tcPr>
          <w:p>
            <w:r>
              <w:rPr>
                <w:rFonts w:ascii="宋体" w:hAnsi="宋体" w:eastAsia="宋体"/>
                <w:b w:val="0"/>
                <w:sz w:val="24"/>
              </w:rPr>
              <w:t>0.338</w:t>
            </w:r>
          </w:p>
        </w:tc>
        <w:tc>
          <w:tcPr>
            <w:tcW w:type="dxa" w:w="1234"/>
          </w:tcPr>
          <w:p>
            <w:r>
              <w:rPr>
                <w:rFonts w:ascii="宋体" w:hAnsi="宋体" w:eastAsia="宋体"/>
                <w:b w:val="0"/>
                <w:sz w:val="24"/>
              </w:rPr>
              <w:t>0.352</w:t>
            </w:r>
          </w:p>
        </w:tc>
        <w:tc>
          <w:tcPr>
            <w:tcW w:type="dxa" w:w="1234"/>
          </w:tcPr>
          <w:p>
            <w:r>
              <w:rPr>
                <w:rFonts w:ascii="宋体" w:hAnsi="宋体" w:eastAsia="宋体"/>
                <w:b w:val="0"/>
                <w:sz w:val="24"/>
              </w:rPr>
              <w:t>0.960</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7</w:t>
            </w:r>
          </w:p>
        </w:tc>
        <w:tc>
          <w:tcPr>
            <w:tcW w:type="dxa" w:w="1234"/>
          </w:tcPr>
          <w:p>
            <w:r>
              <w:rPr>
                <w:rFonts w:ascii="宋体" w:hAnsi="宋体" w:eastAsia="宋体"/>
                <w:b w:val="0"/>
                <w:sz w:val="24"/>
              </w:rPr>
              <w:t>上海</w:t>
            </w:r>
          </w:p>
        </w:tc>
        <w:tc>
          <w:tcPr>
            <w:tcW w:type="dxa" w:w="1234"/>
          </w:tcPr>
          <w:p>
            <w:r>
              <w:rPr>
                <w:rFonts w:ascii="宋体" w:hAnsi="宋体" w:eastAsia="宋体"/>
                <w:b w:val="0"/>
                <w:sz w:val="24"/>
              </w:rPr>
              <w:t>0.312</w:t>
            </w:r>
          </w:p>
        </w:tc>
        <w:tc>
          <w:tcPr>
            <w:tcW w:type="dxa" w:w="1234"/>
          </w:tcPr>
          <w:p>
            <w:r>
              <w:rPr>
                <w:rFonts w:ascii="宋体" w:hAnsi="宋体" w:eastAsia="宋体"/>
                <w:b w:val="0"/>
                <w:sz w:val="24"/>
              </w:rPr>
              <w:t>0.350</w:t>
            </w:r>
          </w:p>
        </w:tc>
        <w:tc>
          <w:tcPr>
            <w:tcW w:type="dxa" w:w="1234"/>
          </w:tcPr>
          <w:p>
            <w:r>
              <w:rPr>
                <w:rFonts w:ascii="宋体" w:hAnsi="宋体" w:eastAsia="宋体"/>
                <w:b w:val="0"/>
                <w:sz w:val="24"/>
              </w:rPr>
              <w:t>0.891</w:t>
            </w:r>
          </w:p>
        </w:tc>
        <w:tc>
          <w:tcPr>
            <w:tcW w:type="dxa" w:w="1234"/>
          </w:tcPr>
          <w:p>
            <w:r>
              <w:rPr>
                <w:rFonts w:ascii="宋体" w:hAnsi="宋体" w:eastAsia="宋体"/>
                <w:b w:val="0"/>
                <w:sz w:val="24"/>
              </w:rPr>
              <w:t>规模短板型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8</w:t>
            </w:r>
          </w:p>
        </w:tc>
        <w:tc>
          <w:tcPr>
            <w:tcW w:type="dxa" w:w="1234"/>
          </w:tcPr>
          <w:p>
            <w:r>
              <w:rPr>
                <w:rFonts w:ascii="宋体" w:hAnsi="宋体" w:eastAsia="宋体"/>
                <w:b w:val="0"/>
                <w:sz w:val="24"/>
              </w:rPr>
              <w:t>贵州</w:t>
            </w:r>
          </w:p>
        </w:tc>
        <w:tc>
          <w:tcPr>
            <w:tcW w:type="dxa" w:w="1234"/>
          </w:tcPr>
          <w:p>
            <w:r>
              <w:rPr>
                <w:rFonts w:ascii="宋体" w:hAnsi="宋体" w:eastAsia="宋体"/>
                <w:b w:val="0"/>
                <w:sz w:val="24"/>
              </w:rPr>
              <w:t>0.298</w:t>
            </w:r>
          </w:p>
        </w:tc>
        <w:tc>
          <w:tcPr>
            <w:tcW w:type="dxa" w:w="1234"/>
          </w:tcPr>
          <w:p>
            <w:r>
              <w:rPr>
                <w:rFonts w:ascii="宋体" w:hAnsi="宋体" w:eastAsia="宋体"/>
                <w:b w:val="0"/>
                <w:sz w:val="24"/>
              </w:rPr>
              <w:t>0.310</w:t>
            </w:r>
          </w:p>
        </w:tc>
        <w:tc>
          <w:tcPr>
            <w:tcW w:type="dxa" w:w="1234"/>
          </w:tcPr>
          <w:p>
            <w:r>
              <w:rPr>
                <w:rFonts w:ascii="宋体" w:hAnsi="宋体" w:eastAsia="宋体"/>
                <w:b w:val="0"/>
                <w:sz w:val="24"/>
              </w:rPr>
              <w:t>0.961</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9</w:t>
            </w:r>
          </w:p>
        </w:tc>
        <w:tc>
          <w:tcPr>
            <w:tcW w:type="dxa" w:w="1234"/>
          </w:tcPr>
          <w:p>
            <w:r>
              <w:rPr>
                <w:rFonts w:ascii="宋体" w:hAnsi="宋体" w:eastAsia="宋体"/>
                <w:b w:val="0"/>
                <w:sz w:val="24"/>
              </w:rPr>
              <w:t>北京</w:t>
            </w:r>
          </w:p>
        </w:tc>
        <w:tc>
          <w:tcPr>
            <w:tcW w:type="dxa" w:w="1234"/>
          </w:tcPr>
          <w:p>
            <w:r>
              <w:rPr>
                <w:rFonts w:ascii="宋体" w:hAnsi="宋体" w:eastAsia="宋体"/>
                <w:b w:val="0"/>
                <w:sz w:val="24"/>
              </w:rPr>
              <w:t>0.285</w:t>
            </w:r>
          </w:p>
        </w:tc>
        <w:tc>
          <w:tcPr>
            <w:tcW w:type="dxa" w:w="1234"/>
          </w:tcPr>
          <w:p>
            <w:r>
              <w:rPr>
                <w:rFonts w:ascii="宋体" w:hAnsi="宋体" w:eastAsia="宋体"/>
                <w:b w:val="0"/>
                <w:sz w:val="24"/>
              </w:rPr>
              <w:t>0.310</w:t>
            </w:r>
          </w:p>
        </w:tc>
        <w:tc>
          <w:tcPr>
            <w:tcW w:type="dxa" w:w="1234"/>
          </w:tcPr>
          <w:p>
            <w:r>
              <w:rPr>
                <w:rFonts w:ascii="宋体" w:hAnsi="宋体" w:eastAsia="宋体"/>
                <w:b w:val="0"/>
                <w:sz w:val="24"/>
              </w:rPr>
              <w:t>0.919</w:t>
            </w:r>
          </w:p>
        </w:tc>
        <w:tc>
          <w:tcPr>
            <w:tcW w:type="dxa" w:w="1234"/>
          </w:tcPr>
          <w:p>
            <w:r>
              <w:rPr>
                <w:rFonts w:ascii="宋体" w:hAnsi="宋体" w:eastAsia="宋体"/>
                <w:b w:val="0"/>
                <w:sz w:val="24"/>
              </w:rPr>
              <w:t>规模短板型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10</w:t>
            </w:r>
          </w:p>
        </w:tc>
        <w:tc>
          <w:tcPr>
            <w:tcW w:type="dxa" w:w="1234"/>
          </w:tcPr>
          <w:p>
            <w:r>
              <w:rPr>
                <w:rFonts w:ascii="宋体" w:hAnsi="宋体" w:eastAsia="宋体"/>
                <w:b w:val="0"/>
                <w:sz w:val="24"/>
              </w:rPr>
              <w:t>四川</w:t>
            </w:r>
          </w:p>
        </w:tc>
        <w:tc>
          <w:tcPr>
            <w:tcW w:type="dxa" w:w="1234"/>
          </w:tcPr>
          <w:p>
            <w:r>
              <w:rPr>
                <w:rFonts w:ascii="宋体" w:hAnsi="宋体" w:eastAsia="宋体"/>
                <w:b w:val="0"/>
                <w:sz w:val="24"/>
              </w:rPr>
              <w:t>0.278</w:t>
            </w:r>
          </w:p>
        </w:tc>
        <w:tc>
          <w:tcPr>
            <w:tcW w:type="dxa" w:w="1234"/>
          </w:tcPr>
          <w:p>
            <w:r>
              <w:rPr>
                <w:rFonts w:ascii="宋体" w:hAnsi="宋体" w:eastAsia="宋体"/>
                <w:b w:val="0"/>
                <w:sz w:val="24"/>
              </w:rPr>
              <w:t>0.290</w:t>
            </w:r>
          </w:p>
        </w:tc>
        <w:tc>
          <w:tcPr>
            <w:tcW w:type="dxa" w:w="1234"/>
          </w:tcPr>
          <w:p>
            <w:r>
              <w:rPr>
                <w:rFonts w:ascii="宋体" w:hAnsi="宋体" w:eastAsia="宋体"/>
                <w:b w:val="0"/>
                <w:sz w:val="24"/>
              </w:rPr>
              <w:t>0.959</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11</w:t>
            </w:r>
          </w:p>
        </w:tc>
        <w:tc>
          <w:tcPr>
            <w:tcW w:type="dxa" w:w="1234"/>
          </w:tcPr>
          <w:p>
            <w:r>
              <w:rPr>
                <w:rFonts w:ascii="宋体" w:hAnsi="宋体" w:eastAsia="宋体"/>
                <w:b w:val="0"/>
                <w:sz w:val="24"/>
              </w:rPr>
              <w:t>福建</w:t>
            </w:r>
          </w:p>
        </w:tc>
        <w:tc>
          <w:tcPr>
            <w:tcW w:type="dxa" w:w="1234"/>
          </w:tcPr>
          <w:p>
            <w:r>
              <w:rPr>
                <w:rFonts w:ascii="宋体" w:hAnsi="宋体" w:eastAsia="宋体"/>
                <w:b w:val="0"/>
                <w:sz w:val="24"/>
              </w:rPr>
              <w:t>0.268</w:t>
            </w:r>
          </w:p>
        </w:tc>
        <w:tc>
          <w:tcPr>
            <w:tcW w:type="dxa" w:w="1234"/>
          </w:tcPr>
          <w:p>
            <w:r>
              <w:rPr>
                <w:rFonts w:ascii="宋体" w:hAnsi="宋体" w:eastAsia="宋体"/>
                <w:b w:val="0"/>
                <w:sz w:val="24"/>
              </w:rPr>
              <w:t>0.285</w:t>
            </w:r>
          </w:p>
        </w:tc>
        <w:tc>
          <w:tcPr>
            <w:tcW w:type="dxa" w:w="1234"/>
          </w:tcPr>
          <w:p>
            <w:r>
              <w:rPr>
                <w:rFonts w:ascii="宋体" w:hAnsi="宋体" w:eastAsia="宋体"/>
                <w:b w:val="0"/>
                <w:sz w:val="24"/>
              </w:rPr>
              <w:t>0.940</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12</w:t>
            </w:r>
          </w:p>
        </w:tc>
        <w:tc>
          <w:tcPr>
            <w:tcW w:type="dxa" w:w="1234"/>
          </w:tcPr>
          <w:p>
            <w:r>
              <w:rPr>
                <w:rFonts w:ascii="宋体" w:hAnsi="宋体" w:eastAsia="宋体"/>
                <w:b w:val="0"/>
                <w:sz w:val="24"/>
              </w:rPr>
              <w:t>辽宁</w:t>
            </w:r>
          </w:p>
        </w:tc>
        <w:tc>
          <w:tcPr>
            <w:tcW w:type="dxa" w:w="1234"/>
          </w:tcPr>
          <w:p>
            <w:r>
              <w:rPr>
                <w:rFonts w:ascii="宋体" w:hAnsi="宋体" w:eastAsia="宋体"/>
                <w:b w:val="0"/>
                <w:sz w:val="24"/>
              </w:rPr>
              <w:t>0.262</w:t>
            </w:r>
          </w:p>
        </w:tc>
        <w:tc>
          <w:tcPr>
            <w:tcW w:type="dxa" w:w="1234"/>
          </w:tcPr>
          <w:p>
            <w:r>
              <w:rPr>
                <w:rFonts w:ascii="宋体" w:hAnsi="宋体" w:eastAsia="宋体"/>
                <w:b w:val="0"/>
                <w:sz w:val="24"/>
              </w:rPr>
              <w:t>0.275</w:t>
            </w:r>
          </w:p>
        </w:tc>
        <w:tc>
          <w:tcPr>
            <w:tcW w:type="dxa" w:w="1234"/>
          </w:tcPr>
          <w:p>
            <w:r>
              <w:rPr>
                <w:rFonts w:ascii="宋体" w:hAnsi="宋体" w:eastAsia="宋体"/>
                <w:b w:val="0"/>
                <w:sz w:val="24"/>
              </w:rPr>
              <w:t>0.953</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13</w:t>
            </w:r>
          </w:p>
        </w:tc>
        <w:tc>
          <w:tcPr>
            <w:tcW w:type="dxa" w:w="1234"/>
          </w:tcPr>
          <w:p>
            <w:r>
              <w:rPr>
                <w:rFonts w:ascii="宋体" w:hAnsi="宋体" w:eastAsia="宋体"/>
                <w:b w:val="0"/>
                <w:sz w:val="24"/>
              </w:rPr>
              <w:t>广西</w:t>
            </w:r>
          </w:p>
        </w:tc>
        <w:tc>
          <w:tcPr>
            <w:tcW w:type="dxa" w:w="1234"/>
          </w:tcPr>
          <w:p>
            <w:r>
              <w:rPr>
                <w:rFonts w:ascii="宋体" w:hAnsi="宋体" w:eastAsia="宋体"/>
                <w:b w:val="0"/>
                <w:sz w:val="24"/>
              </w:rPr>
              <w:t>0.255</w:t>
            </w:r>
          </w:p>
        </w:tc>
        <w:tc>
          <w:tcPr>
            <w:tcW w:type="dxa" w:w="1234"/>
          </w:tcPr>
          <w:p>
            <w:r>
              <w:rPr>
                <w:rFonts w:ascii="宋体" w:hAnsi="宋体" w:eastAsia="宋体"/>
                <w:b w:val="0"/>
                <w:sz w:val="24"/>
              </w:rPr>
              <w:t>0.265</w:t>
            </w:r>
          </w:p>
        </w:tc>
        <w:tc>
          <w:tcPr>
            <w:tcW w:type="dxa" w:w="1234"/>
          </w:tcPr>
          <w:p>
            <w:r>
              <w:rPr>
                <w:rFonts w:ascii="宋体" w:hAnsi="宋体" w:eastAsia="宋体"/>
                <w:b w:val="0"/>
                <w:sz w:val="24"/>
              </w:rPr>
              <w:t>0.962</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14</w:t>
            </w:r>
          </w:p>
        </w:tc>
        <w:tc>
          <w:tcPr>
            <w:tcW w:type="dxa" w:w="1234"/>
          </w:tcPr>
          <w:p>
            <w:r>
              <w:rPr>
                <w:rFonts w:ascii="宋体" w:hAnsi="宋体" w:eastAsia="宋体"/>
                <w:b w:val="0"/>
                <w:sz w:val="24"/>
              </w:rPr>
              <w:t>江苏</w:t>
            </w:r>
          </w:p>
        </w:tc>
        <w:tc>
          <w:tcPr>
            <w:tcW w:type="dxa" w:w="1234"/>
          </w:tcPr>
          <w:p>
            <w:r>
              <w:rPr>
                <w:rFonts w:ascii="宋体" w:hAnsi="宋体" w:eastAsia="宋体"/>
                <w:b w:val="0"/>
                <w:sz w:val="24"/>
              </w:rPr>
              <w:t>0.248</w:t>
            </w:r>
          </w:p>
        </w:tc>
        <w:tc>
          <w:tcPr>
            <w:tcW w:type="dxa" w:w="1234"/>
          </w:tcPr>
          <w:p>
            <w:r>
              <w:rPr>
                <w:rFonts w:ascii="宋体" w:hAnsi="宋体" w:eastAsia="宋体"/>
                <w:b w:val="0"/>
                <w:sz w:val="24"/>
              </w:rPr>
              <w:t>0.262</w:t>
            </w:r>
          </w:p>
        </w:tc>
        <w:tc>
          <w:tcPr>
            <w:tcW w:type="dxa" w:w="1234"/>
          </w:tcPr>
          <w:p>
            <w:r>
              <w:rPr>
                <w:rFonts w:ascii="宋体" w:hAnsi="宋体" w:eastAsia="宋体"/>
                <w:b w:val="0"/>
                <w:sz w:val="24"/>
              </w:rPr>
              <w:t>0.947</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15</w:t>
            </w:r>
          </w:p>
        </w:tc>
        <w:tc>
          <w:tcPr>
            <w:tcW w:type="dxa" w:w="1234"/>
          </w:tcPr>
          <w:p>
            <w:r>
              <w:rPr>
                <w:rFonts w:ascii="宋体" w:hAnsi="宋体" w:eastAsia="宋体"/>
                <w:b w:val="0"/>
                <w:sz w:val="24"/>
              </w:rPr>
              <w:t>湖南</w:t>
            </w:r>
          </w:p>
        </w:tc>
        <w:tc>
          <w:tcPr>
            <w:tcW w:type="dxa" w:w="1234"/>
          </w:tcPr>
          <w:p>
            <w:r>
              <w:rPr>
                <w:rFonts w:ascii="宋体" w:hAnsi="宋体" w:eastAsia="宋体"/>
                <w:b w:val="0"/>
                <w:sz w:val="24"/>
              </w:rPr>
              <w:t>0.235</w:t>
            </w:r>
          </w:p>
        </w:tc>
        <w:tc>
          <w:tcPr>
            <w:tcW w:type="dxa" w:w="1234"/>
          </w:tcPr>
          <w:p>
            <w:r>
              <w:rPr>
                <w:rFonts w:ascii="宋体" w:hAnsi="宋体" w:eastAsia="宋体"/>
                <w:b w:val="0"/>
                <w:sz w:val="24"/>
              </w:rPr>
              <w:t>0.248</w:t>
            </w:r>
          </w:p>
        </w:tc>
        <w:tc>
          <w:tcPr>
            <w:tcW w:type="dxa" w:w="1234"/>
          </w:tcPr>
          <w:p>
            <w:r>
              <w:rPr>
                <w:rFonts w:ascii="宋体" w:hAnsi="宋体" w:eastAsia="宋体"/>
                <w:b w:val="0"/>
                <w:sz w:val="24"/>
              </w:rPr>
              <w:t>0.948</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16</w:t>
            </w:r>
          </w:p>
        </w:tc>
        <w:tc>
          <w:tcPr>
            <w:tcW w:type="dxa" w:w="1234"/>
          </w:tcPr>
          <w:p>
            <w:r>
              <w:rPr>
                <w:rFonts w:ascii="宋体" w:hAnsi="宋体" w:eastAsia="宋体"/>
                <w:b w:val="0"/>
                <w:sz w:val="24"/>
              </w:rPr>
              <w:t>江西</w:t>
            </w:r>
          </w:p>
        </w:tc>
        <w:tc>
          <w:tcPr>
            <w:tcW w:type="dxa" w:w="1234"/>
          </w:tcPr>
          <w:p>
            <w:r>
              <w:rPr>
                <w:rFonts w:ascii="宋体" w:hAnsi="宋体" w:eastAsia="宋体"/>
                <w:b w:val="0"/>
                <w:sz w:val="24"/>
              </w:rPr>
              <w:t>0.228</w:t>
            </w:r>
          </w:p>
        </w:tc>
        <w:tc>
          <w:tcPr>
            <w:tcW w:type="dxa" w:w="1234"/>
          </w:tcPr>
          <w:p>
            <w:r>
              <w:rPr>
                <w:rFonts w:ascii="宋体" w:hAnsi="宋体" w:eastAsia="宋体"/>
                <w:b w:val="0"/>
                <w:sz w:val="24"/>
              </w:rPr>
              <w:t>0.240</w:t>
            </w:r>
          </w:p>
        </w:tc>
        <w:tc>
          <w:tcPr>
            <w:tcW w:type="dxa" w:w="1234"/>
          </w:tcPr>
          <w:p>
            <w:r>
              <w:rPr>
                <w:rFonts w:ascii="宋体" w:hAnsi="宋体" w:eastAsia="宋体"/>
                <w:b w:val="0"/>
                <w:sz w:val="24"/>
              </w:rPr>
              <w:t>0.950</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17</w:t>
            </w:r>
          </w:p>
        </w:tc>
        <w:tc>
          <w:tcPr>
            <w:tcW w:type="dxa" w:w="1234"/>
          </w:tcPr>
          <w:p>
            <w:r>
              <w:rPr>
                <w:rFonts w:ascii="宋体" w:hAnsi="宋体" w:eastAsia="宋体"/>
                <w:b w:val="0"/>
                <w:sz w:val="24"/>
              </w:rPr>
              <w:t>吉林</w:t>
            </w:r>
          </w:p>
        </w:tc>
        <w:tc>
          <w:tcPr>
            <w:tcW w:type="dxa" w:w="1234"/>
          </w:tcPr>
          <w:p>
            <w:r>
              <w:rPr>
                <w:rFonts w:ascii="宋体" w:hAnsi="宋体" w:eastAsia="宋体"/>
                <w:b w:val="0"/>
                <w:sz w:val="24"/>
              </w:rPr>
              <w:t>0.220</w:t>
            </w:r>
          </w:p>
        </w:tc>
        <w:tc>
          <w:tcPr>
            <w:tcW w:type="dxa" w:w="1234"/>
          </w:tcPr>
          <w:p>
            <w:r>
              <w:rPr>
                <w:rFonts w:ascii="宋体" w:hAnsi="宋体" w:eastAsia="宋体"/>
                <w:b w:val="0"/>
                <w:sz w:val="24"/>
              </w:rPr>
              <w:t>0.232</w:t>
            </w:r>
          </w:p>
        </w:tc>
        <w:tc>
          <w:tcPr>
            <w:tcW w:type="dxa" w:w="1234"/>
          </w:tcPr>
          <w:p>
            <w:r>
              <w:rPr>
                <w:rFonts w:ascii="宋体" w:hAnsi="宋体" w:eastAsia="宋体"/>
                <w:b w:val="0"/>
                <w:sz w:val="24"/>
              </w:rPr>
              <w:t>0.948</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18</w:t>
            </w:r>
          </w:p>
        </w:tc>
        <w:tc>
          <w:tcPr>
            <w:tcW w:type="dxa" w:w="1234"/>
          </w:tcPr>
          <w:p>
            <w:r>
              <w:rPr>
                <w:rFonts w:ascii="宋体" w:hAnsi="宋体" w:eastAsia="宋体"/>
                <w:b w:val="0"/>
                <w:sz w:val="24"/>
              </w:rPr>
              <w:t>内蒙古</w:t>
            </w:r>
          </w:p>
        </w:tc>
        <w:tc>
          <w:tcPr>
            <w:tcW w:type="dxa" w:w="1234"/>
          </w:tcPr>
          <w:p>
            <w:r>
              <w:rPr>
                <w:rFonts w:ascii="宋体" w:hAnsi="宋体" w:eastAsia="宋体"/>
                <w:b w:val="0"/>
                <w:sz w:val="24"/>
              </w:rPr>
              <w:t>0.215</w:t>
            </w:r>
          </w:p>
        </w:tc>
        <w:tc>
          <w:tcPr>
            <w:tcW w:type="dxa" w:w="1234"/>
          </w:tcPr>
          <w:p>
            <w:r>
              <w:rPr>
                <w:rFonts w:ascii="宋体" w:hAnsi="宋体" w:eastAsia="宋体"/>
                <w:b w:val="0"/>
                <w:sz w:val="24"/>
              </w:rPr>
              <w:t>0.228</w:t>
            </w:r>
          </w:p>
        </w:tc>
        <w:tc>
          <w:tcPr>
            <w:tcW w:type="dxa" w:w="1234"/>
          </w:tcPr>
          <w:p>
            <w:r>
              <w:rPr>
                <w:rFonts w:ascii="宋体" w:hAnsi="宋体" w:eastAsia="宋体"/>
                <w:b w:val="0"/>
                <w:sz w:val="24"/>
              </w:rPr>
              <w:t>0.943</w:t>
            </w:r>
          </w:p>
        </w:tc>
        <w:tc>
          <w:tcPr>
            <w:tcW w:type="dxa" w:w="1234"/>
          </w:tcPr>
          <w:p>
            <w:r>
              <w:rPr>
                <w:rFonts w:ascii="宋体" w:hAnsi="宋体" w:eastAsia="宋体"/>
                <w:b w:val="0"/>
                <w:sz w:val="24"/>
              </w:rPr>
              <w:t>技术短板型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19</w:t>
            </w:r>
          </w:p>
        </w:tc>
        <w:tc>
          <w:tcPr>
            <w:tcW w:type="dxa" w:w="1234"/>
          </w:tcPr>
          <w:p>
            <w:r>
              <w:rPr>
                <w:rFonts w:ascii="宋体" w:hAnsi="宋体" w:eastAsia="宋体"/>
                <w:b w:val="0"/>
                <w:sz w:val="24"/>
              </w:rPr>
              <w:t>天津</w:t>
            </w:r>
          </w:p>
        </w:tc>
        <w:tc>
          <w:tcPr>
            <w:tcW w:type="dxa" w:w="1234"/>
          </w:tcPr>
          <w:p>
            <w:r>
              <w:rPr>
                <w:rFonts w:ascii="宋体" w:hAnsi="宋体" w:eastAsia="宋体"/>
                <w:b w:val="0"/>
                <w:sz w:val="24"/>
              </w:rPr>
              <w:t>0.208</w:t>
            </w:r>
          </w:p>
        </w:tc>
        <w:tc>
          <w:tcPr>
            <w:tcW w:type="dxa" w:w="1234"/>
          </w:tcPr>
          <w:p>
            <w:r>
              <w:rPr>
                <w:rFonts w:ascii="宋体" w:hAnsi="宋体" w:eastAsia="宋体"/>
                <w:b w:val="0"/>
                <w:sz w:val="24"/>
              </w:rPr>
              <w:t>0.225</w:t>
            </w:r>
          </w:p>
        </w:tc>
        <w:tc>
          <w:tcPr>
            <w:tcW w:type="dxa" w:w="1234"/>
          </w:tcPr>
          <w:p>
            <w:r>
              <w:rPr>
                <w:rFonts w:ascii="宋体" w:hAnsi="宋体" w:eastAsia="宋体"/>
                <w:b w:val="0"/>
                <w:sz w:val="24"/>
              </w:rPr>
              <w:t>0.924</w:t>
            </w:r>
          </w:p>
        </w:tc>
        <w:tc>
          <w:tcPr>
            <w:tcW w:type="dxa" w:w="1234"/>
          </w:tcPr>
          <w:p>
            <w:r>
              <w:rPr>
                <w:rFonts w:ascii="宋体" w:hAnsi="宋体" w:eastAsia="宋体"/>
                <w:b w:val="0"/>
                <w:sz w:val="24"/>
              </w:rPr>
              <w:t>规模短板型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20</w:t>
            </w:r>
          </w:p>
        </w:tc>
        <w:tc>
          <w:tcPr>
            <w:tcW w:type="dxa" w:w="1234"/>
          </w:tcPr>
          <w:p>
            <w:r>
              <w:rPr>
                <w:rFonts w:ascii="宋体" w:hAnsi="宋体" w:eastAsia="宋体"/>
                <w:b w:val="0"/>
                <w:sz w:val="24"/>
              </w:rPr>
              <w:t>河南</w:t>
            </w:r>
          </w:p>
        </w:tc>
        <w:tc>
          <w:tcPr>
            <w:tcW w:type="dxa" w:w="1234"/>
          </w:tcPr>
          <w:p>
            <w:r>
              <w:rPr>
                <w:rFonts w:ascii="宋体" w:hAnsi="宋体" w:eastAsia="宋体"/>
                <w:b w:val="0"/>
                <w:sz w:val="24"/>
              </w:rPr>
              <w:t>0.155</w:t>
            </w:r>
          </w:p>
        </w:tc>
        <w:tc>
          <w:tcPr>
            <w:tcW w:type="dxa" w:w="1234"/>
          </w:tcPr>
          <w:p>
            <w:r>
              <w:rPr>
                <w:rFonts w:ascii="宋体" w:hAnsi="宋体" w:eastAsia="宋体"/>
                <w:b w:val="0"/>
                <w:sz w:val="24"/>
              </w:rPr>
              <w:t>0.168</w:t>
            </w:r>
          </w:p>
        </w:tc>
        <w:tc>
          <w:tcPr>
            <w:tcW w:type="dxa" w:w="1234"/>
          </w:tcPr>
          <w:p>
            <w:r>
              <w:rPr>
                <w:rFonts w:ascii="宋体" w:hAnsi="宋体" w:eastAsia="宋体"/>
                <w:b w:val="0"/>
                <w:sz w:val="24"/>
              </w:rPr>
              <w:t>0.923</w:t>
            </w:r>
          </w:p>
        </w:tc>
        <w:tc>
          <w:tcPr>
            <w:tcW w:type="dxa" w:w="1234"/>
          </w:tcPr>
          <w:p>
            <w:r>
              <w:rPr>
                <w:rFonts w:ascii="宋体" w:hAnsi="宋体" w:eastAsia="宋体"/>
                <w:b w:val="0"/>
                <w:sz w:val="24"/>
              </w:rPr>
              <w:t>规模短板型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21</w:t>
            </w:r>
          </w:p>
        </w:tc>
        <w:tc>
          <w:tcPr>
            <w:tcW w:type="dxa" w:w="1234"/>
          </w:tcPr>
          <w:p>
            <w:r>
              <w:rPr>
                <w:rFonts w:ascii="宋体" w:hAnsi="宋体" w:eastAsia="宋体"/>
                <w:b w:val="0"/>
                <w:sz w:val="24"/>
              </w:rPr>
              <w:t>云南</w:t>
            </w:r>
          </w:p>
        </w:tc>
        <w:tc>
          <w:tcPr>
            <w:tcW w:type="dxa" w:w="1234"/>
          </w:tcPr>
          <w:p>
            <w:r>
              <w:rPr>
                <w:rFonts w:ascii="宋体" w:hAnsi="宋体" w:eastAsia="宋体"/>
                <w:b w:val="0"/>
                <w:sz w:val="24"/>
              </w:rPr>
              <w:t>0.148</w:t>
            </w:r>
          </w:p>
        </w:tc>
        <w:tc>
          <w:tcPr>
            <w:tcW w:type="dxa" w:w="1234"/>
          </w:tcPr>
          <w:p>
            <w:r>
              <w:rPr>
                <w:rFonts w:ascii="宋体" w:hAnsi="宋体" w:eastAsia="宋体"/>
                <w:b w:val="0"/>
                <w:sz w:val="24"/>
              </w:rPr>
              <w:t>0.160</w:t>
            </w:r>
          </w:p>
        </w:tc>
        <w:tc>
          <w:tcPr>
            <w:tcW w:type="dxa" w:w="1234"/>
          </w:tcPr>
          <w:p>
            <w:r>
              <w:rPr>
                <w:rFonts w:ascii="宋体" w:hAnsi="宋体" w:eastAsia="宋体"/>
                <w:b w:val="0"/>
                <w:sz w:val="24"/>
              </w:rPr>
              <w:t>0.925</w:t>
            </w:r>
          </w:p>
        </w:tc>
        <w:tc>
          <w:tcPr>
            <w:tcW w:type="dxa" w:w="1234"/>
          </w:tcPr>
          <w:p>
            <w:r>
              <w:rPr>
                <w:rFonts w:ascii="宋体" w:hAnsi="宋体" w:eastAsia="宋体"/>
                <w:b w:val="0"/>
                <w:sz w:val="24"/>
              </w:rPr>
              <w:t>规模短板型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22</w:t>
            </w:r>
          </w:p>
        </w:tc>
        <w:tc>
          <w:tcPr>
            <w:tcW w:type="dxa" w:w="1234"/>
          </w:tcPr>
          <w:p>
            <w:r>
              <w:rPr>
                <w:rFonts w:ascii="宋体" w:hAnsi="宋体" w:eastAsia="宋体"/>
                <w:b w:val="0"/>
                <w:sz w:val="24"/>
              </w:rPr>
              <w:t>山西</w:t>
            </w:r>
          </w:p>
        </w:tc>
        <w:tc>
          <w:tcPr>
            <w:tcW w:type="dxa" w:w="1234"/>
          </w:tcPr>
          <w:p>
            <w:r>
              <w:rPr>
                <w:rFonts w:ascii="宋体" w:hAnsi="宋体" w:eastAsia="宋体"/>
                <w:b w:val="0"/>
                <w:sz w:val="24"/>
              </w:rPr>
              <w:t>0.125</w:t>
            </w:r>
          </w:p>
        </w:tc>
        <w:tc>
          <w:tcPr>
            <w:tcW w:type="dxa" w:w="1234"/>
          </w:tcPr>
          <w:p>
            <w:r>
              <w:rPr>
                <w:rFonts w:ascii="宋体" w:hAnsi="宋体" w:eastAsia="宋体"/>
                <w:b w:val="0"/>
                <w:sz w:val="24"/>
              </w:rPr>
              <w:t>0.142</w:t>
            </w:r>
          </w:p>
        </w:tc>
        <w:tc>
          <w:tcPr>
            <w:tcW w:type="dxa" w:w="1234"/>
          </w:tcPr>
          <w:p>
            <w:r>
              <w:rPr>
                <w:rFonts w:ascii="宋体" w:hAnsi="宋体" w:eastAsia="宋体"/>
                <w:b w:val="0"/>
                <w:sz w:val="24"/>
              </w:rPr>
              <w:t>0.880</w:t>
            </w:r>
          </w:p>
        </w:tc>
        <w:tc>
          <w:tcPr>
            <w:tcW w:type="dxa" w:w="1234"/>
          </w:tcPr>
          <w:p>
            <w:r>
              <w:rPr>
                <w:rFonts w:ascii="宋体" w:hAnsi="宋体" w:eastAsia="宋体"/>
                <w:b w:val="0"/>
                <w:sz w:val="24"/>
              </w:rPr>
              <w:t>规模短板型</w:t>
            </w:r>
          </w:p>
        </w:tc>
        <w:tc>
          <w:tcPr>
            <w:tcW w:type="dxa" w:w="1234"/>
          </w:tcPr>
          <w:p>
            <w:r>
              <w:rPr>
                <w:rFonts w:ascii="宋体" w:hAnsi="宋体" w:eastAsia="宋体"/>
                <w:b w:val="0"/>
                <w:sz w:val="24"/>
              </w:rPr>
              <w:t>递减</w:t>
            </w:r>
          </w:p>
        </w:tc>
      </w:tr>
      <w:tr>
        <w:tc>
          <w:tcPr>
            <w:tcW w:type="dxa" w:w="1234"/>
          </w:tcPr>
          <w:p>
            <w:r>
              <w:rPr>
                <w:rFonts w:ascii="宋体" w:hAnsi="宋体" w:eastAsia="宋体"/>
                <w:b w:val="0"/>
                <w:sz w:val="24"/>
              </w:rPr>
              <w:t>—</w:t>
            </w:r>
          </w:p>
        </w:tc>
        <w:tc>
          <w:tcPr>
            <w:tcW w:type="dxa" w:w="1234"/>
          </w:tcPr>
          <w:p>
            <w:r>
              <w:rPr>
                <w:rFonts w:ascii="宋体" w:hAnsi="宋体" w:eastAsia="宋体"/>
                <w:b w:val="0"/>
                <w:sz w:val="24"/>
              </w:rPr>
            </w:r>
            <w:r>
              <w:rPr>
                <w:rFonts w:ascii="宋体" w:hAnsi="宋体" w:eastAsia="宋体"/>
                <w:b/>
                <w:sz w:val="24"/>
              </w:rPr>
              <w:t>均值</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0.278</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0.295</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0.942</w:t>
            </w:r>
            <w:r>
              <w:rPr>
                <w:rFonts w:ascii="宋体" w:hAnsi="宋体" w:eastAsia="宋体"/>
                <w:b w:val="0"/>
                <w:sz w:val="24"/>
              </w:rPr>
            </w:r>
          </w:p>
        </w:tc>
        <w:tc>
          <w:tcPr>
            <w:tcW w:type="dxa" w:w="1234"/>
          </w:tcPr>
          <w:p>
            <w:r>
              <w:rPr>
                <w:rFonts w:ascii="宋体" w:hAnsi="宋体" w:eastAsia="宋体"/>
                <w:b w:val="0"/>
                <w:sz w:val="24"/>
              </w:rPr>
              <w:t>—</w:t>
            </w:r>
          </w:p>
        </w:tc>
        <w:tc>
          <w:tcPr>
            <w:tcW w:type="dxa" w:w="1234"/>
          </w:tcPr>
          <w:p>
            <w:r>
              <w:rPr>
                <w:rFonts w:ascii="宋体" w:hAnsi="宋体" w:eastAsia="宋体"/>
                <w:b w:val="0"/>
                <w:sz w:val="24"/>
              </w:rPr>
              <w:t>—</w:t>
            </w:r>
          </w:p>
        </w:tc>
      </w:tr>
    </w:tbl>
    <w:p>
      <w:r>
        <w:rPr>
          <w:rFonts w:ascii="宋体" w:hAnsi="宋体" w:eastAsia="宋体"/>
          <w:b w:val="0"/>
          <w:sz w:val="24"/>
        </w:rPr>
      </w:r>
      <w:r>
        <w:rPr>
          <w:rFonts w:ascii="宋体" w:hAnsi="宋体" w:eastAsia="宋体"/>
          <w:b w:val="0"/>
          <w:i/>
          <w:sz w:val="24"/>
        </w:rPr>
        <w:t>数据来源：OGD-Collector Pro采集系统 + DEA-BCC计算，2025年3月。</w:t>
      </w:r>
      <w:r>
        <w:rPr>
          <w:rFonts w:ascii="宋体" w:hAnsi="宋体" w:eastAsia="宋体"/>
          <w:b w:val="0"/>
          <w:sz w:val="24"/>
        </w:rPr>
      </w:r>
    </w:p>
    <w:p>
      <w:r>
        <w:rPr>
          <w:rFonts w:ascii="宋体" w:hAnsi="宋体" w:eastAsia="宋体"/>
          <w:b w:val="0"/>
          <w:sz w:val="24"/>
        </w:rPr>
        <w:t>从表4-2可以看出四个关键发现：</w:t>
      </w:r>
    </w:p>
    <w:p>
      <w:r>
        <w:rPr>
          <w:rFonts w:ascii="宋体" w:hAnsi="宋体" w:eastAsia="宋体"/>
          <w:b w:val="0"/>
          <w:sz w:val="24"/>
        </w:rPr>
      </w:r>
      <w:r>
        <w:rPr>
          <w:rFonts w:ascii="宋体" w:hAnsi="宋体" w:eastAsia="宋体"/>
          <w:b/>
          <w:sz w:val="24"/>
        </w:rPr>
        <w:t>发现一：无平台达到DEA有效（TE=1）。</w:t>
      </w:r>
      <w:r>
        <w:rPr>
          <w:rFonts w:ascii="宋体" w:hAnsi="宋体" w:eastAsia="宋体"/>
          <w:b w:val="0"/>
          <w:sz w:val="24"/>
        </w:rPr>
        <w:t xml:space="preserve"> 23个平台的综合效率均小于1，表明所有平台都存在效率改进空间。效率最高的山东平台TE仅为0.498，意味着即使在"最有效率"的平台，投入产出比也仅为最优水平的49.8%。这一发现揭示了政府数据开放平台在资源配置效率方面的普遍不足。DEA有效（TE=1）意味着平台在当前技术水平下实现了投入产出的最优配置——没有任何一个平台达到这一标准，表明整个行业在效率提升方面存在巨大的改进空间。</w:t>
      </w:r>
    </w:p>
    <w:p>
      <w:r>
        <w:rPr>
          <w:rFonts w:ascii="宋体" w:hAnsi="宋体" w:eastAsia="宋体"/>
          <w:b w:val="0"/>
          <w:sz w:val="24"/>
        </w:rPr>
        <w:t>从国际比较的视角看，这一发现并非中国特有。Jetzek等在对欧洲开放数据平台的效率评估中发现，大多数平台的DEA效率值低于0.60，与本研究的发现基本一致。这表明政府数据开放平台的"低效率"是一个全球性的共性问题，其根源在于公共部门资源配置的体制性障碍——预算软约束、绩效激励不足、跨部门协调困难等。这些体制性障碍使得公共部门难以像私营部门那样追求投入产出的最优化。</w:t>
      </w:r>
    </w:p>
    <w:p>
      <w:r>
        <w:rPr>
          <w:rFonts w:ascii="宋体" w:hAnsi="宋体" w:eastAsia="宋体"/>
          <w:b w:val="0"/>
          <w:sz w:val="24"/>
        </w:rPr>
      </w:r>
      <w:r>
        <w:rPr>
          <w:rFonts w:ascii="宋体" w:hAnsi="宋体" w:eastAsia="宋体"/>
          <w:b/>
          <w:sz w:val="24"/>
        </w:rPr>
        <w:t>发现二：技术短板型占主导，规模短板型为次。</w:t>
      </w:r>
      <w:r>
        <w:rPr>
          <w:rFonts w:ascii="宋体" w:hAnsi="宋体" w:eastAsia="宋体"/>
          <w:b w:val="0"/>
          <w:sz w:val="24"/>
        </w:rPr>
        <w:t xml:space="preserve"> 19个平台（86.4%）属于"技术短板型"（TE=PTE&lt;SE），表明这些平台的主要效率损失来源于管理和技术层面——在现有投入规模下，平台未能充分发挥资源的生产潜力。4个平台（13.6%）属于"规模短板型"（TE=SE&lt;PTE），表明这些平台的主要效率损失来源于规模不经济——投入规模过大或过小，未能达到最优规模。</w:t>
      </w:r>
    </w:p>
    <w:p>
      <w:r>
        <w:rPr>
          <w:rFonts w:ascii="宋体" w:hAnsi="宋体" w:eastAsia="宋体"/>
          <w:b w:val="0"/>
          <w:sz w:val="24"/>
        </w:rPr>
        <w:t>技术短板型占主导地位的发现具有重要的政策含义。纯技术效率衡量的是平台在现有规模下的管理和技术水平——如果纯技术效率低，说明平台即使在不改变投入规模的情况下，也可以通过提升管理水平和技术能力来提高产出。这与规模效率形成鲜明对比——规模效率低意味着平台的投入规模不合理，需要通过扩大或缩小规模来提升效率。本研究发现纯技术效率均值仅为0.295，而规模效率均值高达0.942，表明平台的主要问题不是"规模不对"，而是"管理不善"。这一发现为政策制定者提供了明确的方向：提升效率的关键在于优化管理和技术，而非简单地增加或减少投入。</w:t>
      </w:r>
    </w:p>
    <w:p>
      <w:r>
        <w:rPr>
          <w:rFonts w:ascii="宋体" w:hAnsi="宋体" w:eastAsia="宋体"/>
          <w:b w:val="0"/>
          <w:sz w:val="24"/>
        </w:rPr>
      </w:r>
      <w:r>
        <w:rPr>
          <w:rFonts w:ascii="宋体" w:hAnsi="宋体" w:eastAsia="宋体"/>
          <w:b/>
          <w:sz w:val="24"/>
        </w:rPr>
        <w:t>发现三：规模效率普遍较高（均值0.942），纯技术效率普遍较低（均值0.295）。</w:t>
      </w:r>
      <w:r>
        <w:rPr>
          <w:rFonts w:ascii="宋体" w:hAnsi="宋体" w:eastAsia="宋体"/>
          <w:b w:val="0"/>
          <w:sz w:val="24"/>
        </w:rPr>
        <w:t xml:space="preserve"> 大多数平台的规模效率接近或超过0.90，表明平台的投入规模基本合理，不存在严重的规模不经济问题。然而，纯技术效率均值仅为0.295，表明平台在管理和技术层面的效率损失极为严重——这是政府数据开放平台效率提升的关键突破口。</w:t>
      </w:r>
    </w:p>
    <w:p>
      <w:r>
        <w:rPr>
          <w:rFonts w:ascii="宋体" w:hAnsi="宋体" w:eastAsia="宋体"/>
          <w:b w:val="0"/>
          <w:sz w:val="24"/>
        </w:rPr>
        <w:t>纯技术效率的低下可以从多个维度进行解释。第一，</w:t>
      </w:r>
      <w:r>
        <w:rPr>
          <w:rFonts w:ascii="宋体" w:hAnsi="宋体" w:eastAsia="宋体"/>
          <w:b/>
          <w:sz w:val="24"/>
        </w:rPr>
        <w:t>管理流程冗余</w:t>
      </w:r>
      <w:r>
        <w:rPr>
          <w:rFonts w:ascii="宋体" w:hAnsi="宋体" w:eastAsia="宋体"/>
          <w:b w:val="0"/>
          <w:sz w:val="24"/>
        </w:rPr>
        <w:t>——公共部门的数据开放流程通常涉及多个部门的审批和协调，从数据申请到最终发布需要经过复杂的行政程序，导致管理效率低下。第二，</w:t>
      </w:r>
      <w:r>
        <w:rPr>
          <w:rFonts w:ascii="宋体" w:hAnsi="宋体" w:eastAsia="宋体"/>
          <w:b/>
          <w:sz w:val="24"/>
        </w:rPr>
        <w:t>技术能力滞后</w:t>
      </w:r>
      <w:r>
        <w:rPr>
          <w:rFonts w:ascii="宋体" w:hAnsi="宋体" w:eastAsia="宋体"/>
          <w:b w:val="0"/>
          <w:sz w:val="24"/>
        </w:rPr>
        <w:t>——部分平台仍然采用早期的技术架构，缺乏现代化的数据管理工具和自动化运维能力，导致技术效率低下。第三，</w:t>
      </w:r>
      <w:r>
        <w:rPr>
          <w:rFonts w:ascii="宋体" w:hAnsi="宋体" w:eastAsia="宋体"/>
          <w:b/>
          <w:sz w:val="24"/>
        </w:rPr>
        <w:t>人员能力不足</w:t>
      </w:r>
      <w:r>
        <w:rPr>
          <w:rFonts w:ascii="宋体" w:hAnsi="宋体" w:eastAsia="宋体"/>
          <w:b w:val="0"/>
          <w:sz w:val="24"/>
        </w:rPr>
        <w:t>——平台运营团队的数据治理能力和技术能力参差不齐，部分平台缺乏专业的数据管理人员和技术开发人员。第四，</w:t>
      </w:r>
      <w:r>
        <w:rPr>
          <w:rFonts w:ascii="宋体" w:hAnsi="宋体" w:eastAsia="宋体"/>
          <w:b/>
          <w:sz w:val="24"/>
        </w:rPr>
        <w:t>激励机制缺失</w:t>
      </w:r>
      <w:r>
        <w:rPr>
          <w:rFonts w:ascii="宋体" w:hAnsi="宋体" w:eastAsia="宋体"/>
          <w:b w:val="0"/>
          <w:sz w:val="24"/>
        </w:rPr>
        <w:t>——公共部门的绩效激励体系通常不与数据开放绩效直接挂钩，导致运营者缺乏提升效率的动力。</w:t>
      </w:r>
    </w:p>
    <w:p>
      <w:r>
        <w:rPr>
          <w:rFonts w:ascii="宋体" w:hAnsi="宋体" w:eastAsia="宋体"/>
          <w:b w:val="0"/>
          <w:sz w:val="24"/>
        </w:rPr>
      </w:r>
      <w:r>
        <w:rPr>
          <w:rFonts w:ascii="宋体" w:hAnsi="宋体" w:eastAsia="宋体"/>
          <w:b/>
          <w:sz w:val="24"/>
        </w:rPr>
        <w:t>发现四：效率排名与绩效排名并非完全对应。</w:t>
      </w:r>
      <w:r>
        <w:rPr>
          <w:rFonts w:ascii="宋体" w:hAnsi="宋体" w:eastAsia="宋体"/>
          <w:b w:val="0"/>
          <w:sz w:val="24"/>
        </w:rPr>
        <w:t xml:space="preserve"> 山东在效率排名中位列第一（TE=0.498），但在绩效排名中位列第二（TOPSIS=0.540）；广东在绩效排名中位列第一（TOPSIS=1.000），但在效率排名中位列第二（TE=0.485）。这种"错位"揭示了绩效和效率是两个不同的概念——高绩效不一定高效率，高效率不一定高绩效。</w:t>
      </w:r>
    </w:p>
    <w:p>
      <w:r>
        <w:rPr>
          <w:rFonts w:ascii="宋体" w:hAnsi="宋体" w:eastAsia="宋体"/>
          <w:b w:val="0"/>
          <w:sz w:val="24"/>
        </w:rPr>
        <w:t>绩效与效率的"错位"现象对于政策制定具有重要的启示。从资源配置的视角看，如果将有限的财政资源优先投入"高绩效"平台（如广东），可能无法获得最大的边际效益——因为广东的TE仅为0.485，意味着其投入产出比并不理想，同样的资源投入在"高效率"平台（如山东、福建、贵州）可能产生更大的绩效提升。反之，如果优先投入"高效率"平台，虽然这些平台的当前绩效不高，但由于其资源配置效率较高，新增投入能够更有效地转化为绩效产出。这一发现挑战了传统的"扶优扶强"策略——在资源有限的情况下，"扶优"未必最优，"扶效"可能更优。</w:t>
      </w:r>
    </w:p>
    <w:p>
      <w:r>
        <w:rPr>
          <w:rFonts w:ascii="宋体" w:hAnsi="宋体" w:eastAsia="宋体"/>
          <w:b w:val="0"/>
          <w:sz w:val="24"/>
        </w:rPr>
        <w:t>绩效-效率的"错位"现象在公共部门绩效评估中并不罕见。Coelli等在对公共部门效率研究的综述中指出，绩效（ effectiveness）和效率（efficiency）是两个独立但相关的概念——绩效衡量"做得好不好"（产出质量），效率衡量"做得省不省"（投入产出比）。一个平台可能通过大量投入实现了高绩效（如广东），但其效率可能并不理想；另一个平台可能以较少的投入实现了中等绩效（如贵州），但其效率可能相对较高。这种"错位"提醒政策制定者：在评估平台时，不能仅看绩效排名，还需要关注效率排名——高绩效但低效率的平台可能存在资源浪费问题，而低绩效但高效率的平台可能是"投入不足"而非"能力不够"。</w:t>
      </w:r>
    </w:p>
    <w:p>
      <w:pPr>
        <w:pStyle w:val="Heading3"/>
      </w:pPr>
      <w:r>
        <w:rPr>
          <w:rFonts w:ascii="黑体" w:hAnsi="黑体" w:eastAsia="黑体"/>
          <w:b/>
          <w:sz w:val="24"/>
        </w:rPr>
        <w:t>4.3 绩效-效率矩阵分析</w:t>
      </w:r>
    </w:p>
    <w:p>
      <w:r>
        <w:rPr>
          <w:rFonts w:ascii="宋体" w:hAnsi="宋体" w:eastAsia="宋体"/>
          <w:b w:val="0"/>
          <w:sz w:val="24"/>
        </w:rPr>
        <w:t>基于TOPSIS绩效得分和DEA综合效率值，本研究构建了"绩效-效率四象限矩阵"（表4-3），将23个平台分为四种类型。</w:t>
      </w:r>
    </w:p>
    <w:p>
      <w:r>
        <w:rPr>
          <w:rFonts w:ascii="宋体" w:hAnsi="宋体" w:eastAsia="宋体"/>
          <w:b w:val="0"/>
          <w:sz w:val="24"/>
        </w:rPr>
      </w:r>
      <w:r>
        <w:rPr>
          <w:rFonts w:ascii="宋体" w:hAnsi="宋体" w:eastAsia="宋体"/>
          <w:b/>
          <w:sz w:val="24"/>
        </w:rPr>
        <w:t>表4-3 绩效-效率四象限分类</w:t>
      </w:r>
      <w:r>
        <w:rPr>
          <w:rFonts w:ascii="宋体" w:hAnsi="宋体" w:eastAsia="宋体"/>
          <w:b w:val="0"/>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宋体" w:hAnsi="宋体" w:eastAsia="宋体"/>
                <w:b w:val="0"/>
                <w:sz w:val="24"/>
              </w:rPr>
              <w:t>象限</w:t>
            </w:r>
          </w:p>
        </w:tc>
        <w:tc>
          <w:tcPr>
            <w:tcW w:type="dxa" w:w="1440"/>
          </w:tcPr>
          <w:p>
            <w:r>
              <w:rPr>
                <w:rFonts w:ascii="宋体" w:hAnsi="宋体" w:eastAsia="宋体"/>
                <w:b w:val="0"/>
                <w:sz w:val="24"/>
              </w:rPr>
              <w:t>类型</w:t>
            </w:r>
          </w:p>
        </w:tc>
        <w:tc>
          <w:tcPr>
            <w:tcW w:type="dxa" w:w="1440"/>
          </w:tcPr>
          <w:p>
            <w:r>
              <w:rPr>
                <w:rFonts w:ascii="宋体" w:hAnsi="宋体" w:eastAsia="宋体"/>
                <w:b w:val="0"/>
                <w:sz w:val="24"/>
              </w:rPr>
              <w:t>判定标准</w:t>
            </w:r>
          </w:p>
        </w:tc>
        <w:tc>
          <w:tcPr>
            <w:tcW w:type="dxa" w:w="1440"/>
          </w:tcPr>
          <w:p>
            <w:r>
              <w:rPr>
                <w:rFonts w:ascii="宋体" w:hAnsi="宋体" w:eastAsia="宋体"/>
                <w:b w:val="0"/>
                <w:sz w:val="24"/>
              </w:rPr>
              <w:t>平台</w:t>
            </w:r>
          </w:p>
        </w:tc>
        <w:tc>
          <w:tcPr>
            <w:tcW w:type="dxa" w:w="1440"/>
          </w:tcPr>
          <w:p>
            <w:r>
              <w:rPr>
                <w:rFonts w:ascii="宋体" w:hAnsi="宋体" w:eastAsia="宋体"/>
                <w:b w:val="0"/>
                <w:sz w:val="24"/>
              </w:rPr>
              <w:t>数量</w:t>
            </w:r>
          </w:p>
        </w:tc>
        <w:tc>
          <w:tcPr>
            <w:tcW w:type="dxa" w:w="1440"/>
          </w:tcPr>
          <w:p>
            <w:r>
              <w:rPr>
                <w:rFonts w:ascii="宋体" w:hAnsi="宋体" w:eastAsia="宋体"/>
                <w:b w:val="0"/>
                <w:sz w:val="24"/>
              </w:rPr>
              <w:t>特征描述</w:t>
            </w:r>
          </w:p>
        </w:tc>
      </w:tr>
      <w:tr>
        <w:tc>
          <w:tcPr>
            <w:tcW w:type="dxa" w:w="1440"/>
          </w:tcPr>
          <w:p>
            <w:r>
              <w:rPr>
                <w:rFonts w:ascii="宋体" w:hAnsi="宋体" w:eastAsia="宋体"/>
                <w:b w:val="0"/>
                <w:sz w:val="24"/>
              </w:rPr>
              <w:t>第一象限</w:t>
            </w:r>
          </w:p>
        </w:tc>
        <w:tc>
          <w:tcPr>
            <w:tcW w:type="dxa" w:w="1440"/>
          </w:tcPr>
          <w:p>
            <w:r>
              <w:rPr>
                <w:rFonts w:ascii="宋体" w:hAnsi="宋体" w:eastAsia="宋体"/>
                <w:b w:val="0"/>
                <w:sz w:val="24"/>
              </w:rPr>
              <w:t>明星型</w:t>
            </w:r>
          </w:p>
        </w:tc>
        <w:tc>
          <w:tcPr>
            <w:tcW w:type="dxa" w:w="1440"/>
          </w:tcPr>
          <w:p>
            <w:r>
              <w:rPr>
                <w:rFonts w:ascii="宋体" w:hAnsi="宋体" w:eastAsia="宋体"/>
                <w:b w:val="0"/>
                <w:sz w:val="24"/>
              </w:rPr>
              <w:t>高绩效+高效率</w:t>
            </w:r>
          </w:p>
        </w:tc>
        <w:tc>
          <w:tcPr>
            <w:tcW w:type="dxa" w:w="1440"/>
          </w:tcPr>
          <w:p>
            <w:r>
              <w:rPr>
                <w:rFonts w:ascii="宋体" w:hAnsi="宋体" w:eastAsia="宋体"/>
                <w:b w:val="0"/>
                <w:sz w:val="24"/>
              </w:rPr>
              <w:t>（无）</w:t>
            </w:r>
          </w:p>
        </w:tc>
        <w:tc>
          <w:tcPr>
            <w:tcW w:type="dxa" w:w="1440"/>
          </w:tcPr>
          <w:p>
            <w:r>
              <w:rPr>
                <w:rFonts w:ascii="宋体" w:hAnsi="宋体" w:eastAsia="宋体"/>
                <w:b w:val="0"/>
                <w:sz w:val="24"/>
              </w:rPr>
              <w:t>0</w:t>
            </w:r>
          </w:p>
        </w:tc>
        <w:tc>
          <w:tcPr>
            <w:tcW w:type="dxa" w:w="1440"/>
          </w:tcPr>
          <w:p>
            <w:r>
              <w:rPr>
                <w:rFonts w:ascii="宋体" w:hAnsi="宋体" w:eastAsia="宋体"/>
                <w:b w:val="0"/>
                <w:sz w:val="24"/>
              </w:rPr>
              <w:t>—</w:t>
            </w:r>
          </w:p>
        </w:tc>
      </w:tr>
      <w:tr>
        <w:tc>
          <w:tcPr>
            <w:tcW w:type="dxa" w:w="1440"/>
          </w:tcPr>
          <w:p>
            <w:r>
              <w:rPr>
                <w:rFonts w:ascii="宋体" w:hAnsi="宋体" w:eastAsia="宋体"/>
                <w:b w:val="0"/>
                <w:sz w:val="24"/>
              </w:rPr>
              <w:t>第二象限</w:t>
            </w:r>
          </w:p>
        </w:tc>
        <w:tc>
          <w:tcPr>
            <w:tcW w:type="dxa" w:w="1440"/>
          </w:tcPr>
          <w:p>
            <w:r>
              <w:rPr>
                <w:rFonts w:ascii="宋体" w:hAnsi="宋体" w:eastAsia="宋体"/>
                <w:b w:val="0"/>
                <w:sz w:val="24"/>
              </w:rPr>
              <w:t>优化型</w:t>
            </w:r>
          </w:p>
        </w:tc>
        <w:tc>
          <w:tcPr>
            <w:tcW w:type="dxa" w:w="1440"/>
          </w:tcPr>
          <w:p>
            <w:r>
              <w:rPr>
                <w:rFonts w:ascii="宋体" w:hAnsi="宋体" w:eastAsia="宋体"/>
                <w:b w:val="0"/>
                <w:sz w:val="24"/>
              </w:rPr>
              <w:t>高绩效+低效率</w:t>
            </w:r>
          </w:p>
        </w:tc>
        <w:tc>
          <w:tcPr>
            <w:tcW w:type="dxa" w:w="1440"/>
          </w:tcPr>
          <w:p>
            <w:r>
              <w:rPr>
                <w:rFonts w:ascii="宋体" w:hAnsi="宋体" w:eastAsia="宋体"/>
                <w:b w:val="0"/>
                <w:sz w:val="24"/>
              </w:rPr>
              <w:t>广东、山东、浙江、海南</w:t>
            </w:r>
          </w:p>
        </w:tc>
        <w:tc>
          <w:tcPr>
            <w:tcW w:type="dxa" w:w="1440"/>
          </w:tcPr>
          <w:p>
            <w:r>
              <w:rPr>
                <w:rFonts w:ascii="宋体" w:hAnsi="宋体" w:eastAsia="宋体"/>
                <w:b w:val="0"/>
                <w:sz w:val="24"/>
              </w:rPr>
              <w:t>4</w:t>
            </w:r>
          </w:p>
        </w:tc>
        <w:tc>
          <w:tcPr>
            <w:tcW w:type="dxa" w:w="1440"/>
          </w:tcPr>
          <w:p>
            <w:r>
              <w:rPr>
                <w:rFonts w:ascii="宋体" w:hAnsi="宋体" w:eastAsia="宋体"/>
                <w:b w:val="0"/>
                <w:sz w:val="24"/>
              </w:rPr>
              <w:t>绩效好但投入大，存在资源浪费</w:t>
            </w:r>
          </w:p>
        </w:tc>
      </w:tr>
      <w:tr>
        <w:tc>
          <w:tcPr>
            <w:tcW w:type="dxa" w:w="1440"/>
          </w:tcPr>
          <w:p>
            <w:r>
              <w:rPr>
                <w:rFonts w:ascii="宋体" w:hAnsi="宋体" w:eastAsia="宋体"/>
                <w:b w:val="0"/>
                <w:sz w:val="24"/>
              </w:rPr>
              <w:t>第三象限</w:t>
            </w:r>
          </w:p>
        </w:tc>
        <w:tc>
          <w:tcPr>
            <w:tcW w:type="dxa" w:w="1440"/>
          </w:tcPr>
          <w:p>
            <w:r>
              <w:rPr>
                <w:rFonts w:ascii="宋体" w:hAnsi="宋体" w:eastAsia="宋体"/>
                <w:b w:val="0"/>
                <w:sz w:val="24"/>
              </w:rPr>
              <w:t>潜力型</w:t>
            </w:r>
          </w:p>
        </w:tc>
        <w:tc>
          <w:tcPr>
            <w:tcW w:type="dxa" w:w="1440"/>
          </w:tcPr>
          <w:p>
            <w:r>
              <w:rPr>
                <w:rFonts w:ascii="宋体" w:hAnsi="宋体" w:eastAsia="宋体"/>
                <w:b w:val="0"/>
                <w:sz w:val="24"/>
              </w:rPr>
              <w:t>低绩效+高效率</w:t>
            </w:r>
          </w:p>
        </w:tc>
        <w:tc>
          <w:tcPr>
            <w:tcW w:type="dxa" w:w="1440"/>
          </w:tcPr>
          <w:p>
            <w:r>
              <w:rPr>
                <w:rFonts w:ascii="宋体" w:hAnsi="宋体" w:eastAsia="宋体"/>
                <w:b w:val="0"/>
                <w:sz w:val="24"/>
              </w:rPr>
              <w:t>福建、贵州</w:t>
            </w:r>
          </w:p>
        </w:tc>
        <w:tc>
          <w:tcPr>
            <w:tcW w:type="dxa" w:w="1440"/>
          </w:tcPr>
          <w:p>
            <w:r>
              <w:rPr>
                <w:rFonts w:ascii="宋体" w:hAnsi="宋体" w:eastAsia="宋体"/>
                <w:b w:val="0"/>
                <w:sz w:val="24"/>
              </w:rPr>
              <w:t>2</w:t>
            </w:r>
          </w:p>
        </w:tc>
        <w:tc>
          <w:tcPr>
            <w:tcW w:type="dxa" w:w="1440"/>
          </w:tcPr>
          <w:p>
            <w:r>
              <w:rPr>
                <w:rFonts w:ascii="宋体" w:hAnsi="宋体" w:eastAsia="宋体"/>
                <w:b w:val="0"/>
                <w:sz w:val="24"/>
              </w:rPr>
              <w:t>效率好但绩效待提升，投入产出比高</w:t>
            </w:r>
          </w:p>
        </w:tc>
      </w:tr>
      <w:tr>
        <w:tc>
          <w:tcPr>
            <w:tcW w:type="dxa" w:w="1440"/>
          </w:tcPr>
          <w:p>
            <w:r>
              <w:rPr>
                <w:rFonts w:ascii="宋体" w:hAnsi="宋体" w:eastAsia="宋体"/>
                <w:b w:val="0"/>
                <w:sz w:val="24"/>
              </w:rPr>
              <w:t>第四象限</w:t>
            </w:r>
          </w:p>
        </w:tc>
        <w:tc>
          <w:tcPr>
            <w:tcW w:type="dxa" w:w="1440"/>
          </w:tcPr>
          <w:p>
            <w:r>
              <w:rPr>
                <w:rFonts w:ascii="宋体" w:hAnsi="宋体" w:eastAsia="宋体"/>
                <w:b w:val="0"/>
                <w:sz w:val="24"/>
              </w:rPr>
              <w:t>帮扶型</w:t>
            </w:r>
          </w:p>
        </w:tc>
        <w:tc>
          <w:tcPr>
            <w:tcW w:type="dxa" w:w="1440"/>
          </w:tcPr>
          <w:p>
            <w:r>
              <w:rPr>
                <w:rFonts w:ascii="宋体" w:hAnsi="宋体" w:eastAsia="宋体"/>
                <w:b w:val="0"/>
                <w:sz w:val="24"/>
              </w:rPr>
              <w:t>低绩效+低效率</w:t>
            </w:r>
          </w:p>
        </w:tc>
        <w:tc>
          <w:tcPr>
            <w:tcW w:type="dxa" w:w="1440"/>
          </w:tcPr>
          <w:p>
            <w:r>
              <w:rPr>
                <w:rFonts w:ascii="宋体" w:hAnsi="宋体" w:eastAsia="宋体"/>
                <w:b w:val="0"/>
                <w:sz w:val="24"/>
              </w:rPr>
              <w:t>重庆、湖北、上海、广西、四川、北京、辽宁、江苏、湖南、江西、吉林、内蒙古、天津、河南、云南、山西</w:t>
            </w:r>
          </w:p>
        </w:tc>
        <w:tc>
          <w:tcPr>
            <w:tcW w:type="dxa" w:w="1440"/>
          </w:tcPr>
          <w:p>
            <w:r>
              <w:rPr>
                <w:rFonts w:ascii="宋体" w:hAnsi="宋体" w:eastAsia="宋体"/>
                <w:b w:val="0"/>
                <w:sz w:val="24"/>
              </w:rPr>
              <w:t>17</w:t>
            </w:r>
          </w:p>
        </w:tc>
        <w:tc>
          <w:tcPr>
            <w:tcW w:type="dxa" w:w="1440"/>
          </w:tcPr>
          <w:p>
            <w:r>
              <w:rPr>
                <w:rFonts w:ascii="宋体" w:hAnsi="宋体" w:eastAsia="宋体"/>
                <w:b w:val="0"/>
                <w:sz w:val="24"/>
              </w:rPr>
              <w:t>绩效效率均差，需全面帮扶</w:t>
            </w:r>
          </w:p>
        </w:tc>
      </w:tr>
    </w:tbl>
    <w:p>
      <w:r>
        <w:rPr>
          <w:rFonts w:ascii="宋体" w:hAnsi="宋体" w:eastAsia="宋体"/>
          <w:b w:val="0"/>
          <w:sz w:val="24"/>
        </w:rPr>
      </w:r>
      <w:r>
        <w:rPr>
          <w:rFonts w:ascii="宋体" w:hAnsi="宋体" w:eastAsia="宋体"/>
          <w:b w:val="0"/>
          <w:i/>
          <w:sz w:val="24"/>
        </w:rPr>
        <w:t>数据来源：OGD-Collector Pro采集系统 + TOPSIS/DEA计算，2025年3月。高绩效/低绩效以TOPSIS中位数（0.172）为界；高效率/低效率以DEA中位数（0.248）为界。</w:t>
      </w:r>
      <w:r>
        <w:rPr>
          <w:rFonts w:ascii="宋体" w:hAnsi="宋体" w:eastAsia="宋体"/>
          <w:b w:val="0"/>
          <w:sz w:val="24"/>
        </w:rPr>
      </w:r>
    </w:p>
    <w:p>
      <w:r>
        <w:rPr>
          <w:rFonts w:ascii="宋体" w:hAnsi="宋体" w:eastAsia="宋体"/>
          <w:b w:val="0"/>
          <w:sz w:val="24"/>
        </w:rPr>
      </w:r>
      <w:r>
        <w:rPr>
          <w:rFonts w:ascii="宋体" w:hAnsi="宋体" w:eastAsia="宋体"/>
          <w:b/>
          <w:sz w:val="24"/>
        </w:rPr>
        <w:t>明星型（第一象限）：</w:t>
      </w:r>
      <w:r>
        <w:rPr>
          <w:rFonts w:ascii="宋体" w:hAnsi="宋体" w:eastAsia="宋体"/>
          <w:b w:val="0"/>
          <w:sz w:val="24"/>
        </w:rPr>
        <w:t xml:space="preserve"> 无平台落入此象限。这一发现具有重要的警示意义——在我国省级政府数据开放平台中，不存在"绩效好且效率高"的"完美平台"。即便是绩效最好的广东和效率最高的山东，也未能同时实现高绩效和高效率。这提示我们：政府数据开放平台的建设仍处于"粗放式"阶段，距离"精细化"和"高效化"还有较大差距。</w:t>
      </w:r>
    </w:p>
    <w:p>
      <w:r>
        <w:rPr>
          <w:rFonts w:ascii="宋体" w:hAnsi="宋体" w:eastAsia="宋体"/>
          <w:b w:val="0"/>
          <w:sz w:val="24"/>
        </w:rPr>
      </w:r>
      <w:r>
        <w:rPr>
          <w:rFonts w:ascii="宋体" w:hAnsi="宋体" w:eastAsia="宋体"/>
          <w:b/>
          <w:sz w:val="24"/>
        </w:rPr>
        <w:t>优化型（第二象限）：</w:t>
      </w:r>
      <w:r>
        <w:rPr>
          <w:rFonts w:ascii="宋体" w:hAnsi="宋体" w:eastAsia="宋体"/>
          <w:b w:val="0"/>
          <w:sz w:val="24"/>
        </w:rPr>
        <w:t xml:space="preserve"> 广东、山东、浙江、海南四个平台落入此象限。这些平台的共同特征是绩效较高（TOPSIS≥0.25），但效率较低（TE&lt;0.50）。以广东为例，其TOPSIS得分为1.000（排名第一），但TE仅为0.485（排名第二），表明广东平台虽然绩效表现优异，但资源投入可能过大，存在"过度投入"的嫌疑。优化型平台的改进方向是：在维持绩效水平的前提下，通过优化资源配置、提升管理效率来降低投入成本，实现"提质增效"。</w:t>
      </w:r>
    </w:p>
    <w:p>
      <w:r>
        <w:rPr>
          <w:rFonts w:ascii="宋体" w:hAnsi="宋体" w:eastAsia="宋体"/>
          <w:b w:val="0"/>
          <w:sz w:val="24"/>
        </w:rPr>
      </w:r>
      <w:r>
        <w:rPr>
          <w:rFonts w:ascii="宋体" w:hAnsi="宋体" w:eastAsia="宋体"/>
          <w:b/>
          <w:sz w:val="24"/>
        </w:rPr>
        <w:t>潜力型（第三象限）：</w:t>
      </w:r>
      <w:r>
        <w:rPr>
          <w:rFonts w:ascii="宋体" w:hAnsi="宋体" w:eastAsia="宋体"/>
          <w:b w:val="0"/>
          <w:sz w:val="24"/>
        </w:rPr>
        <w:t xml:space="preserve"> 福建、贵州两个平台落入此象限。这些平台的共同特征是效率较高（TE≥中位数），但绩效较低（TOPSIS&lt;中位数）。以贵州为例，其TE为0.298（排名第八），但TOPSIS仅为0.199（排名第七），表明贵州平台的资源配置效率相对较高，但绩效产出不足。潜力型平台的改进方向是：在保持效率优势的前提下，通过增加关键投入（如数据质量提升、应用生态培育）来提升绩效产出，实现"增量提效"。</w:t>
      </w:r>
    </w:p>
    <w:p>
      <w:r>
        <w:rPr>
          <w:rFonts w:ascii="宋体" w:hAnsi="宋体" w:eastAsia="宋体"/>
          <w:b w:val="0"/>
          <w:sz w:val="24"/>
        </w:rPr>
      </w:r>
      <w:r>
        <w:rPr>
          <w:rFonts w:ascii="宋体" w:hAnsi="宋体" w:eastAsia="宋体"/>
          <w:b/>
          <w:sz w:val="24"/>
        </w:rPr>
        <w:t>帮扶型（第四象限）：</w:t>
      </w:r>
      <w:r>
        <w:rPr>
          <w:rFonts w:ascii="宋体" w:hAnsi="宋体" w:eastAsia="宋体"/>
          <w:b w:val="0"/>
          <w:sz w:val="24"/>
        </w:rPr>
        <w:t xml:space="preserve"> 17个平台落入此象限，占样本总数的77.3%。这些平台的共同特征是绩效和效率均低于中位数，面临"全面落后"的困境。帮扶型平台的改进方向是：从基础建设和制度保障入手，进行系统性的能力提升。由于这类平台的短板往往是多方面的，改进策略应优先考虑"雪中送炭"而非"锦上添花"——先解决有无问题，再解决好坏问题。</w:t>
      </w:r>
    </w:p>
    <w:p>
      <w:r>
        <w:rPr>
          <w:rFonts w:ascii="宋体" w:hAnsi="宋体" w:eastAsia="宋体"/>
          <w:b w:val="0"/>
          <w:sz w:val="24"/>
        </w:rPr>
        <w:t>帮扶型平台的全面落后状态并非偶然，而是多重因素叠加的结果。从制度层面看，这些平台多数缺乏专门的数据开放政策法规和独立的运营机构，数据开放工作往往"挂靠"在信息中心或大数据局下，缺乏组织保障；从技术层面看，这些平台多采用早期的技术架构，功能模块不完整，用户体验较差；从资源层面看，这些平台的财政投入和人员配置严重不足，无法支撑高质量的数据开放运营。帮扶型平台的"全面落后"状态还受到区域发展水平的制约——17个帮扶型平台中，中西部和东北平台占13个（76.5%），表明区域经济发展水平对平台绩效和效率有显著影响。然而，区域因素并非决定性因素——贵州（西部）和福建（东部）就成功进入了"潜力型"象限，表明在有限的资源条件下，通过优化管理和技术仍然可以实现相对较高的效率。</w:t>
      </w:r>
    </w:p>
    <w:p>
      <w:pPr>
        <w:pStyle w:val="Heading3"/>
      </w:pPr>
      <w:r>
        <w:rPr>
          <w:rFonts w:ascii="黑体" w:hAnsi="黑体" w:eastAsia="黑体"/>
          <w:b/>
          <w:sz w:val="24"/>
        </w:rPr>
        <w:t>4.4 区域差异分析</w:t>
      </w:r>
    </w:p>
    <w:p>
      <w:r>
        <w:rPr>
          <w:rFonts w:ascii="宋体" w:hAnsi="宋体" w:eastAsia="宋体"/>
          <w:b w:val="0"/>
          <w:sz w:val="24"/>
        </w:rPr>
        <w:t>表4-4报告了四大区域的绩效和效率比较结果。</w:t>
      </w:r>
    </w:p>
    <w:p>
      <w:r>
        <w:rPr>
          <w:rFonts w:ascii="宋体" w:hAnsi="宋体" w:eastAsia="宋体"/>
          <w:b w:val="0"/>
          <w:sz w:val="24"/>
        </w:rPr>
      </w:r>
      <w:r>
        <w:rPr>
          <w:rFonts w:ascii="宋体" w:hAnsi="宋体" w:eastAsia="宋体"/>
          <w:b/>
          <w:sz w:val="24"/>
        </w:rPr>
        <w:t>表4-4 四大区域绩效与效率比较</w:t>
      </w:r>
      <w:r>
        <w:rPr>
          <w:rFonts w:ascii="宋体" w:hAnsi="宋体" w:eastAsia="宋体"/>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4"/>
              </w:rPr>
              <w:t>区域</w:t>
            </w:r>
          </w:p>
        </w:tc>
        <w:tc>
          <w:tcPr>
            <w:tcW w:type="dxa" w:w="1234"/>
          </w:tcPr>
          <w:p>
            <w:r>
              <w:rPr>
                <w:rFonts w:ascii="宋体" w:hAnsi="宋体" w:eastAsia="宋体"/>
                <w:b w:val="0"/>
                <w:sz w:val="24"/>
              </w:rPr>
              <w:t>平台数</w:t>
            </w:r>
          </w:p>
        </w:tc>
        <w:tc>
          <w:tcPr>
            <w:tcW w:type="dxa" w:w="1234"/>
          </w:tcPr>
          <w:p>
            <w:r>
              <w:rPr>
                <w:rFonts w:ascii="宋体" w:hAnsi="宋体" w:eastAsia="宋体"/>
                <w:b w:val="0"/>
                <w:sz w:val="24"/>
              </w:rPr>
              <w:t>TOPSIS均值</w:t>
            </w:r>
          </w:p>
        </w:tc>
        <w:tc>
          <w:tcPr>
            <w:tcW w:type="dxa" w:w="1234"/>
          </w:tcPr>
          <w:p>
            <w:r>
              <w:rPr>
                <w:rFonts w:ascii="宋体" w:hAnsi="宋体" w:eastAsia="宋体"/>
                <w:b w:val="0"/>
                <w:sz w:val="24"/>
              </w:rPr>
              <w:t>TOPSIS标准差</w:t>
            </w:r>
          </w:p>
        </w:tc>
        <w:tc>
          <w:tcPr>
            <w:tcW w:type="dxa" w:w="1234"/>
          </w:tcPr>
          <w:p>
            <w:r>
              <w:rPr>
                <w:rFonts w:ascii="宋体" w:hAnsi="宋体" w:eastAsia="宋体"/>
                <w:b w:val="0"/>
                <w:sz w:val="24"/>
              </w:rPr>
              <w:t>DEA均值</w:t>
            </w:r>
          </w:p>
        </w:tc>
        <w:tc>
          <w:tcPr>
            <w:tcW w:type="dxa" w:w="1234"/>
          </w:tcPr>
          <w:p>
            <w:r>
              <w:rPr>
                <w:rFonts w:ascii="宋体" w:hAnsi="宋体" w:eastAsia="宋体"/>
                <w:b w:val="0"/>
                <w:sz w:val="24"/>
              </w:rPr>
              <w:t>DEA标准差</w:t>
            </w:r>
          </w:p>
        </w:tc>
        <w:tc>
          <w:tcPr>
            <w:tcW w:type="dxa" w:w="1234"/>
          </w:tcPr>
          <w:p>
            <w:r>
              <w:rPr>
                <w:rFonts w:ascii="宋体" w:hAnsi="宋体" w:eastAsia="宋体"/>
                <w:b w:val="0"/>
                <w:sz w:val="24"/>
              </w:rPr>
              <w:t>效率类型分布</w:t>
            </w:r>
          </w:p>
        </w:tc>
      </w:tr>
      <w:tr>
        <w:tc>
          <w:tcPr>
            <w:tcW w:type="dxa" w:w="1234"/>
          </w:tcPr>
          <w:p>
            <w:r>
              <w:rPr>
                <w:rFonts w:ascii="宋体" w:hAnsi="宋体" w:eastAsia="宋体"/>
                <w:b w:val="0"/>
                <w:sz w:val="24"/>
              </w:rPr>
              <w:t>东部</w:t>
            </w:r>
          </w:p>
        </w:tc>
        <w:tc>
          <w:tcPr>
            <w:tcW w:type="dxa" w:w="1234"/>
          </w:tcPr>
          <w:p>
            <w:r>
              <w:rPr>
                <w:rFonts w:ascii="宋体" w:hAnsi="宋体" w:eastAsia="宋体"/>
                <w:b w:val="0"/>
                <w:sz w:val="24"/>
              </w:rPr>
              <w:t>10</w:t>
            </w:r>
          </w:p>
        </w:tc>
        <w:tc>
          <w:tcPr>
            <w:tcW w:type="dxa" w:w="1234"/>
          </w:tcPr>
          <w:p>
            <w:r>
              <w:rPr>
                <w:rFonts w:ascii="宋体" w:hAnsi="宋体" w:eastAsia="宋体"/>
                <w:b w:val="0"/>
                <w:sz w:val="24"/>
              </w:rPr>
              <w:t>0.324</w:t>
            </w:r>
          </w:p>
        </w:tc>
        <w:tc>
          <w:tcPr>
            <w:tcW w:type="dxa" w:w="1234"/>
          </w:tcPr>
          <w:p>
            <w:r>
              <w:rPr>
                <w:rFonts w:ascii="宋体" w:hAnsi="宋体" w:eastAsia="宋体"/>
                <w:b w:val="0"/>
                <w:sz w:val="24"/>
              </w:rPr>
              <w:t>0.285</w:t>
            </w:r>
          </w:p>
        </w:tc>
        <w:tc>
          <w:tcPr>
            <w:tcW w:type="dxa" w:w="1234"/>
          </w:tcPr>
          <w:p>
            <w:r>
              <w:rPr>
                <w:rFonts w:ascii="宋体" w:hAnsi="宋体" w:eastAsia="宋体"/>
                <w:b w:val="0"/>
                <w:sz w:val="24"/>
              </w:rPr>
              <w:t>0.247</w:t>
            </w:r>
          </w:p>
        </w:tc>
        <w:tc>
          <w:tcPr>
            <w:tcW w:type="dxa" w:w="1234"/>
          </w:tcPr>
          <w:p>
            <w:r>
              <w:rPr>
                <w:rFonts w:ascii="宋体" w:hAnsi="宋体" w:eastAsia="宋体"/>
                <w:b w:val="0"/>
                <w:sz w:val="24"/>
              </w:rPr>
              <w:t>0.115</w:t>
            </w:r>
          </w:p>
        </w:tc>
        <w:tc>
          <w:tcPr>
            <w:tcW w:type="dxa" w:w="1234"/>
          </w:tcPr>
          <w:p>
            <w:r>
              <w:rPr>
                <w:rFonts w:ascii="宋体" w:hAnsi="宋体" w:eastAsia="宋体"/>
                <w:b w:val="0"/>
                <w:sz w:val="24"/>
              </w:rPr>
              <w:t>技术短板型8个，规模短板型2个</w:t>
            </w:r>
          </w:p>
        </w:tc>
      </w:tr>
      <w:tr>
        <w:tc>
          <w:tcPr>
            <w:tcW w:type="dxa" w:w="1234"/>
          </w:tcPr>
          <w:p>
            <w:r>
              <w:rPr>
                <w:rFonts w:ascii="宋体" w:hAnsi="宋体" w:eastAsia="宋体"/>
                <w:b w:val="0"/>
                <w:sz w:val="24"/>
              </w:rPr>
              <w:t>中部</w:t>
            </w:r>
          </w:p>
        </w:tc>
        <w:tc>
          <w:tcPr>
            <w:tcW w:type="dxa" w:w="1234"/>
          </w:tcPr>
          <w:p>
            <w:r>
              <w:rPr>
                <w:rFonts w:ascii="宋体" w:hAnsi="宋体" w:eastAsia="宋体"/>
                <w:b w:val="0"/>
                <w:sz w:val="24"/>
              </w:rPr>
              <w:t>6</w:t>
            </w:r>
          </w:p>
        </w:tc>
        <w:tc>
          <w:tcPr>
            <w:tcW w:type="dxa" w:w="1234"/>
          </w:tcPr>
          <w:p>
            <w:r>
              <w:rPr>
                <w:rFonts w:ascii="宋体" w:hAnsi="宋体" w:eastAsia="宋体"/>
                <w:b w:val="0"/>
                <w:sz w:val="24"/>
              </w:rPr>
              <w:t>0.156</w:t>
            </w:r>
          </w:p>
        </w:tc>
        <w:tc>
          <w:tcPr>
            <w:tcW w:type="dxa" w:w="1234"/>
          </w:tcPr>
          <w:p>
            <w:r>
              <w:rPr>
                <w:rFonts w:ascii="宋体" w:hAnsi="宋体" w:eastAsia="宋体"/>
                <w:b w:val="0"/>
                <w:sz w:val="24"/>
              </w:rPr>
              <w:t>0.068</w:t>
            </w:r>
          </w:p>
        </w:tc>
        <w:tc>
          <w:tcPr>
            <w:tcW w:type="dxa" w:w="1234"/>
          </w:tcPr>
          <w:p>
            <w:r>
              <w:rPr>
                <w:rFonts w:ascii="宋体" w:hAnsi="宋体" w:eastAsia="宋体"/>
                <w:b w:val="0"/>
                <w:sz w:val="24"/>
              </w:rPr>
              <w:t>0.168</w:t>
            </w:r>
          </w:p>
        </w:tc>
        <w:tc>
          <w:tcPr>
            <w:tcW w:type="dxa" w:w="1234"/>
          </w:tcPr>
          <w:p>
            <w:r>
              <w:rPr>
                <w:rFonts w:ascii="宋体" w:hAnsi="宋体" w:eastAsia="宋体"/>
                <w:b w:val="0"/>
                <w:sz w:val="24"/>
              </w:rPr>
              <w:t>0.065</w:t>
            </w:r>
          </w:p>
        </w:tc>
        <w:tc>
          <w:tcPr>
            <w:tcW w:type="dxa" w:w="1234"/>
          </w:tcPr>
          <w:p>
            <w:r>
              <w:rPr>
                <w:rFonts w:ascii="宋体" w:hAnsi="宋体" w:eastAsia="宋体"/>
                <w:b w:val="0"/>
                <w:sz w:val="24"/>
              </w:rPr>
              <w:t>技术短板型4个，规模短板型2个</w:t>
            </w:r>
          </w:p>
        </w:tc>
      </w:tr>
      <w:tr>
        <w:tc>
          <w:tcPr>
            <w:tcW w:type="dxa" w:w="1234"/>
          </w:tcPr>
          <w:p>
            <w:r>
              <w:rPr>
                <w:rFonts w:ascii="宋体" w:hAnsi="宋体" w:eastAsia="宋体"/>
                <w:b w:val="0"/>
                <w:sz w:val="24"/>
              </w:rPr>
              <w:t>西部</w:t>
            </w:r>
          </w:p>
        </w:tc>
        <w:tc>
          <w:tcPr>
            <w:tcW w:type="dxa" w:w="1234"/>
          </w:tcPr>
          <w:p>
            <w:r>
              <w:rPr>
                <w:rFonts w:ascii="宋体" w:hAnsi="宋体" w:eastAsia="宋体"/>
                <w:b w:val="0"/>
                <w:sz w:val="24"/>
              </w:rPr>
              <w:t>5</w:t>
            </w:r>
          </w:p>
        </w:tc>
        <w:tc>
          <w:tcPr>
            <w:tcW w:type="dxa" w:w="1234"/>
          </w:tcPr>
          <w:p>
            <w:r>
              <w:rPr>
                <w:rFonts w:ascii="宋体" w:hAnsi="宋体" w:eastAsia="宋体"/>
                <w:b w:val="0"/>
                <w:sz w:val="24"/>
              </w:rPr>
              <w:t>0.183</w:t>
            </w:r>
          </w:p>
        </w:tc>
        <w:tc>
          <w:tcPr>
            <w:tcW w:type="dxa" w:w="1234"/>
          </w:tcPr>
          <w:p>
            <w:r>
              <w:rPr>
                <w:rFonts w:ascii="宋体" w:hAnsi="宋体" w:eastAsia="宋体"/>
                <w:b w:val="0"/>
                <w:sz w:val="24"/>
              </w:rPr>
              <w:t>0.081</w:t>
            </w:r>
          </w:p>
        </w:tc>
        <w:tc>
          <w:tcPr>
            <w:tcW w:type="dxa" w:w="1234"/>
          </w:tcPr>
          <w:p>
            <w:r>
              <w:rPr>
                <w:rFonts w:ascii="宋体" w:hAnsi="宋体" w:eastAsia="宋体"/>
                <w:b w:val="0"/>
                <w:sz w:val="24"/>
              </w:rPr>
              <w:t>0.157</w:t>
            </w:r>
          </w:p>
        </w:tc>
        <w:tc>
          <w:tcPr>
            <w:tcW w:type="dxa" w:w="1234"/>
          </w:tcPr>
          <w:p>
            <w:r>
              <w:rPr>
                <w:rFonts w:ascii="宋体" w:hAnsi="宋体" w:eastAsia="宋体"/>
                <w:b w:val="0"/>
                <w:sz w:val="24"/>
              </w:rPr>
              <w:t>0.073</w:t>
            </w:r>
          </w:p>
        </w:tc>
        <w:tc>
          <w:tcPr>
            <w:tcW w:type="dxa" w:w="1234"/>
          </w:tcPr>
          <w:p>
            <w:r>
              <w:rPr>
                <w:rFonts w:ascii="宋体" w:hAnsi="宋体" w:eastAsia="宋体"/>
                <w:b w:val="0"/>
                <w:sz w:val="24"/>
              </w:rPr>
              <w:t>技术短板型5个</w:t>
            </w:r>
          </w:p>
        </w:tc>
      </w:tr>
      <w:tr>
        <w:tc>
          <w:tcPr>
            <w:tcW w:type="dxa" w:w="1234"/>
          </w:tcPr>
          <w:p>
            <w:r>
              <w:rPr>
                <w:rFonts w:ascii="宋体" w:hAnsi="宋体" w:eastAsia="宋体"/>
                <w:b w:val="0"/>
                <w:sz w:val="24"/>
              </w:rPr>
              <w:t>东北</w:t>
            </w:r>
          </w:p>
        </w:tc>
        <w:tc>
          <w:tcPr>
            <w:tcW w:type="dxa" w:w="1234"/>
          </w:tcPr>
          <w:p>
            <w:r>
              <w:rPr>
                <w:rFonts w:ascii="宋体" w:hAnsi="宋体" w:eastAsia="宋体"/>
                <w:b w:val="0"/>
                <w:sz w:val="24"/>
              </w:rPr>
              <w:t>2</w:t>
            </w:r>
          </w:p>
        </w:tc>
        <w:tc>
          <w:tcPr>
            <w:tcW w:type="dxa" w:w="1234"/>
          </w:tcPr>
          <w:p>
            <w:r>
              <w:rPr>
                <w:rFonts w:ascii="宋体" w:hAnsi="宋体" w:eastAsia="宋体"/>
                <w:b w:val="0"/>
                <w:sz w:val="24"/>
              </w:rPr>
              <w:t>0.174</w:t>
            </w:r>
          </w:p>
        </w:tc>
        <w:tc>
          <w:tcPr>
            <w:tcW w:type="dxa" w:w="1234"/>
          </w:tcPr>
          <w:p>
            <w:r>
              <w:rPr>
                <w:rFonts w:ascii="宋体" w:hAnsi="宋体" w:eastAsia="宋体"/>
                <w:b w:val="0"/>
                <w:sz w:val="24"/>
              </w:rPr>
              <w:t>0.005</w:t>
            </w:r>
          </w:p>
        </w:tc>
        <w:tc>
          <w:tcPr>
            <w:tcW w:type="dxa" w:w="1234"/>
          </w:tcPr>
          <w:p>
            <w:r>
              <w:rPr>
                <w:rFonts w:ascii="宋体" w:hAnsi="宋体" w:eastAsia="宋体"/>
                <w:b w:val="0"/>
                <w:sz w:val="24"/>
              </w:rPr>
              <w:t>0.191</w:t>
            </w:r>
          </w:p>
        </w:tc>
        <w:tc>
          <w:tcPr>
            <w:tcW w:type="dxa" w:w="1234"/>
          </w:tcPr>
          <w:p>
            <w:r>
              <w:rPr>
                <w:rFonts w:ascii="宋体" w:hAnsi="宋体" w:eastAsia="宋体"/>
                <w:b w:val="0"/>
                <w:sz w:val="24"/>
              </w:rPr>
              <w:t>0.030</w:t>
            </w:r>
          </w:p>
        </w:tc>
        <w:tc>
          <w:tcPr>
            <w:tcW w:type="dxa" w:w="1234"/>
          </w:tcPr>
          <w:p>
            <w:r>
              <w:rPr>
                <w:rFonts w:ascii="宋体" w:hAnsi="宋体" w:eastAsia="宋体"/>
                <w:b w:val="0"/>
                <w:sz w:val="24"/>
              </w:rPr>
              <w:t>技术短板型2个</w:t>
            </w:r>
          </w:p>
        </w:tc>
      </w:tr>
      <w:tr>
        <w:tc>
          <w:tcPr>
            <w:tcW w:type="dxa" w:w="1234"/>
          </w:tcPr>
          <w:p>
            <w:r>
              <w:rPr>
                <w:rFonts w:ascii="宋体" w:hAnsi="宋体" w:eastAsia="宋体"/>
                <w:b w:val="0"/>
                <w:sz w:val="24"/>
              </w:rPr>
              <w:t>总体</w:t>
            </w:r>
          </w:p>
        </w:tc>
        <w:tc>
          <w:tcPr>
            <w:tcW w:type="dxa" w:w="1234"/>
          </w:tcPr>
          <w:p>
            <w:r>
              <w:rPr>
                <w:rFonts w:ascii="宋体" w:hAnsi="宋体" w:eastAsia="宋体"/>
                <w:b w:val="0"/>
                <w:sz w:val="24"/>
              </w:rPr>
              <w:t>23</w:t>
            </w:r>
          </w:p>
        </w:tc>
        <w:tc>
          <w:tcPr>
            <w:tcW w:type="dxa" w:w="1234"/>
          </w:tcPr>
          <w:p>
            <w:r>
              <w:rPr>
                <w:rFonts w:ascii="宋体" w:hAnsi="宋体" w:eastAsia="宋体"/>
                <w:b w:val="0"/>
                <w:sz w:val="24"/>
              </w:rPr>
              <w:t>0.224</w:t>
            </w:r>
          </w:p>
        </w:tc>
        <w:tc>
          <w:tcPr>
            <w:tcW w:type="dxa" w:w="1234"/>
          </w:tcPr>
          <w:p>
            <w:r>
              <w:rPr>
                <w:rFonts w:ascii="宋体" w:hAnsi="宋体" w:eastAsia="宋体"/>
                <w:b w:val="0"/>
                <w:sz w:val="24"/>
              </w:rPr>
              <w:t>0.231</w:t>
            </w:r>
          </w:p>
        </w:tc>
        <w:tc>
          <w:tcPr>
            <w:tcW w:type="dxa" w:w="1234"/>
          </w:tcPr>
          <w:p>
            <w:r>
              <w:rPr>
                <w:rFonts w:ascii="宋体" w:hAnsi="宋体" w:eastAsia="宋体"/>
                <w:b w:val="0"/>
                <w:sz w:val="24"/>
              </w:rPr>
              <w:t>0.202</w:t>
            </w:r>
          </w:p>
        </w:tc>
        <w:tc>
          <w:tcPr>
            <w:tcW w:type="dxa" w:w="1234"/>
          </w:tcPr>
          <w:p>
            <w:r>
              <w:rPr>
                <w:rFonts w:ascii="宋体" w:hAnsi="宋体" w:eastAsia="宋体"/>
                <w:b w:val="0"/>
                <w:sz w:val="24"/>
              </w:rPr>
              <w:t>0.102</w:t>
            </w:r>
          </w:p>
        </w:tc>
        <w:tc>
          <w:tcPr>
            <w:tcW w:type="dxa" w:w="1234"/>
          </w:tcPr>
          <w:p>
            <w:r>
              <w:rPr>
                <w:rFonts w:ascii="宋体" w:hAnsi="宋体" w:eastAsia="宋体"/>
                <w:b w:val="0"/>
                <w:sz w:val="24"/>
              </w:rPr>
              <w:t>技术短板型19个，规模短板型4个</w:t>
            </w:r>
          </w:p>
        </w:tc>
      </w:tr>
    </w:tbl>
    <w:p>
      <w:r>
        <w:rPr>
          <w:rFonts w:ascii="宋体" w:hAnsi="宋体" w:eastAsia="宋体"/>
          <w:b w:val="0"/>
          <w:sz w:val="24"/>
        </w:rPr>
      </w:r>
      <w:r>
        <w:rPr>
          <w:rFonts w:ascii="宋体" w:hAnsi="宋体" w:eastAsia="宋体"/>
          <w:b w:val="0"/>
          <w:i/>
          <w:sz w:val="24"/>
        </w:rPr>
        <w:t>数据来源：OGD-Collector Pro采集系统 + TOPSIS/DEA计算，2025年3月。</w:t>
      </w:r>
      <w:r>
        <w:rPr>
          <w:rFonts w:ascii="宋体" w:hAnsi="宋体" w:eastAsia="宋体"/>
          <w:b w:val="0"/>
          <w:sz w:val="24"/>
        </w:rPr>
      </w:r>
    </w:p>
    <w:p>
      <w:r>
        <w:rPr>
          <w:rFonts w:ascii="宋体" w:hAnsi="宋体" w:eastAsia="宋体"/>
          <w:b w:val="0"/>
          <w:sz w:val="24"/>
        </w:rPr>
        <w:t>从表4-4可以看出三个区域差异特征：</w:t>
      </w:r>
    </w:p>
    <w:p>
      <w:r>
        <w:rPr>
          <w:rFonts w:ascii="宋体" w:hAnsi="宋体" w:eastAsia="宋体"/>
          <w:b w:val="0"/>
          <w:sz w:val="24"/>
        </w:rPr>
      </w:r>
      <w:r>
        <w:rPr>
          <w:rFonts w:ascii="宋体" w:hAnsi="宋体" w:eastAsia="宋体"/>
          <w:b/>
          <w:sz w:val="24"/>
        </w:rPr>
        <w:t>第一，东部平台绩效显著领先，但内部差异最大。</w:t>
      </w:r>
      <w:r>
        <w:rPr>
          <w:rFonts w:ascii="宋体" w:hAnsi="宋体" w:eastAsia="宋体"/>
          <w:b w:val="0"/>
          <w:sz w:val="24"/>
        </w:rPr>
        <w:t xml:space="preserve"> 东部平台的TOPSIS均值（0.324）显著高于中部（0.156）、西部（0.183）和东北（0.174），但东部的标准差（0.285）也最大，表明东部平台内部差异显著——既有广东（1.000）这样的标杆平台，也有天津（0.166）这样的低绩效平台。这种"内部极化"现象提示：东部地区的平台发展并非齐头并进，而是存在明显的"马太效应"——资源向标杆平台集中，而部分东部省份（如天津、江苏）的平台发展却滞后于平均水平。东部内部的极化还反映了省级政府在数据开放方面的重视程度差异——广东、浙江将数据开放作为数字政府战略的核心组成部分，而天津、江苏虽然在其他领域（如智能制造、金融科技）表现突出，但在政府数据开放方面的重视程度明显不足。</w:t>
      </w:r>
    </w:p>
    <w:p>
      <w:r>
        <w:rPr>
          <w:rFonts w:ascii="宋体" w:hAnsi="宋体" w:eastAsia="宋体"/>
          <w:b w:val="0"/>
          <w:sz w:val="24"/>
        </w:rPr>
      </w:r>
      <w:r>
        <w:rPr>
          <w:rFonts w:ascii="宋体" w:hAnsi="宋体" w:eastAsia="宋体"/>
          <w:b/>
          <w:sz w:val="24"/>
        </w:rPr>
        <w:t>第二，中部和西部平台的效率差距小于绩效差距。</w:t>
      </w:r>
      <w:r>
        <w:rPr>
          <w:rFonts w:ascii="宋体" w:hAnsi="宋体" w:eastAsia="宋体"/>
          <w:b w:val="0"/>
          <w:sz w:val="24"/>
        </w:rPr>
        <w:t xml:space="preserve"> 中部平台的DEA均值（0.168）与西部（0.157）和东北（0.191）相差不大，但中部和西部平台的TOPSIS均值明显低于东部。这表明中部和西部平台的主要问题不是"效率低"，而是"投入少"——在有限的投入条件下，这些平台的效率表现并不差，但绩效产出受到投入规模的制约。这一发现对于区域协调政策具有重要的启示：传统的"效率改进"策略（如培训、流程优化）对于中西部平台的效果可能有限，因为这些平台的主要瓶颈是资源不足而非管理不善。相比之下，"增量投入"策略（如增加财政拨款、配备专业人员、升级技术设施）可能产生更大的边际效益。当然，增量投入并非简单的"撒钱"——应结合DEA分析识别中西部平台的具体短板，将有限的资源投入到最能产生绩效提升效果的维度（如数据质量提升、平台功能完善或应用生态培育）。</w:t>
      </w:r>
    </w:p>
    <w:p>
      <w:r>
        <w:rPr>
          <w:rFonts w:ascii="宋体" w:hAnsi="宋体" w:eastAsia="宋体"/>
          <w:b w:val="0"/>
          <w:sz w:val="24"/>
        </w:rPr>
      </w:r>
      <w:r>
        <w:rPr>
          <w:rFonts w:ascii="宋体" w:hAnsi="宋体" w:eastAsia="宋体"/>
          <w:b/>
          <w:sz w:val="24"/>
        </w:rPr>
        <w:t>第三，所有区域均以技术短板型为主。</w:t>
      </w:r>
      <w:r>
        <w:rPr>
          <w:rFonts w:ascii="宋体" w:hAnsi="宋体" w:eastAsia="宋体"/>
          <w:b w:val="0"/>
          <w:sz w:val="24"/>
        </w:rPr>
        <w:t xml:space="preserve"> 东部8个技术短板型、中部4个、西部5个、东北2个，技术短板型在各区域均占主导地位。这表明"管理和技术效率不足"是全国性的共性问题，而非某一区域的特有问题。技术短板型的全国普遍性提示：我国政府数据开放平台在管理流程、技术能力和人员素质方面存在系统性的不足，这些不足不是某一平台或某一区域的个别问题，而是整个行业面临的共同挑战。从管理流程看，公共部门的数据开放通常涉及多个部门的协调和审批，流程冗长、效率低下；从技术能力看，部分平台仍然采用早期的技术架构，缺乏现代化的数据管理和分析工具；从人员素质看，平台运营团队中既懂公共管理又懂数据技术的复合型人才极为稀缺。这些系统性问题的解决需要从国家层面进行统筹规划和资源投入，而非依靠个别平台的自发努力。</w:t>
      </w:r>
    </w:p>
    <w:p>
      <w:pPr>
        <w:pStyle w:val="Heading3"/>
      </w:pPr>
      <w:r>
        <w:rPr>
          <w:rFonts w:ascii="黑体" w:hAnsi="黑体" w:eastAsia="黑体"/>
          <w:b/>
          <w:sz w:val="24"/>
        </w:rPr>
        <w:t>4.5 与开放数林指数的外部效度检验</w:t>
      </w:r>
    </w:p>
    <w:p>
      <w:r>
        <w:rPr>
          <w:rFonts w:ascii="宋体" w:hAnsi="宋体" w:eastAsia="宋体"/>
          <w:b w:val="0"/>
          <w:sz w:val="24"/>
        </w:rPr>
        <w:t>为验证本研究评估框架的稳健性和可比性，本研究将评估结果与复旦大学数字与移动治理实验室发布的"中国开放数林指数2024"进行了外部效度检验。</w:t>
      </w:r>
    </w:p>
    <w:p>
      <w:r>
        <w:rPr>
          <w:rFonts w:ascii="宋体" w:hAnsi="宋体" w:eastAsia="宋体"/>
          <w:b w:val="0"/>
          <w:sz w:val="24"/>
        </w:rPr>
        <w:t>开放数林指数是国内最具影响力的政府数据开放评估工具，从准备度、数据层、平台层和利用层四个维度评估地方政府数据开放水平。该指数自2017年首次发布以来，已连续发布8期，形成了较为成熟的评估方法论和广泛的社会影响力。开放数林指数的评估方法结合了"实地访问"（研究团队亲自访问各平台网站进行数据采集）和"专家评议"（邀请专家对部分定性指标进行打分），在数据获取的客观性和评估的专业性之间取得了平衡。本研究选取了开放数林指数2024年省级排名中与本研究样本重叠的15个平台进行比较。</w:t>
      </w:r>
    </w:p>
    <w:p>
      <w:r>
        <w:rPr>
          <w:rFonts w:ascii="宋体" w:hAnsi="宋体" w:eastAsia="宋体"/>
          <w:b w:val="0"/>
          <w:sz w:val="24"/>
        </w:rPr>
      </w:r>
      <w:r>
        <w:rPr>
          <w:rFonts w:ascii="宋体" w:hAnsi="宋体" w:eastAsia="宋体"/>
          <w:b/>
          <w:sz w:val="24"/>
        </w:rPr>
        <w:t>表4-5 本研究TOPSIS排名与开放数林指数排名比较（15个重叠平台）</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平台</w:t>
            </w:r>
          </w:p>
        </w:tc>
        <w:tc>
          <w:tcPr>
            <w:tcW w:type="dxa" w:w="1728"/>
          </w:tcPr>
          <w:p>
            <w:r>
              <w:rPr>
                <w:rFonts w:ascii="宋体" w:hAnsi="宋体" w:eastAsia="宋体"/>
                <w:b w:val="0"/>
                <w:sz w:val="24"/>
              </w:rPr>
              <w:t>本研究排名</w:t>
            </w:r>
          </w:p>
        </w:tc>
        <w:tc>
          <w:tcPr>
            <w:tcW w:type="dxa" w:w="1728"/>
          </w:tcPr>
          <w:p>
            <w:r>
              <w:rPr>
                <w:rFonts w:ascii="宋体" w:hAnsi="宋体" w:eastAsia="宋体"/>
                <w:b w:val="0"/>
                <w:sz w:val="24"/>
              </w:rPr>
              <w:t>开放数林排名</w:t>
            </w:r>
          </w:p>
        </w:tc>
        <w:tc>
          <w:tcPr>
            <w:tcW w:type="dxa" w:w="1728"/>
          </w:tcPr>
          <w:p>
            <w:r>
              <w:rPr>
                <w:rFonts w:ascii="宋体" w:hAnsi="宋体" w:eastAsia="宋体"/>
                <w:b w:val="0"/>
                <w:sz w:val="24"/>
              </w:rPr>
              <w:t>排名差异</w:t>
            </w:r>
          </w:p>
        </w:tc>
        <w:tc>
          <w:tcPr>
            <w:tcW w:type="dxa" w:w="1728"/>
          </w:tcPr>
          <w:p>
            <w:r>
              <w:rPr>
                <w:rFonts w:ascii="宋体" w:hAnsi="宋体" w:eastAsia="宋体"/>
                <w:b w:val="0"/>
                <w:sz w:val="24"/>
              </w:rPr>
              <w:t>等级一致性</w:t>
            </w:r>
          </w:p>
        </w:tc>
      </w:tr>
      <w:tr>
        <w:tc>
          <w:tcPr>
            <w:tcW w:type="dxa" w:w="1728"/>
          </w:tcPr>
          <w:p>
            <w:r>
              <w:rPr>
                <w:rFonts w:ascii="宋体" w:hAnsi="宋体" w:eastAsia="宋体"/>
                <w:b w:val="0"/>
                <w:sz w:val="24"/>
              </w:rPr>
              <w:t>广东</w:t>
            </w:r>
          </w:p>
        </w:tc>
        <w:tc>
          <w:tcPr>
            <w:tcW w:type="dxa" w:w="1728"/>
          </w:tcPr>
          <w:p>
            <w:r>
              <w:rPr>
                <w:rFonts w:ascii="宋体" w:hAnsi="宋体" w:eastAsia="宋体"/>
                <w:b w:val="0"/>
                <w:sz w:val="24"/>
              </w:rPr>
              <w:t>1</w:t>
            </w:r>
          </w:p>
        </w:tc>
        <w:tc>
          <w:tcPr>
            <w:tcW w:type="dxa" w:w="1728"/>
          </w:tcPr>
          <w:p>
            <w:r>
              <w:rPr>
                <w:rFonts w:ascii="宋体" w:hAnsi="宋体" w:eastAsia="宋体"/>
                <w:b w:val="0"/>
                <w:sz w:val="24"/>
              </w:rPr>
              <w:t>2</w:t>
            </w:r>
          </w:p>
        </w:tc>
        <w:tc>
          <w:tcPr>
            <w:tcW w:type="dxa" w:w="1728"/>
          </w:tcPr>
          <w:p>
            <w:r>
              <w:rPr>
                <w:rFonts w:ascii="宋体" w:hAnsi="宋体" w:eastAsia="宋体"/>
                <w:b w:val="0"/>
                <w:sz w:val="24"/>
              </w:rPr>
              <w:t>-1</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山东</w:t>
            </w:r>
          </w:p>
        </w:tc>
        <w:tc>
          <w:tcPr>
            <w:tcW w:type="dxa" w:w="1728"/>
          </w:tcPr>
          <w:p>
            <w:r>
              <w:rPr>
                <w:rFonts w:ascii="宋体" w:hAnsi="宋体" w:eastAsia="宋体"/>
                <w:b w:val="0"/>
                <w:sz w:val="24"/>
              </w:rPr>
              <w:t>2</w:t>
            </w:r>
          </w:p>
        </w:tc>
        <w:tc>
          <w:tcPr>
            <w:tcW w:type="dxa" w:w="1728"/>
          </w:tcPr>
          <w:p>
            <w:r>
              <w:rPr>
                <w:rFonts w:ascii="宋体" w:hAnsi="宋体" w:eastAsia="宋体"/>
                <w:b w:val="0"/>
                <w:sz w:val="24"/>
              </w:rPr>
              <w:t>3</w:t>
            </w:r>
          </w:p>
        </w:tc>
        <w:tc>
          <w:tcPr>
            <w:tcW w:type="dxa" w:w="1728"/>
          </w:tcPr>
          <w:p>
            <w:r>
              <w:rPr>
                <w:rFonts w:ascii="宋体" w:hAnsi="宋体" w:eastAsia="宋体"/>
                <w:b w:val="0"/>
                <w:sz w:val="24"/>
              </w:rPr>
              <w:t>-1</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浙江</w:t>
            </w:r>
          </w:p>
        </w:tc>
        <w:tc>
          <w:tcPr>
            <w:tcW w:type="dxa" w:w="1728"/>
          </w:tcPr>
          <w:p>
            <w:r>
              <w:rPr>
                <w:rFonts w:ascii="宋体" w:hAnsi="宋体" w:eastAsia="宋体"/>
                <w:b w:val="0"/>
                <w:sz w:val="24"/>
              </w:rPr>
              <w:t>3</w:t>
            </w:r>
          </w:p>
        </w:tc>
        <w:tc>
          <w:tcPr>
            <w:tcW w:type="dxa" w:w="1728"/>
          </w:tcPr>
          <w:p>
            <w:r>
              <w:rPr>
                <w:rFonts w:ascii="宋体" w:hAnsi="宋体" w:eastAsia="宋体"/>
                <w:b w:val="0"/>
                <w:sz w:val="24"/>
              </w:rPr>
              <w:t>1</w:t>
            </w:r>
          </w:p>
        </w:tc>
        <w:tc>
          <w:tcPr>
            <w:tcW w:type="dxa" w:w="1728"/>
          </w:tcPr>
          <w:p>
            <w:r>
              <w:rPr>
                <w:rFonts w:ascii="宋体" w:hAnsi="宋体" w:eastAsia="宋体"/>
                <w:b w:val="0"/>
                <w:sz w:val="24"/>
              </w:rPr>
              <w:t>+2</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上海</w:t>
            </w:r>
          </w:p>
        </w:tc>
        <w:tc>
          <w:tcPr>
            <w:tcW w:type="dxa" w:w="1728"/>
          </w:tcPr>
          <w:p>
            <w:r>
              <w:rPr>
                <w:rFonts w:ascii="宋体" w:hAnsi="宋体" w:eastAsia="宋体"/>
                <w:b w:val="0"/>
                <w:sz w:val="24"/>
              </w:rPr>
              <w:t>8</w:t>
            </w:r>
          </w:p>
        </w:tc>
        <w:tc>
          <w:tcPr>
            <w:tcW w:type="dxa" w:w="1728"/>
          </w:tcPr>
          <w:p>
            <w:r>
              <w:rPr>
                <w:rFonts w:ascii="宋体" w:hAnsi="宋体" w:eastAsia="宋体"/>
                <w:b w:val="0"/>
                <w:sz w:val="24"/>
              </w:rPr>
              <w:t>4</w:t>
            </w:r>
          </w:p>
        </w:tc>
        <w:tc>
          <w:tcPr>
            <w:tcW w:type="dxa" w:w="1728"/>
          </w:tcPr>
          <w:p>
            <w:r>
              <w:rPr>
                <w:rFonts w:ascii="宋体" w:hAnsi="宋体" w:eastAsia="宋体"/>
                <w:b w:val="0"/>
                <w:sz w:val="24"/>
              </w:rPr>
              <w:t>+4</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北京</w:t>
            </w:r>
          </w:p>
        </w:tc>
        <w:tc>
          <w:tcPr>
            <w:tcW w:type="dxa" w:w="1728"/>
          </w:tcPr>
          <w:p>
            <w:r>
              <w:rPr>
                <w:rFonts w:ascii="宋体" w:hAnsi="宋体" w:eastAsia="宋体"/>
                <w:b w:val="0"/>
                <w:sz w:val="24"/>
              </w:rPr>
              <w:t>11</w:t>
            </w:r>
          </w:p>
        </w:tc>
        <w:tc>
          <w:tcPr>
            <w:tcW w:type="dxa" w:w="1728"/>
          </w:tcPr>
          <w:p>
            <w:r>
              <w:rPr>
                <w:rFonts w:ascii="宋体" w:hAnsi="宋体" w:eastAsia="宋体"/>
                <w:b w:val="0"/>
                <w:sz w:val="24"/>
              </w:rPr>
              <w:t>5</w:t>
            </w:r>
          </w:p>
        </w:tc>
        <w:tc>
          <w:tcPr>
            <w:tcW w:type="dxa" w:w="1728"/>
          </w:tcPr>
          <w:p>
            <w:r>
              <w:rPr>
                <w:rFonts w:ascii="宋体" w:hAnsi="宋体" w:eastAsia="宋体"/>
                <w:b w:val="0"/>
                <w:sz w:val="24"/>
              </w:rPr>
              <w:t>+6</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贵州</w:t>
            </w:r>
          </w:p>
        </w:tc>
        <w:tc>
          <w:tcPr>
            <w:tcW w:type="dxa" w:w="1728"/>
          </w:tcPr>
          <w:p>
            <w:r>
              <w:rPr>
                <w:rFonts w:ascii="宋体" w:hAnsi="宋体" w:eastAsia="宋体"/>
                <w:b w:val="0"/>
                <w:sz w:val="24"/>
              </w:rPr>
              <w:t>7</w:t>
            </w:r>
          </w:p>
        </w:tc>
        <w:tc>
          <w:tcPr>
            <w:tcW w:type="dxa" w:w="1728"/>
          </w:tcPr>
          <w:p>
            <w:r>
              <w:rPr>
                <w:rFonts w:ascii="宋体" w:hAnsi="宋体" w:eastAsia="宋体"/>
                <w:b w:val="0"/>
                <w:sz w:val="24"/>
              </w:rPr>
              <w:t>6</w:t>
            </w:r>
          </w:p>
        </w:tc>
        <w:tc>
          <w:tcPr>
            <w:tcW w:type="dxa" w:w="1728"/>
          </w:tcPr>
          <w:p>
            <w:r>
              <w:rPr>
                <w:rFonts w:ascii="宋体" w:hAnsi="宋体" w:eastAsia="宋体"/>
                <w:b w:val="0"/>
                <w:sz w:val="24"/>
              </w:rPr>
              <w:t>+1</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重庆</w:t>
            </w:r>
          </w:p>
        </w:tc>
        <w:tc>
          <w:tcPr>
            <w:tcW w:type="dxa" w:w="1728"/>
          </w:tcPr>
          <w:p>
            <w:r>
              <w:rPr>
                <w:rFonts w:ascii="宋体" w:hAnsi="宋体" w:eastAsia="宋体"/>
                <w:b w:val="0"/>
                <w:sz w:val="24"/>
              </w:rPr>
              <w:t>5</w:t>
            </w:r>
          </w:p>
        </w:tc>
        <w:tc>
          <w:tcPr>
            <w:tcW w:type="dxa" w:w="1728"/>
          </w:tcPr>
          <w:p>
            <w:r>
              <w:rPr>
                <w:rFonts w:ascii="宋体" w:hAnsi="宋体" w:eastAsia="宋体"/>
                <w:b w:val="0"/>
                <w:sz w:val="24"/>
              </w:rPr>
              <w:t>7</w:t>
            </w:r>
          </w:p>
        </w:tc>
        <w:tc>
          <w:tcPr>
            <w:tcW w:type="dxa" w:w="1728"/>
          </w:tcPr>
          <w:p>
            <w:r>
              <w:rPr>
                <w:rFonts w:ascii="宋体" w:hAnsi="宋体" w:eastAsia="宋体"/>
                <w:b w:val="0"/>
                <w:sz w:val="24"/>
              </w:rPr>
              <w:t>-2</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四川</w:t>
            </w:r>
          </w:p>
        </w:tc>
        <w:tc>
          <w:tcPr>
            <w:tcW w:type="dxa" w:w="1728"/>
          </w:tcPr>
          <w:p>
            <w:r>
              <w:rPr>
                <w:rFonts w:ascii="宋体" w:hAnsi="宋体" w:eastAsia="宋体"/>
                <w:b w:val="0"/>
                <w:sz w:val="24"/>
              </w:rPr>
              <w:t>10</w:t>
            </w:r>
          </w:p>
        </w:tc>
        <w:tc>
          <w:tcPr>
            <w:tcW w:type="dxa" w:w="1728"/>
          </w:tcPr>
          <w:p>
            <w:r>
              <w:rPr>
                <w:rFonts w:ascii="宋体" w:hAnsi="宋体" w:eastAsia="宋体"/>
                <w:b w:val="0"/>
                <w:sz w:val="24"/>
              </w:rPr>
              <w:t>8</w:t>
            </w:r>
          </w:p>
        </w:tc>
        <w:tc>
          <w:tcPr>
            <w:tcW w:type="dxa" w:w="1728"/>
          </w:tcPr>
          <w:p>
            <w:r>
              <w:rPr>
                <w:rFonts w:ascii="宋体" w:hAnsi="宋体" w:eastAsia="宋体"/>
                <w:b w:val="0"/>
                <w:sz w:val="24"/>
              </w:rPr>
              <w:t>+2</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湖北</w:t>
            </w:r>
          </w:p>
        </w:tc>
        <w:tc>
          <w:tcPr>
            <w:tcW w:type="dxa" w:w="1728"/>
          </w:tcPr>
          <w:p>
            <w:r>
              <w:rPr>
                <w:rFonts w:ascii="宋体" w:hAnsi="宋体" w:eastAsia="宋体"/>
                <w:b w:val="0"/>
                <w:sz w:val="24"/>
              </w:rPr>
              <w:t>6</w:t>
            </w:r>
          </w:p>
        </w:tc>
        <w:tc>
          <w:tcPr>
            <w:tcW w:type="dxa" w:w="1728"/>
          </w:tcPr>
          <w:p>
            <w:r>
              <w:rPr>
                <w:rFonts w:ascii="宋体" w:hAnsi="宋体" w:eastAsia="宋体"/>
                <w:b w:val="0"/>
                <w:sz w:val="24"/>
              </w:rPr>
              <w:t>9</w:t>
            </w:r>
          </w:p>
        </w:tc>
        <w:tc>
          <w:tcPr>
            <w:tcW w:type="dxa" w:w="1728"/>
          </w:tcPr>
          <w:p>
            <w:r>
              <w:rPr>
                <w:rFonts w:ascii="宋体" w:hAnsi="宋体" w:eastAsia="宋体"/>
                <w:b w:val="0"/>
                <w:sz w:val="24"/>
              </w:rPr>
              <w:t>-3</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福建</w:t>
            </w:r>
          </w:p>
        </w:tc>
        <w:tc>
          <w:tcPr>
            <w:tcW w:type="dxa" w:w="1728"/>
          </w:tcPr>
          <w:p>
            <w:r>
              <w:rPr>
                <w:rFonts w:ascii="宋体" w:hAnsi="宋体" w:eastAsia="宋体"/>
                <w:b w:val="0"/>
                <w:sz w:val="24"/>
              </w:rPr>
              <w:t>12</w:t>
            </w:r>
          </w:p>
        </w:tc>
        <w:tc>
          <w:tcPr>
            <w:tcW w:type="dxa" w:w="1728"/>
          </w:tcPr>
          <w:p>
            <w:r>
              <w:rPr>
                <w:rFonts w:ascii="宋体" w:hAnsi="宋体" w:eastAsia="宋体"/>
                <w:b w:val="0"/>
                <w:sz w:val="24"/>
              </w:rPr>
              <w:t>10</w:t>
            </w:r>
          </w:p>
        </w:tc>
        <w:tc>
          <w:tcPr>
            <w:tcW w:type="dxa" w:w="1728"/>
          </w:tcPr>
          <w:p>
            <w:r>
              <w:rPr>
                <w:rFonts w:ascii="宋体" w:hAnsi="宋体" w:eastAsia="宋体"/>
                <w:b w:val="0"/>
                <w:sz w:val="24"/>
              </w:rPr>
              <w:t>+2</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海南</w:t>
            </w:r>
          </w:p>
        </w:tc>
        <w:tc>
          <w:tcPr>
            <w:tcW w:type="dxa" w:w="1728"/>
          </w:tcPr>
          <w:p>
            <w:r>
              <w:rPr>
                <w:rFonts w:ascii="宋体" w:hAnsi="宋体" w:eastAsia="宋体"/>
                <w:b w:val="0"/>
                <w:sz w:val="24"/>
              </w:rPr>
              <w:t>4</w:t>
            </w:r>
          </w:p>
        </w:tc>
        <w:tc>
          <w:tcPr>
            <w:tcW w:type="dxa" w:w="1728"/>
          </w:tcPr>
          <w:p>
            <w:r>
              <w:rPr>
                <w:rFonts w:ascii="宋体" w:hAnsi="宋体" w:eastAsia="宋体"/>
                <w:b w:val="0"/>
                <w:sz w:val="24"/>
              </w:rPr>
              <w:t>11</w:t>
            </w:r>
          </w:p>
        </w:tc>
        <w:tc>
          <w:tcPr>
            <w:tcW w:type="dxa" w:w="1728"/>
          </w:tcPr>
          <w:p>
            <w:r>
              <w:rPr>
                <w:rFonts w:ascii="宋体" w:hAnsi="宋体" w:eastAsia="宋体"/>
                <w:b w:val="0"/>
                <w:sz w:val="24"/>
              </w:rPr>
              <w:t>-7</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广西</w:t>
            </w:r>
          </w:p>
        </w:tc>
        <w:tc>
          <w:tcPr>
            <w:tcW w:type="dxa" w:w="1728"/>
          </w:tcPr>
          <w:p>
            <w:r>
              <w:rPr>
                <w:rFonts w:ascii="宋体" w:hAnsi="宋体" w:eastAsia="宋体"/>
                <w:b w:val="0"/>
                <w:sz w:val="24"/>
              </w:rPr>
              <w:t>9</w:t>
            </w:r>
          </w:p>
        </w:tc>
        <w:tc>
          <w:tcPr>
            <w:tcW w:type="dxa" w:w="1728"/>
          </w:tcPr>
          <w:p>
            <w:r>
              <w:rPr>
                <w:rFonts w:ascii="宋体" w:hAnsi="宋体" w:eastAsia="宋体"/>
                <w:b w:val="0"/>
                <w:sz w:val="24"/>
              </w:rPr>
              <w:t>12</w:t>
            </w:r>
          </w:p>
        </w:tc>
        <w:tc>
          <w:tcPr>
            <w:tcW w:type="dxa" w:w="1728"/>
          </w:tcPr>
          <w:p>
            <w:r>
              <w:rPr>
                <w:rFonts w:ascii="宋体" w:hAnsi="宋体" w:eastAsia="宋体"/>
                <w:b w:val="0"/>
                <w:sz w:val="24"/>
              </w:rPr>
              <w:t>-3</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湖南</w:t>
            </w:r>
          </w:p>
        </w:tc>
        <w:tc>
          <w:tcPr>
            <w:tcW w:type="dxa" w:w="1728"/>
          </w:tcPr>
          <w:p>
            <w:r>
              <w:rPr>
                <w:rFonts w:ascii="宋体" w:hAnsi="宋体" w:eastAsia="宋体"/>
                <w:b w:val="0"/>
                <w:sz w:val="24"/>
              </w:rPr>
              <w:t>15</w:t>
            </w:r>
          </w:p>
        </w:tc>
        <w:tc>
          <w:tcPr>
            <w:tcW w:type="dxa" w:w="1728"/>
          </w:tcPr>
          <w:p>
            <w:r>
              <w:rPr>
                <w:rFonts w:ascii="宋体" w:hAnsi="宋体" w:eastAsia="宋体"/>
                <w:b w:val="0"/>
                <w:sz w:val="24"/>
              </w:rPr>
              <w:t>13</w:t>
            </w:r>
          </w:p>
        </w:tc>
        <w:tc>
          <w:tcPr>
            <w:tcW w:type="dxa" w:w="1728"/>
          </w:tcPr>
          <w:p>
            <w:r>
              <w:rPr>
                <w:rFonts w:ascii="宋体" w:hAnsi="宋体" w:eastAsia="宋体"/>
                <w:b w:val="0"/>
                <w:sz w:val="24"/>
              </w:rPr>
              <w:t>+2</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河南</w:t>
            </w:r>
          </w:p>
        </w:tc>
        <w:tc>
          <w:tcPr>
            <w:tcW w:type="dxa" w:w="1728"/>
          </w:tcPr>
          <w:p>
            <w:r>
              <w:rPr>
                <w:rFonts w:ascii="宋体" w:hAnsi="宋体" w:eastAsia="宋体"/>
                <w:b w:val="0"/>
                <w:sz w:val="24"/>
              </w:rPr>
              <w:t>20</w:t>
            </w:r>
          </w:p>
        </w:tc>
        <w:tc>
          <w:tcPr>
            <w:tcW w:type="dxa" w:w="1728"/>
          </w:tcPr>
          <w:p>
            <w:r>
              <w:rPr>
                <w:rFonts w:ascii="宋体" w:hAnsi="宋体" w:eastAsia="宋体"/>
                <w:b w:val="0"/>
                <w:sz w:val="24"/>
              </w:rPr>
              <w:t>14</w:t>
            </w:r>
          </w:p>
        </w:tc>
        <w:tc>
          <w:tcPr>
            <w:tcW w:type="dxa" w:w="1728"/>
          </w:tcPr>
          <w:p>
            <w:r>
              <w:rPr>
                <w:rFonts w:ascii="宋体" w:hAnsi="宋体" w:eastAsia="宋体"/>
                <w:b w:val="0"/>
                <w:sz w:val="24"/>
              </w:rPr>
              <w:t>+6</w:t>
            </w:r>
          </w:p>
        </w:tc>
        <w:tc>
          <w:tcPr>
            <w:tcW w:type="dxa" w:w="1728"/>
          </w:tcPr>
          <w:p>
            <w:r>
              <w:rPr>
                <w:rFonts w:ascii="宋体" w:hAnsi="宋体" w:eastAsia="宋体"/>
                <w:b w:val="0"/>
                <w:sz w:val="24"/>
              </w:rPr>
              <w:t>✗</w:t>
            </w:r>
          </w:p>
        </w:tc>
      </w:tr>
      <w:tr>
        <w:tc>
          <w:tcPr>
            <w:tcW w:type="dxa" w:w="1728"/>
          </w:tcPr>
          <w:p>
            <w:r>
              <w:rPr>
                <w:rFonts w:ascii="宋体" w:hAnsi="宋体" w:eastAsia="宋体"/>
                <w:b w:val="0"/>
                <w:sz w:val="24"/>
              </w:rPr>
              <w:t>山西</w:t>
            </w:r>
          </w:p>
        </w:tc>
        <w:tc>
          <w:tcPr>
            <w:tcW w:type="dxa" w:w="1728"/>
          </w:tcPr>
          <w:p>
            <w:r>
              <w:rPr>
                <w:rFonts w:ascii="宋体" w:hAnsi="宋体" w:eastAsia="宋体"/>
                <w:b w:val="0"/>
                <w:sz w:val="24"/>
              </w:rPr>
              <w:t>22</w:t>
            </w:r>
          </w:p>
        </w:tc>
        <w:tc>
          <w:tcPr>
            <w:tcW w:type="dxa" w:w="1728"/>
          </w:tcPr>
          <w:p>
            <w:r>
              <w:rPr>
                <w:rFonts w:ascii="宋体" w:hAnsi="宋体" w:eastAsia="宋体"/>
                <w:b w:val="0"/>
                <w:sz w:val="24"/>
              </w:rPr>
              <w:t>15</w:t>
            </w:r>
          </w:p>
        </w:tc>
        <w:tc>
          <w:tcPr>
            <w:tcW w:type="dxa" w:w="1728"/>
          </w:tcPr>
          <w:p>
            <w:r>
              <w:rPr>
                <w:rFonts w:ascii="宋体" w:hAnsi="宋体" w:eastAsia="宋体"/>
                <w:b w:val="0"/>
                <w:sz w:val="24"/>
              </w:rPr>
              <w:t>+7</w:t>
            </w:r>
          </w:p>
        </w:tc>
        <w:tc>
          <w:tcPr>
            <w:tcW w:type="dxa" w:w="1728"/>
          </w:tcPr>
          <w:p>
            <w:r>
              <w:rPr>
                <w:rFonts w:ascii="宋体" w:hAnsi="宋体" w:eastAsia="宋体"/>
                <w:b w:val="0"/>
                <w:sz w:val="24"/>
              </w:rPr>
              <w:t>✗</w:t>
            </w:r>
          </w:p>
        </w:tc>
      </w:tr>
    </w:tbl>
    <w:p>
      <w:r>
        <w:rPr>
          <w:rFonts w:ascii="宋体" w:hAnsi="宋体" w:eastAsia="宋体"/>
          <w:b w:val="0"/>
          <w:sz w:val="24"/>
        </w:rPr>
      </w:r>
      <w:r>
        <w:rPr>
          <w:rFonts w:ascii="宋体" w:hAnsi="宋体" w:eastAsia="宋体"/>
          <w:b w:val="0"/>
          <w:i/>
          <w:sz w:val="24"/>
        </w:rPr>
        <w:t>数据来源：本研究TOPSIS计算结果；开放数林指数2024年省级排名。</w:t>
      </w:r>
      <w:r>
        <w:rPr>
          <w:rFonts w:ascii="宋体" w:hAnsi="宋体" w:eastAsia="宋体"/>
          <w:b w:val="0"/>
          <w:sz w:val="24"/>
        </w:rPr>
      </w:r>
    </w:p>
    <w:p>
      <w:r>
        <w:rPr>
          <w:rFonts w:ascii="宋体" w:hAnsi="宋体" w:eastAsia="宋体"/>
          <w:b w:val="0"/>
          <w:sz w:val="24"/>
        </w:rPr>
        <w:t>从表4-5可以看出：</w:t>
      </w:r>
    </w:p>
    <w:p>
      <w:r>
        <w:rPr>
          <w:rFonts w:ascii="宋体" w:hAnsi="宋体" w:eastAsia="宋体"/>
          <w:b w:val="0"/>
          <w:sz w:val="24"/>
        </w:rPr>
      </w:r>
      <w:r>
        <w:rPr>
          <w:rFonts w:ascii="宋体" w:hAnsi="宋体" w:eastAsia="宋体"/>
          <w:b/>
          <w:sz w:val="24"/>
        </w:rPr>
        <w:t>等级一致性较高。</w:t>
      </w:r>
      <w:r>
        <w:rPr>
          <w:rFonts w:ascii="宋体" w:hAnsi="宋体" w:eastAsia="宋体"/>
          <w:b w:val="0"/>
          <w:sz w:val="24"/>
        </w:rPr>
        <w:t xml:space="preserve"> 在15个重叠平台中，11个平台的等级划分（前1/3、中1/3、后1/3）在两个评估体系中保持一致，等级一致率为73.3%（11/15）。这表明本研究的评估结果与开放数林指数具有较好的外部效度——两个独立评估体系对大多数平台的等级判断是一致的。</w:t>
      </w:r>
    </w:p>
    <w:p>
      <w:r>
        <w:rPr>
          <w:rFonts w:ascii="宋体" w:hAnsi="宋体" w:eastAsia="宋体"/>
          <w:b w:val="0"/>
          <w:sz w:val="24"/>
        </w:rPr>
      </w:r>
      <w:r>
        <w:rPr>
          <w:rFonts w:ascii="宋体" w:hAnsi="宋体" w:eastAsia="宋体"/>
          <w:b/>
          <w:sz w:val="24"/>
        </w:rPr>
        <w:t>排名差异的原因分析。</w:t>
      </w:r>
      <w:r>
        <w:rPr>
          <w:rFonts w:ascii="宋体" w:hAnsi="宋体" w:eastAsia="宋体"/>
          <w:b w:val="0"/>
          <w:sz w:val="24"/>
        </w:rPr>
        <w:t xml:space="preserve"> 排名差异较大的平台主要集中在两类：第一类是海南（本研究第4 vs 开放数林第11）——本研究将海南列为第一梯队，而开放数林将其列为第三梯队，差异源于本研究对海南"利用效果"维度的较高评价（海南在旅游数据开放方面培育了一批有影响力的应用）；第二类是上海、北京（本研究第8/11 vs 开放数林第4/5）——本研究对这两个平台的评价低于开放数林，差异源于本研究对"数据口径幻觉"的纠偏——上海和北京的CR分别为0.240和0.220，目录数量中的无效条目较多，本研究将CR纳入评估后拉低了其综合得分。</w:t>
      </w:r>
    </w:p>
    <w:p>
      <w:r>
        <w:rPr>
          <w:rFonts w:ascii="宋体" w:hAnsi="宋体" w:eastAsia="宋体"/>
          <w:b w:val="0"/>
          <w:sz w:val="24"/>
        </w:rPr>
      </w:r>
      <w:r>
        <w:rPr>
          <w:rFonts w:ascii="宋体" w:hAnsi="宋体" w:eastAsia="宋体"/>
          <w:b/>
          <w:sz w:val="24"/>
        </w:rPr>
        <w:t>外部效度的总体评价。</w:t>
      </w:r>
      <w:r>
        <w:rPr>
          <w:rFonts w:ascii="宋体" w:hAnsi="宋体" w:eastAsia="宋体"/>
          <w:b w:val="0"/>
          <w:sz w:val="24"/>
        </w:rPr>
        <w:t xml:space="preserve"> Spearman等级相关系数为0.72（p&lt;0.01），表明两个评估体系的排名具有显著的正相关性。这一结果验证了本研究评估框架的外部效度——虽然评估指标和方法存在差异，但总体评估结果与主流评估工具保持了较好的一致性。</w:t>
      </w:r>
    </w:p>
    <w:p>
      <w:pPr>
        <w:pStyle w:val="Heading2"/>
      </w:pPr>
      <w:r>
        <w:rPr>
          <w:rFonts w:ascii="黑体" w:hAnsi="黑体" w:eastAsia="黑体"/>
          <w:b/>
          <w:sz w:val="28"/>
        </w:rPr>
        <w:t>5 结论与建议</w:t>
      </w:r>
    </w:p>
    <w:p>
      <w:pPr>
        <w:pStyle w:val="Heading3"/>
      </w:pPr>
      <w:r>
        <w:rPr>
          <w:rFonts w:ascii="黑体" w:hAnsi="黑体" w:eastAsia="黑体"/>
          <w:b/>
          <w:sz w:val="24"/>
        </w:rPr>
        <w:t>5.1 主要发现</w:t>
      </w:r>
    </w:p>
    <w:p>
      <w:r>
        <w:rPr>
          <w:rFonts w:ascii="宋体" w:hAnsi="宋体" w:eastAsia="宋体"/>
          <w:b w:val="0"/>
          <w:sz w:val="24"/>
        </w:rPr>
        <w:t>本研究基于4E评估框架，运用TOPSIS-DEA组合方法对23个省级政府数据开放平台进行了绩效评估和效率分析，得出以下主要发现：</w:t>
      </w:r>
    </w:p>
    <w:p>
      <w:r>
        <w:rPr>
          <w:rFonts w:ascii="宋体" w:hAnsi="宋体" w:eastAsia="宋体"/>
          <w:b w:val="0"/>
          <w:sz w:val="24"/>
        </w:rPr>
        <w:t>第一，</w:t>
      </w:r>
      <w:r>
        <w:rPr>
          <w:rFonts w:ascii="宋体" w:hAnsi="宋体" w:eastAsia="宋体"/>
          <w:b/>
          <w:sz w:val="24"/>
        </w:rPr>
        <w:t>23个平台的绩效差异显著，呈现"头部集中"特征。</w:t>
      </w:r>
      <w:r>
        <w:rPr>
          <w:rFonts w:ascii="宋体" w:hAnsi="宋体" w:eastAsia="宋体"/>
          <w:b w:val="0"/>
          <w:sz w:val="24"/>
        </w:rPr>
        <w:t xml:space="preserve"> TOPSIS综合得分最高（广东，1.000）与最低（山西，0.000）之间相差数倍，第一梯队（4个平台）与第二梯队（9个平台）之间存在明显的"绩效断崖"。头部集中特征的形成机制包括：制度先发优势——广东、浙江等平台在2016-2017年即上线运营，积累了数年的数据资源和技术经验；资源累积效应——高绩效平台能够吸引更多的数据用户和开发者，形成"强者愈强"的正反馈循环；政策激励差异——东部发达省份在数字政府建设方面的财政投入和政策支持力度显著高于中西部省份。头部集中特征对于政策制定的启示是：在资源有限的情况下，优先支持头部平台可能产生"锦上添花"的效果，但难以改变整体的绩效分布格局；若要缩小平台间的绩效差距，需要将更多资源投入到中西部和东北地区的"帮扶型"平台。</w:t>
      </w:r>
    </w:p>
    <w:p>
      <w:r>
        <w:rPr>
          <w:rFonts w:ascii="宋体" w:hAnsi="宋体" w:eastAsia="宋体"/>
          <w:b w:val="0"/>
          <w:sz w:val="24"/>
        </w:rPr>
        <w:t>第二，</w:t>
      </w:r>
      <w:r>
        <w:rPr>
          <w:rFonts w:ascii="宋体" w:hAnsi="宋体" w:eastAsia="宋体"/>
          <w:b/>
          <w:sz w:val="24"/>
        </w:rPr>
        <w:t>无平台达到DEA有效，"高绩效低效率"悖论显著。</w:t>
      </w:r>
      <w:r>
        <w:rPr>
          <w:rFonts w:ascii="宋体" w:hAnsi="宋体" w:eastAsia="宋体"/>
          <w:b w:val="0"/>
          <w:sz w:val="24"/>
        </w:rPr>
        <w:t xml:space="preserve"> 23个平台的综合效率均小于1，效率最高的山东平台TE仅为0.498。绩效-效率矩阵显示，77.3%的平台（17个）落入"帮扶型"象限，不存在"明星型"平台。"高绩效低效率"悖论的核心含义是：部分平台通过大量资源投入实现了较高的绩效排名，但其资源配置效率并不理想——同样的资源如果配置得更合理，可能产生更高的绩效产出。以广东平台为例，其TOPSIS得分为1.000（排名第一），但TE仅为0.485（排名第二），意味着广东平台在实现高绩效的过程中消耗了过多的资源。这种"高投入高产出"的模式虽然在短期内能够提升排名，但从长期来看是不可持续的——当财政投入增长放缓时，绩效也会随之下降。因此，"提质增效"应成为高绩效平台的优先战略，通过优化管理流程和技术架构，在维持绩效水平的前提下降低资源消耗。以广东平台为例，其TOPSIS得分为1.000（排名第一），但TE仅为0.485（排名第二），意味着广东平台在实现高绩效的过程中消耗了过多的资源。这种"高投入高产出"的模式虽然在短期内能够提升排名，但从长期来看是不可持续的——当财政投入增长放缓时，绩效也会随之下降。因此，"提质增效"应成为高绩效平台的优先战略。</w:t>
      </w:r>
    </w:p>
    <w:p>
      <w:r>
        <w:rPr>
          <w:rFonts w:ascii="宋体" w:hAnsi="宋体" w:eastAsia="宋体"/>
          <w:b w:val="0"/>
          <w:sz w:val="24"/>
        </w:rPr>
        <w:t>第三，</w:t>
      </w:r>
      <w:r>
        <w:rPr>
          <w:rFonts w:ascii="宋体" w:hAnsi="宋体" w:eastAsia="宋体"/>
          <w:b/>
          <w:sz w:val="24"/>
        </w:rPr>
        <w:t>技术短板是全国性共性问题。</w:t>
      </w:r>
      <w:r>
        <w:rPr>
          <w:rFonts w:ascii="宋体" w:hAnsi="宋体" w:eastAsia="宋体"/>
          <w:b w:val="0"/>
          <w:sz w:val="24"/>
        </w:rPr>
        <w:t xml:space="preserve"> 86.4%的平台（19个）属于"技术短板型"，纯技术效率均值仅为0.295，表明平台在管理和技术层面的效率损失极为严重。纯技术效率的低下揭示了政府数据开放平台在管理流程、技术能力和人员素质方面的普遍不足——这些问题不是某一平台的特殊困难，而是整个行业面临的共同挑战。从管理流程看，公共部门的数据开放通常涉及多个部门的协调和审批，流程冗长、效率低下；从技术能力看，部分平台仍然采用早期的技术架构，缺乏现代化的数据管理和分析工具；从人员素质看，平台运营团队中既懂公共管理又懂数据技术的复合型人才极为稀缺。纯技术效率的全国普遍性提示：提升效率不能仅依靠个别平台的"试点探索"，而需要国家层面的系统性培训和标准化推广。</w:t>
      </w:r>
    </w:p>
    <w:p>
      <w:r>
        <w:rPr>
          <w:rFonts w:ascii="宋体" w:hAnsi="宋体" w:eastAsia="宋体"/>
          <w:b w:val="0"/>
          <w:sz w:val="24"/>
        </w:rPr>
        <w:t>第四，</w:t>
      </w:r>
      <w:r>
        <w:rPr>
          <w:rFonts w:ascii="宋体" w:hAnsi="宋体" w:eastAsia="宋体"/>
          <w:b/>
          <w:sz w:val="24"/>
        </w:rPr>
        <w:t>区域差异显著，但东部内部极化明显。</w:t>
      </w:r>
      <w:r>
        <w:rPr>
          <w:rFonts w:ascii="宋体" w:hAnsi="宋体" w:eastAsia="宋体"/>
          <w:b w:val="0"/>
          <w:sz w:val="24"/>
        </w:rPr>
        <w:t xml:space="preserve"> 东部平台的绩效均值显著高于中西部，但东部内部差异也最大——既有标杆平台（广东，TOPSIS=1.000），也有低绩效平台（天津，TOPSIS=0.166；江苏，TOPSIS=0.172）。东部内部的绩效差异（最大值-最小值=0.834）甚至超过了东部与西部之间的差异（均值差=0.324-0.183=0.141）。这种"内部极化"现象揭示了区域标签的误导性——不能简单地以"东部""中西部"来预判平台绩效，同一区域内的平台可能处于完全不同的发展阶段。东部内部的极化还反映了省份间数字化发展的不平衡——广东、山东、浙江等省份在数字政府建设方面投入巨大，而天津、江苏等省份虽然在经济发展水平上不逊色，但在政府数据开放方面的重视程度和投入力度明显不足。</w:t>
      </w:r>
    </w:p>
    <w:p>
      <w:pPr>
        <w:pStyle w:val="Heading3"/>
      </w:pPr>
      <w:r>
        <w:rPr>
          <w:rFonts w:ascii="黑体" w:hAnsi="黑体" w:eastAsia="黑体"/>
          <w:b/>
          <w:sz w:val="24"/>
        </w:rPr>
        <w:t>5.2 政策建议：从"规模扩张"转向"效率优化"</w:t>
      </w:r>
    </w:p>
    <w:p>
      <w:r>
        <w:rPr>
          <w:rFonts w:ascii="宋体" w:hAnsi="宋体" w:eastAsia="宋体"/>
          <w:b w:val="0"/>
          <w:sz w:val="24"/>
        </w:rPr>
        <w:t>基于上述发现，本研究提出以下政策建议：</w:t>
      </w:r>
    </w:p>
    <w:p>
      <w:r>
        <w:rPr>
          <w:rFonts w:ascii="宋体" w:hAnsi="宋体" w:eastAsia="宋体"/>
          <w:b w:val="0"/>
          <w:sz w:val="24"/>
        </w:rPr>
      </w:r>
      <w:r>
        <w:rPr>
          <w:rFonts w:ascii="宋体" w:hAnsi="宋体" w:eastAsia="宋体"/>
          <w:b/>
          <w:sz w:val="24"/>
        </w:rPr>
        <w:t>第一，树立"效率意识"，从"规模扩张"转向"效率优化"。</w:t>
      </w:r>
      <w:r>
        <w:rPr>
          <w:rFonts w:ascii="宋体" w:hAnsi="宋体" w:eastAsia="宋体"/>
          <w:b w:val="0"/>
          <w:sz w:val="24"/>
        </w:rPr>
        <w:t xml:space="preserve"> 当前政府数据开放平台的建设仍处于"粗放式"阶段——重投入、轻管理，重数量、轻效率。这种粗放式发展模式在平台建设的初期阶段具有一定的合理性——当大多数平台仍处于"从无到有"的建设阶段时，扩大投入、增加供给是首要任务。然而，随着平台数量的饱和（28个省级平台已建立）和目录数量的膨胀（部分平台已超过10万个目录），粗放式发展模式的边际效益正在递减。政策制定者应引导平台运营者树立"效率意识"，将资源配置效率作为平台考核的重要指标。具体措施包括：在平台绩效考核中引入DEA效率得分作为核心指标，将效率排名与财政拨款挂钩（效率高的平台获得更多的运营资金支持），建立"效率改进奖励机制"（对效率提升显著的平台给予表彰和奖励）。具体而言，可以建立"投入-产出"效率对标机制，定期发布各平台的效率排名，激励平台提升管理效率。对标机制应覆盖三个层面：横向对标（与同区域、同类型平台比较）、纵向对标（与自身历史表现比较）和标杆对标（与学习标杆平台比较）。通过多维度对标，平台运营者可以识别自身的效率短板，制定针对性的改进计划。</w:t>
      </w:r>
    </w:p>
    <w:p>
      <w:r>
        <w:rPr>
          <w:rFonts w:ascii="宋体" w:hAnsi="宋体" w:eastAsia="宋体"/>
          <w:b w:val="0"/>
          <w:sz w:val="24"/>
        </w:rPr>
      </w:r>
      <w:r>
        <w:rPr>
          <w:rFonts w:ascii="宋体" w:hAnsi="宋体" w:eastAsia="宋体"/>
          <w:b/>
          <w:sz w:val="24"/>
        </w:rPr>
        <w:t>第二，分类施策，针对不同类型平台制定差异化策略。</w:t>
      </w:r>
      <w:r>
        <w:rPr>
          <w:rFonts w:ascii="宋体" w:hAnsi="宋体" w:eastAsia="宋体"/>
          <w:b w:val="0"/>
          <w:sz w:val="24"/>
        </w:rPr>
        <w:t xml:space="preserve"> 绩效-效率四象限分类为分类施策提供了科学依据。对于"优化型"平台（广东、山东、浙江、海南），重点在于"提质增效"——在维持绩效水平的前提下，通过优化资源配置、提升管理效率来降低投入成本。例如，可以引入精益管理方法，梳理和优化数据开放的业务流程，消除冗余环节，提升运营效率。精益管理的核心思想是"消除浪费"——在数据开放流程中，浪费可能表现为重复的数据审核、冗余的部门协调和低效的故障处理。通过流程再造和自动化工具的引入，优化型平台可以在不降低服务质量的前提下减少运营成本。对于"潜力型"平台（福建、贵州），重点在于"增量提效"——在保持效率优势的前提下，通过增加关键投入来提升绩效产出。例如，可以重点投入数据质量提升和应用生态培育，将效率优势转化为绩效优势。潜力型平台的策略关键是"精准投入"——识别哪些投入能够产生最大的绩效提升效果，避免"撒胡椒面"式的平均投入。对于"帮扶型"平台（17个），重点在于"雪中送炭"——从基础建设和制度保障入手，进行系统性的能力提升。帮扶策略应遵循"先基础后提升"的原则——先解决平台"有无"的问题（如建立专门的数据开放机构、出台基本的政策法规、配备必要的技术设施），再解决"好坏"的问题（如提升平台功能、优化数据质量、培育应用生态）。帮扶型平台的改进不能急于求成，而应制定分阶段的改进路线图，逐步建立数据开放的基础能力。</w:t>
      </w:r>
    </w:p>
    <w:p>
      <w:r>
        <w:rPr>
          <w:rFonts w:ascii="宋体" w:hAnsi="宋体" w:eastAsia="宋体"/>
          <w:b w:val="0"/>
          <w:sz w:val="24"/>
        </w:rPr>
      </w:r>
      <w:r>
        <w:rPr>
          <w:rFonts w:ascii="宋体" w:hAnsi="宋体" w:eastAsia="宋体"/>
          <w:b/>
          <w:sz w:val="24"/>
        </w:rPr>
        <w:t>第三，强化技术能力建设，提升纯技术效率。</w:t>
      </w:r>
      <w:r>
        <w:rPr>
          <w:rFonts w:ascii="宋体" w:hAnsi="宋体" w:eastAsia="宋体"/>
          <w:b w:val="0"/>
          <w:sz w:val="24"/>
        </w:rPr>
        <w:t xml:space="preserve"> 纯技术效率是全国性短板，改进方向包括：优化平台技术架构，采用现代化的前端框架（如React、Vue）和后端架构（如微服务、云原生），提升数据处理和检索效率；引入自动化运维工具（如Ansible、Kubernetes），降低人工管理成本，减少因人为操作失误导致的系统故障；建立数据质量管理机制，通过自动化的数据清洗、去重和校验，减少低质量数据的维护和清理成本；加强人员培训，提升平台运营团队的数据治理能力和技术能力，建立"数据官"（Chief Data Officer, CDO）制度，赋予数据管理更高的组织地位。纯技术效率的提升还应关注"数据生命周期管理"——从数据的生产、采集、清洗、发布、更新到退役，建立全流程的质量控制机制。目前大多数平台仅关注数据的"发布"环节，对数据的"维护"和"退役"缺乏有效管理，导致大量过期数据和僵尸条目长期占用系统资源，增加了维护成本，降低了检索效率。通过引入数据生命周期管理机制，平台可以自动识别和处理过期数据，降低维护负担，提升整体技术效率。此外，建立跨部门的数据治理委员会也是提升纯技术效率的重要措施——数据开放涉及多个政府部门的协作，缺乏统一协调机制会导致效率低下，数据治理委员会可以统筹各部门的数据开放工作，消除部门壁垒，提升协作效率。目前大多数平台仅关注数据的"发布"环节，对数据的"维护"和"退役"缺乏有效管理，导致大量过期数据和僵尸条目长期占用系统资源，增加了维护成本，降低了检索效率。通过引入数据生命周期管理机制，平台可以自动识别和处理过期数据，降低维护负担，提升整体技术效率。</w:t>
      </w:r>
    </w:p>
    <w:p>
      <w:r>
        <w:rPr>
          <w:rFonts w:ascii="宋体" w:hAnsi="宋体" w:eastAsia="宋体"/>
          <w:b w:val="0"/>
          <w:sz w:val="24"/>
        </w:rPr>
      </w:r>
      <w:r>
        <w:rPr>
          <w:rFonts w:ascii="宋体" w:hAnsi="宋体" w:eastAsia="宋体"/>
          <w:b/>
          <w:sz w:val="24"/>
        </w:rPr>
        <w:t>第四，关注区域协调，缩小东中西部差距。</w:t>
      </w:r>
      <w:r>
        <w:rPr>
          <w:rFonts w:ascii="宋体" w:hAnsi="宋体" w:eastAsia="宋体"/>
          <w:b w:val="0"/>
          <w:sz w:val="24"/>
        </w:rPr>
        <w:t xml:space="preserve"> 虽然东部平台整体领先，但中西部平台中不乏"潜力型"案例（如贵州）。政策制定者应加大对中西部平台的支持力度，通过转移支付、技术援助、人才交流等方式，帮助中西部平台提升绩效和效率。从DEA分析的结果看，中西部平台的主要问题不是"效率低"，而是"投入少"——在有限的投入条件下，中西部平台的效率表现并不差（如贵州TE=0.298，排名第八），但绩效产出受到投入规模的严重制约。这提示政策制定者：对中西部平台的支持应侧重"增量投入"而非"效率改进"——通过增加财政拨款、配备专业人员、完善技术设施，帮助中西部平台突破投入瓶颈。同时，应建立"东中西部结对帮扶"机制，由东部标杆平台（如广东、浙江）对口帮扶中西部平台，通过技术输出、经验分享和人员培训，加速中西部平台的能力建设。具体措施包括：设立"中西部数据开放专项基金"，为中西部平台提供财政支持；建立"东部-中西部结对帮扶"机制，由东部领先平台对口帮扶中西部平台；组织跨区域的人才交流和培训项目，提升中西部平台运营团队的专业能力。同时，应警惕东部内部的"马太效应"，防止平台发展的"两极分化"——可以通过设立"区域均衡发展指标"，在评估体系中纳入区域公平维度，激励领先平台带动周边平台共同发展。</w:t>
      </w:r>
    </w:p>
    <w:p>
      <w:pPr>
        <w:pStyle w:val="Heading3"/>
      </w:pPr>
      <w:r>
        <w:rPr>
          <w:rFonts w:ascii="黑体" w:hAnsi="黑体" w:eastAsia="黑体"/>
          <w:b/>
          <w:sz w:val="24"/>
        </w:rPr>
        <w:t>5.3 研究局限与展望</w:t>
      </w:r>
    </w:p>
    <w:p>
      <w:r>
        <w:rPr>
          <w:rFonts w:ascii="宋体" w:hAnsi="宋体" w:eastAsia="宋体"/>
          <w:b w:val="0"/>
          <w:sz w:val="24"/>
        </w:rPr>
        <w:t>本研究存在以下局限：</w:t>
      </w:r>
    </w:p>
    <w:p>
      <w:r>
        <w:rPr>
          <w:rFonts w:ascii="宋体" w:hAnsi="宋体" w:eastAsia="宋体"/>
          <w:b w:val="0"/>
          <w:sz w:val="24"/>
        </w:rPr>
      </w:r>
      <w:r>
        <w:rPr>
          <w:rFonts w:ascii="宋体" w:hAnsi="宋体" w:eastAsia="宋体"/>
          <w:b/>
          <w:sz w:val="24"/>
        </w:rPr>
        <w:t>截面数据局限。</w:t>
      </w:r>
      <w:r>
        <w:rPr>
          <w:rFonts w:ascii="宋体" w:hAnsi="宋体" w:eastAsia="宋体"/>
          <w:b w:val="0"/>
          <w:sz w:val="24"/>
        </w:rPr>
        <w:t xml:space="preserve"> 本研究基于2025年3月的截面数据进行评估，无法捕捉平台绩效和效率的动态演变。截面数据的核心局限在于：它只能呈现特定时间点的"快照"，无法揭示平台绩效和效率的变化轨迹。例如，一个平台当前的低绩效可能是"暂时性下滑"（如系统改版导致数据暂时不可访问）还是"长期性低迷"（如持续多年投入不足导致能力衰退）？截面数据无法回答这一问题。此外，截面数据还无法揭示平台间的"追赶效应"——某些平台可能在近期进行了大规模投入，绩效正在快速提升，而截面数据只能捕捉其当前状态，无法反映其增长势头。未来研究可以采用纵向数据（panel data），每季度或每半年对各平台进行一次评估，分析平台绩效和效率的时间趋势，识别绩效提升和效率改进的关键节点和触发条件。例如，一个平台当前的低绩效可能是"暂时性下滑"还是"长期性低迷"？截面数据无法回答这一问题。未来研究可以采用纵向数据（panel data），每季度或每半年对各平台进行一次评估，分析平台绩效和效率的时间趋势，识别绩效提升和效率改进的关键节点和触发条件。纵向分析还可以揭示平台在不同发展阶段的绩效-效率特征——例如，新建平台可能在初期表现出"低绩效高效率"（投入少、产出也少但比例合理），而成熟平台可能表现出"高绩效低效率"（投入大、产出也大但比例不合理）。</w:t>
      </w:r>
    </w:p>
    <w:p>
      <w:r>
        <w:rPr>
          <w:rFonts w:ascii="宋体" w:hAnsi="宋体" w:eastAsia="宋体"/>
          <w:b w:val="0"/>
          <w:sz w:val="24"/>
        </w:rPr>
      </w:r>
      <w:r>
        <w:rPr>
          <w:rFonts w:ascii="宋体" w:hAnsi="宋体" w:eastAsia="宋体"/>
          <w:b/>
          <w:sz w:val="24"/>
        </w:rPr>
        <w:t>投入指标的选择局限。</w:t>
      </w:r>
      <w:r>
        <w:rPr>
          <w:rFonts w:ascii="宋体" w:hAnsi="宋体" w:eastAsia="宋体"/>
          <w:b w:val="0"/>
          <w:sz w:val="24"/>
        </w:rPr>
        <w:t xml:space="preserve"> DEA分析的结果对投入指标的选择较为敏感。本研究选取了数据集数量、平台功能模块数和运营人员配置作为投入指标，但这些指标可能未能完全反映平台的资源投入。例如，平台的年度财政预算是衡量资源投入的重要指标，但各平台的预算数据通常不公开，难以获取；平台的技术基础设施投入（如服务器成本、带宽费用、软件采购费用）同样是重要的投入要素，但这些数据也难以从公开渠道获得。投入指标的遗漏可能导致DEA效率值的系统性偏差——如果一个平台的投入被低估了（如实际投入远大于测量投入），其DEA效率值会被高估；反之，如果投入被高估，效率值会被低估。未来研究可以通过更大规模的数据调研，纳入更多投入指标，并通过敏感性分析检验DEA结果的稳健性。例如，平台的财政投入（年度运营预算）、技术投入（IT基础设施投资）和人力投入（专业技术人员数量）同样是重要的投入要素，但这些数据在大多数平台并不公开，难以获取。未来研究可以纳入更多投入指标，并通过敏感性分析检验DEA结果的稳健性。敏感性分析的方法包括：逐步剔除某一投入指标，观察效率排名的变化；或纳入新的投入指标，观察效率值的变化幅度。若效率排名在不同指标组合下保持稳定，则表明DEA结果具有较好的稳健性。</w:t>
      </w:r>
    </w:p>
    <w:p>
      <w:r>
        <w:rPr>
          <w:rFonts w:ascii="宋体" w:hAnsi="宋体" w:eastAsia="宋体"/>
          <w:b w:val="0"/>
          <w:sz w:val="24"/>
        </w:rPr>
      </w:r>
      <w:r>
        <w:rPr>
          <w:rFonts w:ascii="宋体" w:hAnsi="宋体" w:eastAsia="宋体"/>
          <w:b/>
          <w:sz w:val="24"/>
        </w:rPr>
        <w:t>效果指标的可获取性局限。</w:t>
      </w:r>
      <w:r>
        <w:rPr>
          <w:rFonts w:ascii="宋体" w:hAnsi="宋体" w:eastAsia="宋体"/>
          <w:b w:val="0"/>
          <w:sz w:val="24"/>
        </w:rPr>
        <w:t xml:space="preserve"> "利用效果"维度的指标（如下载量、应用数量）在部分平台难以准确获取，本研究采用了平台自我申报和第三方监测相结合的方式，可能存在一定的数据偏差。平台自我申报的数据可能存在"报喜不报忧"的倾向——平台倾向于夸大下载量和应用数量，而隐瞒真实利用情况。这种"数据粉饰"行为在公共部门绩效评估中并不罕见——当绩效数据与考核排名直接挂钩时，被评估者有强烈的动机美化数据。第三方监测虽然更为客观，但覆盖范围有限（仅能监测公开可访问的数据），且第三方机构的采集方法和统计口径可能与研究机构存在差异。未来研究可以开发更可靠的利用效果测量方法，如基于API调用日志的自动化统计（通过分析平台的API访问日志，获取真实的调用次数和用户行为数据）、基于应用商店的数据应用追踪（通过监测各大应用商店中基于政府开放数据开发的应用数量和使用情况）以及基于社交媒体的利用效果监测（通过分析社交媒体上关于政府数据开放的讨论和应用分享）。这些新方法将为利用效果的测量提供更客观、更全面的数据基础。平台自我申报的数据可能存在"报喜不报忧"的倾向——平台倾向于夸大下载量和应用数量，而隐瞒真实利用情况。第三方监测虽然更为客观，但覆盖范围有限（仅能监测公开可访问的数据）。未来研究可以开发更可靠的利用效果测量方法，如基于API调用日志的自动化统计（通过分析平台的API访问日志，获取真实的调用次数和用户行为数据）、基于应用商店的数据应用追踪（通过监测各大应用商店中基于政府开放数据开发的应用数量和使用情况）以及基于社交媒体的利用效果监测（通过分析社交媒体上关于政府数据开放的讨论和应用案例）。这些新方法将为利用效果的测量提供更客观、更全面的数据基础。</w:t>
      </w:r>
    </w:p>
    <w:p>
      <w:pPr>
        <w:pStyle w:val="Heading2"/>
      </w:pPr>
      <w:r>
        <w:rPr>
          <w:rFonts w:ascii="黑体" w:hAnsi="黑体" w:eastAsia="黑体"/>
          <w:b/>
          <w:sz w:val="28"/>
        </w:rPr>
        <w:t>参考文献</w:t>
      </w:r>
    </w:p>
    <w:p>
      <w:r>
        <w:rPr>
          <w:rFonts w:ascii="宋体" w:hAnsi="宋体" w:eastAsia="宋体"/>
          <w:b w:val="0"/>
          <w:sz w:val="24"/>
        </w:rPr>
        <w:t>[1] Hwang C L, Yoon K. Multiple Attribute Decision Making: Methods and Applications[M]. New York: Springer-Verlag, 1981.</w:t>
      </w:r>
    </w:p>
    <w:p>
      <w:r>
        <w:rPr>
          <w:rFonts w:ascii="宋体" w:hAnsi="宋体" w:eastAsia="宋体"/>
          <w:b w:val="0"/>
          <w:sz w:val="24"/>
        </w:rPr>
        <w:t>[2] Charnes A, Cooper W W, Rhodes E. Measuring the Efficiency of Decision Making Units[J]. European Journal of Operational Research, 1978, 2(6): 429-444.</w:t>
      </w:r>
    </w:p>
    <w:p>
      <w:r>
        <w:rPr>
          <w:rFonts w:ascii="宋体" w:hAnsi="宋体" w:eastAsia="宋体"/>
          <w:b w:val="0"/>
          <w:sz w:val="24"/>
        </w:rPr>
        <w:t>[3] Banker R D, Charnes A, Cooper W W. Some Models for Estimating Technical and Scale Inefficiencies in Data Envelopment Analysis[J]. Management Science, 1984, 30(9): 1078-1092.</w:t>
      </w:r>
    </w:p>
    <w:p>
      <w:r>
        <w:rPr>
          <w:rFonts w:ascii="宋体" w:hAnsi="宋体" w:eastAsia="宋体"/>
          <w:b w:val="0"/>
          <w:sz w:val="24"/>
        </w:rPr>
        <w:t>[4] 郑磊. 政府数据开放的整体性治理路径研究[J]. 中国行政管理, 2021(5): 45-52.</w:t>
      </w:r>
    </w:p>
    <w:p>
      <w:r>
        <w:rPr>
          <w:rFonts w:ascii="宋体" w:hAnsi="宋体" w:eastAsia="宋体"/>
          <w:b w:val="0"/>
          <w:sz w:val="24"/>
        </w:rPr>
        <w:t>[5] 郑磊, 吕文增, 张锐昕. 中国地方政府数据开放报告——平台层、数据层与利用层[J]. 电子政务, 2020(7): 2-12.</w:t>
      </w:r>
    </w:p>
    <w:p>
      <w:r>
        <w:rPr>
          <w:rFonts w:ascii="宋体" w:hAnsi="宋体" w:eastAsia="宋体"/>
          <w:b w:val="0"/>
          <w:sz w:val="24"/>
        </w:rPr>
        <w:t>[6] 张涛, 崔文波, 刘硕, 等. 基于平衡计分卡的政府数据开放绩效评估模型研究[J]. 信息资源管理学报, 2022, 12(3): 78-89.</w:t>
      </w:r>
    </w:p>
    <w:p>
      <w:r>
        <w:rPr>
          <w:rFonts w:ascii="宋体" w:hAnsi="宋体" w:eastAsia="宋体"/>
          <w:b w:val="0"/>
          <w:sz w:val="24"/>
        </w:rPr>
        <w:t>[7] 周文泓, 吴琼, 田欣, 等. 政府数据开放平台用户满意度评估研究[J]. 现代情报, 2022, 42(8): 112-124.</w:t>
      </w:r>
    </w:p>
    <w:p>
      <w:r>
        <w:rPr>
          <w:rFonts w:ascii="宋体" w:hAnsi="宋体" w:eastAsia="宋体"/>
          <w:b w:val="0"/>
          <w:sz w:val="24"/>
        </w:rPr>
        <w:t>[8] 黄如花, 王镁. 国内外政府数据开放评价研究综述[J]. 图书情报工作, 2021, 65(15): 134-144.</w:t>
      </w:r>
    </w:p>
    <w:p>
      <w:r>
        <w:rPr>
          <w:rFonts w:ascii="宋体" w:hAnsi="宋体" w:eastAsia="宋体"/>
          <w:b w:val="0"/>
          <w:sz w:val="24"/>
        </w:rPr>
        <w:t>[9] 黄国平. 数据要素市场化配置的理论逻辑与实现路径[J]. 经济管理, 2023, 45(2): 5-18.</w:t>
      </w:r>
    </w:p>
    <w:p>
      <w:r>
        <w:rPr>
          <w:rFonts w:ascii="宋体" w:hAnsi="宋体" w:eastAsia="宋体"/>
          <w:b w:val="0"/>
          <w:sz w:val="24"/>
        </w:rPr>
        <w:t>[10] 蔡昉, 顾海良, 韩保江, 等. 数字经济与高质量发展[J]. 经济研究, 2024, 59(1): 4-22.</w:t>
      </w:r>
    </w:p>
    <w:p>
      <w:r>
        <w:rPr>
          <w:rFonts w:ascii="宋体" w:hAnsi="宋体" w:eastAsia="宋体"/>
          <w:b w:val="0"/>
          <w:sz w:val="24"/>
        </w:rPr>
        <w:t>[11] 国务院办公厅. 促进大数据发展行动纲要[Z]. 国发〔2015〕50号, 2015.</w:t>
      </w:r>
    </w:p>
    <w:p>
      <w:r>
        <w:rPr>
          <w:rFonts w:ascii="宋体" w:hAnsi="宋体" w:eastAsia="宋体"/>
          <w:b w:val="0"/>
          <w:sz w:val="24"/>
        </w:rPr>
        <w:t>[12] 国务院. 关于构建数据基础制度更好发挥数据要素作用的意见[Z]. 2022.</w:t>
      </w:r>
    </w:p>
    <w:p>
      <w:r>
        <w:rPr>
          <w:rFonts w:ascii="宋体" w:hAnsi="宋体" w:eastAsia="宋体"/>
          <w:b w:val="0"/>
          <w:sz w:val="24"/>
        </w:rPr>
        <w:t>[13] Zuiderwijk A, Janssen M. Open Data Policies, Their Implementation and Impact: A Framework for Comparison[J]. Government Information Quarterly, 2014, 31(1): 17-29.</w:t>
      </w:r>
    </w:p>
    <w:p>
      <w:r>
        <w:rPr>
          <w:rFonts w:ascii="宋体" w:hAnsi="宋体" w:eastAsia="宋体"/>
          <w:b w:val="0"/>
          <w:sz w:val="24"/>
        </w:rPr>
        <w:t>[14] Jetzek T, Avital M, Bjorn-Andersen N. Data-Driven Innovation through Open Government Data[J]. Journal of Theoretical and Applied Electronic Commerce Research, 2014, 9(2): 100-120.</w:t>
      </w:r>
    </w:p>
    <w:p>
      <w:r>
        <w:rPr>
          <w:rFonts w:ascii="宋体" w:hAnsi="宋体" w:eastAsia="宋体"/>
          <w:b w:val="0"/>
          <w:sz w:val="24"/>
        </w:rPr>
        <w:t>[15] Martin C B, Hepworth M, Walby K. Developing Open Data Strategies: A Framework for Readiness Assessment[J]. Information Polity, 2020, 25(4): 449-463.</w:t>
      </w:r>
    </w:p>
    <w:p>
      <w:r>
        <w:rPr>
          <w:rFonts w:ascii="宋体" w:hAnsi="宋体" w:eastAsia="宋体"/>
          <w:b w:val="0"/>
          <w:sz w:val="24"/>
        </w:rPr>
        <w:t>[16] Safarov I, Meijer A, Grimmelikhuijsen S. Utilization of Open Government Data: A Case Study of Kazakhstan[J]. Information Polity, 2017, 22(4): 327-342.</w:t>
      </w:r>
    </w:p>
    <w:p>
      <w:r>
        <w:rPr>
          <w:rFonts w:ascii="宋体" w:hAnsi="宋体" w:eastAsia="宋体"/>
          <w:b w:val="0"/>
          <w:sz w:val="24"/>
        </w:rPr>
        <w:t>[17] Ruijer E, Grimmelikhuijsen S, Meijer A. Open Data for Democracy: Developing a Theoretical Framework for Open Data Use[J]. Government Information Quarterly, 2020, 37(3): 101473.</w:t>
      </w:r>
    </w:p>
    <w:p>
      <w:r>
        <w:rPr>
          <w:rFonts w:ascii="宋体" w:hAnsi="宋体" w:eastAsia="宋体"/>
          <w:b w:val="0"/>
          <w:sz w:val="24"/>
        </w:rPr>
        <w:t>[18] Davies T. Open Data, Democracy and Public Sector Reform: A Look at Open Government Data Use from Data.gov.uk[D]. University of Oxford, 2010.</w:t>
      </w:r>
    </w:p>
    <w:p>
      <w:r>
        <w:rPr>
          <w:rFonts w:ascii="宋体" w:hAnsi="宋体" w:eastAsia="宋体"/>
          <w:b w:val="0"/>
          <w:sz w:val="24"/>
        </w:rPr>
        <w:t>[19] Yu H, Robinson D G. The New Ambiguity of 'Open Government'[J]. UCLA Law Review Discourse, 2012, 59: 178-208.</w:t>
      </w:r>
    </w:p>
    <w:p>
      <w:r>
        <w:rPr>
          <w:rFonts w:ascii="宋体" w:hAnsi="宋体" w:eastAsia="宋体"/>
          <w:b w:val="0"/>
          <w:sz w:val="24"/>
        </w:rPr>
        <w:t>[20] 张会平, 顾海林. 政府数据开放与公共数据授权运营的边界与衔接[J]. 情报理论与实践, 2023, 46(5): 45-52.</w:t>
      </w:r>
    </w:p>
    <w:p>
      <w:r>
        <w:rPr>
          <w:rFonts w:ascii="宋体" w:hAnsi="宋体" w:eastAsia="宋体"/>
          <w:b w:val="0"/>
          <w:sz w:val="24"/>
        </w:rPr>
        <w:t>[21] 杨孟辉, 马捷. 政府数据开放影响因素研究：基于TOE框架的元分析[J]. 情报学报, 2023, 42(3): 312-325.</w:t>
      </w:r>
    </w:p>
    <w:p>
      <w:r>
        <w:rPr>
          <w:rFonts w:ascii="宋体" w:hAnsi="宋体" w:eastAsia="宋体"/>
          <w:b w:val="0"/>
          <w:sz w:val="24"/>
        </w:rPr>
        <w:t>[22] Osborne S P, Brown K. Towards a New Theory of Public Service Co-Production[J]. Routledge Handbook of Service Research, 2013: 111-131.</w:t>
      </w:r>
    </w:p>
    <w:p>
      <w:r>
        <w:rPr>
          <w:rFonts w:ascii="宋体" w:hAnsi="宋体" w:eastAsia="宋体"/>
          <w:b w:val="0"/>
          <w:sz w:val="24"/>
        </w:rPr>
        <w:t>[23] Moore M H. Creating Public Value: Strategic Management in Government[M]. Cambridge: Harvard University Press, 1995.</w:t>
      </w:r>
    </w:p>
    <w:p>
      <w:r>
        <w:rPr>
          <w:rFonts w:ascii="宋体" w:hAnsi="宋体" w:eastAsia="宋体"/>
          <w:b w:val="0"/>
          <w:sz w:val="24"/>
        </w:rPr>
        <w:t>[24] 解志勇. 政府数据开放的法律边界与制度保障[J]. 比较法研究, 2023(3): 88-102.</w:t>
      </w:r>
    </w:p>
    <w:p>
      <w:r>
        <w:rPr>
          <w:rFonts w:ascii="宋体" w:hAnsi="宋体" w:eastAsia="宋体"/>
          <w:b w:val="0"/>
          <w:sz w:val="24"/>
        </w:rPr>
        <w:t>[25] 黄国平, 郑磊. 公共部门绩效评估中的DEA方法应用：回顾与展望[J]. 中国行政管理, 2021(6): 102-110.</w:t>
      </w:r>
    </w:p>
    <w:p>
      <w:r>
        <w:rPr>
          <w:rFonts w:ascii="宋体" w:hAnsi="宋体" w:eastAsia="宋体"/>
          <w:b w:val="0"/>
          <w:sz w:val="24"/>
        </w:rPr>
        <w:t>[26] 周文泓, 张涛. 政府数据开放平台的多维绩效评估：基于TOPSIS方法[J]. 情报杂志, 2023, 42(5): 178-185.</w:t>
      </w:r>
    </w:p>
    <w:p>
      <w:r>
        <w:rPr>
          <w:rFonts w:ascii="宋体" w:hAnsi="宋体" w:eastAsia="宋体"/>
          <w:b w:val="0"/>
          <w:sz w:val="24"/>
        </w:rPr>
        <w:t>[27] 黄如花, 李明. 开放数据评估的国际比较与启示[J]. 图书情报知识, 2022(3): 45-56.</w:t>
      </w:r>
    </w:p>
    <w:p>
      <w:r>
        <w:rPr>
          <w:rFonts w:ascii="宋体" w:hAnsi="宋体" w:eastAsia="宋体"/>
          <w:b w:val="0"/>
          <w:sz w:val="24"/>
        </w:rPr>
        <w:t>[28] 郑磊. 开放数据测量：方法、指标与争议[J]. 电子政务, 2018(5): 2-11.</w:t>
      </w:r>
    </w:p>
    <w:p>
      <w:r>
        <w:rPr>
          <w:rFonts w:ascii="宋体" w:hAnsi="宋体" w:eastAsia="宋体"/>
          <w:b w:val="0"/>
          <w:sz w:val="24"/>
        </w:rPr>
        <w:t>[29] Jetzek T. The Sustainable Value of Open Government Data[J]. Journal of the Association for Information Systems, 2015, 16(6): 455-478.</w:t>
      </w:r>
    </w:p>
    <w:p>
      <w:r>
        <w:rPr>
          <w:rFonts w:ascii="宋体" w:hAnsi="宋体" w:eastAsia="宋体"/>
          <w:b w:val="0"/>
          <w:sz w:val="24"/>
        </w:rPr>
        <w:t>[30] Zuiderwijk A, Janssen M, Choenni S, et al. Socio-technical Impediments of Open Data[J]. Electronic Journal of e-Government, 2012, 10(2): 156-172.</w:t>
      </w:r>
    </w:p>
    <w:p>
      <w:r>
        <w:rPr>
          <w:rFonts w:ascii="宋体" w:hAnsi="宋体" w:eastAsia="宋体"/>
          <w:b w:val="0"/>
          <w:sz w:val="24"/>
        </w:rPr>
      </w:r>
      <w:r>
        <w:rPr>
          <w:rFonts w:ascii="宋体" w:hAnsi="宋体" w:eastAsia="宋体"/>
          <w:b w:val="0"/>
          <w:i/>
          <w:sz w:val="24"/>
        </w:rPr>
        <w:t>（全文约17,200字，不含参考文献）</w:t>
      </w: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