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高绩效政府数据开放平台的多重等效路径</w:t>
      </w:r>
    </w:p>
    <w:p>
      <w:pPr>
        <w:pStyle w:val="Heading2"/>
      </w:pPr>
      <w:r>
        <w:rPr>
          <w:rFonts w:ascii="黑体" w:hAnsi="黑体" w:eastAsia="黑体"/>
          <w:b/>
          <w:sz w:val="28"/>
        </w:rPr>
        <w:t>——基于fsQCA的组态分析</w:t>
      </w:r>
    </w:p>
    <w:p>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政府数据开放平台的数据利用绩效差异显著，但既有研究多聚焦于单一因素的净效应，忽视了因素间的组合效应与等效路径。本研究基于TOE理论框架，选取政策法规、组织保障、平台建设、数据质量、应用效果和运营能力六个条件变量，以23个省级政府数据开放平台的TOPSIS综合绩效为结果变量，运用fsQCA方法揭示高绩效平台的多重等效组态路径。研究发现：（1）单一条件均不构成高绩效的必要条件，平台高绩效的实现依赖多因素的协同组合；（2）存在三条高绩效组态路径：H1"全要素驱动型"（原始覆盖度0.81，唯一覆盖度0.62）、H2"服务-质量-效果驱动型"（原始覆盖度0.19，唯一覆盖度0.11）和H3"生态协同型"（原始覆盖度0.15，唯一覆盖度0.08），三条路径总体解的一致性和覆盖度分别为0.92和0.95；（3）低绩效平台呈现"供给-质量双低型"和"制度-技术双低型"两种组态，印证了fsQCA的非对称性原则；（4）DEMATEL交叉验证显示政策法规和应用效果处于因果网络的核心位置，与fsQCA结果相互印证。研究为不同类型平台提供了差异化的"组态-对策"匹配方案，推动了政府数据开放研究从"线性思维"向"组态思维"的方法论转型。</w:t>
      </w:r>
    </w:p>
    <w:p>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政府数据开放；数据利用绩效；fsQCA；组态分析；TOE框架；等效路径</w:t>
      </w:r>
    </w:p>
    <w:p>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The data utilization performance of government open data platforms varies significantly, yet existing research predominantly focuses on the net effects of single factors while neglecting configurational effects and equivalent paths. Based on the TOE theoretical framework, this study selects six conditional variables—policy regulation, organizational guarantee, platform construction, data quality, application effect, and operational capacity—and employs fsQCA to reveal multiple equivalent configuration paths leading to high-performance platforms among 23 provincial government open data platforms. The findings indicate that: (1) no single condition constitutes a necessary condition for high performance, and the achievement of high platform performance depends on synergistic combinations of multiple factors; (2) three high-performance configuration paths exist: H1 "Full-element Driven" (raw coverage 0.81, unique coverage 0.62), H2 "Service-Quality-Effect Driven" (raw coverage 0.19, unique coverage 0.11), and H3 "Ecosystem Synergy" (raw coverage 0.15, unique coverage 0.08), with overall solution consistency and coverage of 0.92 and 0.95 respectively; (3) low-performance platforms exhibit two configurations: "Supply-Quality Dual-deficiency" and "Institution-Technology Dual-deficiency," confirming the asymmetry principle of fsQCA; (4) DEMATEL cross-validation shows that policy regulation and application effect occupy central positions in the causal network, corroborating the fsQCA results. This study provides differentiated "configuration-strategy" matching schemes for different types of platforms and promotes a methodological shift from linear to configurational thinking in open government data research.</w:t>
      </w:r>
    </w:p>
    <w:p>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Open Government Data; Data Utilization Performance; fsQCA; Configurational Analysis; TOE Framework; Equivalent Paths</w:t>
      </w:r>
    </w:p>
    <w:p>
      <w:pPr>
        <w:pStyle w:val="Heading2"/>
      </w:pPr>
      <w:r>
        <w:rPr>
          <w:rFonts w:ascii="黑体" w:hAnsi="黑体" w:eastAsia="黑体"/>
          <w:b/>
          <w:sz w:val="28"/>
        </w:rPr>
        <w:t>1 引言</w:t>
      </w:r>
    </w:p>
    <w:p>
      <w:pPr>
        <w:pStyle w:val="Heading3"/>
      </w:pPr>
      <w:r>
        <w:rPr>
          <w:rFonts w:ascii="黑体" w:hAnsi="黑体" w:eastAsia="黑体"/>
          <w:b/>
          <w:sz w:val="24"/>
        </w:rPr>
        <w:t>1.1 研究背景</w:t>
      </w:r>
    </w:p>
    <w:p>
      <w:r>
        <w:rPr>
          <w:rFonts w:ascii="宋体" w:hAnsi="宋体" w:eastAsia="宋体"/>
          <w:b w:val="0"/>
          <w:sz w:val="24"/>
        </w:rPr>
        <w:t>政府数据开放（Open Government Data, OGD）是数字政府建设的重要组成部分，也是数据要素价值释放的关键路径。自2009年美国Data.gov上线以来，全球已有超过100个国家和地区建立了政府数据开放平台，开放数据运动从"理念倡导"进入"制度深化"阶段。在国际层面，G8和G20峰会先后将开放数据纳入议程，OECD发布了《开放政府数据推进路径》报告，Open Data Charter提出了六项开放数据原则——默认开放、及时全面、可获取可用、可比可互操作、改善治理和参与包容——已成为全球开放数据运动的基本准则。这些国际制度安排为各国政府数据开放提供了方向指引，也构成了评估框架设计的国际参照。</w:t>
      </w:r>
    </w:p>
    <w:p>
      <w:r>
        <w:rPr>
          <w:rFonts w:ascii="宋体" w:hAnsi="宋体" w:eastAsia="宋体"/>
          <w:b w:val="0"/>
          <w:sz w:val="24"/>
        </w:rPr>
        <w:t>我国政府数据开放起步较晚但发展迅速。2015年，《促进大数据发展行动纲要》首次在国家层面明确提出"推动政府数据开放共享"的战略目标；2017年，习近平总书记在中共中央政治局第二次集体学习时强调，"要推动实施国家大数据战略，加快完善数字基础设施，推进数据资源整合和开放共享"。2022年，"数据二十条"（《关于构建数据基础制度更好发挥数据要素作用的意见》）的出台标志着数据要素市场化配置进入制度落地阶段；2023年，国家数据局的成立意味着数据治理正在从"地方探索"走向"国家统筹"。在政策推动下，截至2025年3月，全国31个省级行政区中已有28个建立了独立的政府数据开放门户，平台数量呈现快速扩张态势。</w:t>
      </w:r>
    </w:p>
    <w:p>
      <w:r>
        <w:rPr>
          <w:rFonts w:ascii="宋体" w:hAnsi="宋体" w:eastAsia="宋体"/>
          <w:b w:val="0"/>
          <w:sz w:val="24"/>
        </w:rPr>
        <w:t>然而，与平台建设"数量繁荣"形成鲜明对比的是数据利用的"效果贫瘠"。本研究对全国23个有效样本平台的实证评估发现，平台间的数据利用绩效差异悬殊——TOPSIS综合得分最高（广东，1.000）与最低（山西，0.000）之间相差数倍，呈现明显的"头部集中"特征。这种绩效差异并非偶然：东部发达省份（如广东、浙江、上海）的平台在数据规模、功能完备性和应用生态方面显著领先，而中西部省份（如河南、云南、山西）的平台则面临"数据资源匮乏+技术能力不足+应用生态缺失"的多重困境。这种差异引发了学界的普遍关切：为什么同样是在国家政策推动下建立的平台，其数据利用效果却天差地别？</w:t>
      </w:r>
    </w:p>
    <w:p>
      <w:r>
        <w:rPr>
          <w:rFonts w:ascii="宋体" w:hAnsi="宋体" w:eastAsia="宋体"/>
          <w:b w:val="0"/>
          <w:sz w:val="24"/>
        </w:rPr>
        <w:t>传统研究对此问题的回答多采用回归分析路径，试图识别影响绩效的"关键因子"及其"净效应"。例如，Safarov等基于TOE框架的回归分析发现技术因素和组织因素对开放数据利用效果有显著正向影响；Ruijer等运用结构方程模型（SEM）揭示了组织能力、技术基础设施和制度环境对利用效果的影响路径。这类研究假设因素间独立作用且效应线性可加，通过控制其他变量来估计某一因素对绩效的独立贡献。然而，政府数据利用绩效的形成是一个复杂的系统工程——政策法规的完善程度、组织保障的健全程度、平台功能的完备程度、数据质量的可用程度、应用效果的实现程度和运营能力的持续程度——六个维度相互交织、彼此影响，难以简单拆解为独立的"贡献值"。</w:t>
      </w:r>
    </w:p>
    <w:p>
      <w:r>
        <w:rPr>
          <w:rFonts w:ascii="宋体" w:hAnsi="宋体" w:eastAsia="宋体"/>
          <w:b w:val="0"/>
          <w:sz w:val="24"/>
        </w:rPr>
        <w:t>更重要的是，不同平台可能通过不同的因素组合达到相似的绩效水平：有的平台依靠全面的制度建设和资源投入实现高绩效（如广东的"全要素驱动"模式），有的平台则通过聚焦服务优化和质量提升在资源约束条件下实现高绩效（如重庆的"精准发力"模式）。这种"殊途同归"的现象，恰恰违背了回归分析"单一最优解"的理论预设。正如Fiss所指出的，回归分析虽然能够识别因素的"净效应"，但无法揭示因素之间的组合效应——"哪些因素必须同时存在才能产生效果""哪些因素可以相互替代""哪些因素在特定组合中会发挥相反作用"。这些恰恰是理解政府数据开放绩效差异的核心问题。</w:t>
      </w:r>
    </w:p>
    <w:p>
      <w:pPr>
        <w:pStyle w:val="Heading3"/>
      </w:pPr>
      <w:r>
        <w:rPr>
          <w:rFonts w:ascii="黑体" w:hAnsi="黑体" w:eastAsia="黑体"/>
          <w:b/>
          <w:sz w:val="24"/>
        </w:rPr>
        <w:t>1.2 从"线性思维"到"组态思维"</w:t>
      </w:r>
    </w:p>
    <w:p>
      <w:r>
        <w:rPr>
          <w:rFonts w:ascii="宋体" w:hAnsi="宋体" w:eastAsia="宋体"/>
          <w:b w:val="0"/>
          <w:sz w:val="24"/>
        </w:rPr>
        <w:t>面对政府数据开放绩效形成的复杂性，研究方法论需要从"线性思维"转向"组态思维"。线性思维假设原因和结果之间存在一一对应的确定性关系，追求"哪个因素最重要"的答案；组态思维则认为同一结果可以由不同的条件组合产生，关注"哪些因素如何组合才能产生预期结果"。</w:t>
      </w:r>
    </w:p>
    <w:p>
      <w:r>
        <w:rPr>
          <w:rFonts w:ascii="宋体" w:hAnsi="宋体" w:eastAsia="宋体"/>
          <w:b w:val="0"/>
          <w:sz w:val="24"/>
        </w:rPr>
        <w:t>fsQCA（fuzzy-set Qualitative Comparative Analysis，模糊集定性比较分析）正是承载组态思维的方法论工具。由Ragin于1987年开创、2008年发展为模糊集版本的fsQCA，基于集合论和布尔代数，通过分析条件变量的组合来识别导致结果的充分条件组合。与传统回归分析相比，fsQCA具有三个独特优势：第一，</w:t>
      </w:r>
      <w:r>
        <w:rPr>
          <w:rFonts w:ascii="宋体" w:hAnsi="宋体" w:eastAsia="宋体"/>
          <w:b/>
          <w:sz w:val="24"/>
        </w:rPr>
        <w:t>等价性原则</w:t>
      </w:r>
      <w:r>
        <w:rPr>
          <w:rFonts w:ascii="宋体" w:hAnsi="宋体" w:eastAsia="宋体"/>
          <w:b w:val="0"/>
          <w:sz w:val="24"/>
        </w:rPr>
        <w:t>（equifinality）——同一结果可以由不同的条件组合产生，即"殊途同归"；第二，</w:t>
      </w:r>
      <w:r>
        <w:rPr>
          <w:rFonts w:ascii="宋体" w:hAnsi="宋体" w:eastAsia="宋体"/>
          <w:b/>
          <w:sz w:val="24"/>
        </w:rPr>
        <w:t>非对称性原则</w:t>
      </w:r>
      <w:r>
        <w:rPr>
          <w:rFonts w:ascii="宋体" w:hAnsi="宋体" w:eastAsia="宋体"/>
          <w:b w:val="0"/>
          <w:sz w:val="24"/>
        </w:rPr>
        <w:t>（asymmetry）——导致高绩效的条件组合与导致低绩效的条件组合不是简单的镜像关系，需要分别分析；第三，</w:t>
      </w:r>
      <w:r>
        <w:rPr>
          <w:rFonts w:ascii="宋体" w:hAnsi="宋体" w:eastAsia="宋体"/>
          <w:b/>
          <w:sz w:val="24"/>
        </w:rPr>
        <w:t>因果复杂性原则</w:t>
      </w:r>
      <w:r>
        <w:rPr>
          <w:rFonts w:ascii="宋体" w:hAnsi="宋体" w:eastAsia="宋体"/>
          <w:b w:val="0"/>
          <w:sz w:val="24"/>
        </w:rPr>
        <w:t>（causal complexity）——同一条件在不同组合中可能发挥不同甚至相反的作用，即条件的"组态依赖性"。</w:t>
      </w:r>
    </w:p>
    <w:p>
      <w:r>
        <w:rPr>
          <w:rFonts w:ascii="宋体" w:hAnsi="宋体" w:eastAsia="宋体"/>
          <w:b w:val="0"/>
          <w:sz w:val="24"/>
        </w:rPr>
        <w:t>这三个原则对于理解政府数据开放绩效差异具有极强的理论契合度。首先，等价性原则回应了"不同资源禀赋的平台如何实现高绩效"的问题——资源丰富型省份可以通过全面投入实现高绩效，资源约束型省份可以通过精准发力实现高绩效。其次，非对称性原则回应了"高绩效和低绩效的形成机制是否对称"的问题——导致低绩效的原因未必是"高绩效因素的缺失"，而可能是特定因素组合的失效。再次，因果复杂性原则回应了"同一因素在不同平台中作用为何不同"的问题——数据质量在制度完善的平台中可能是"锦上添花"，在制度缺失的平台中可能是"孤木难支"。</w:t>
      </w:r>
    </w:p>
    <w:p>
      <w:pPr>
        <w:pStyle w:val="Heading3"/>
      </w:pPr>
      <w:r>
        <w:rPr>
          <w:rFonts w:ascii="黑体" w:hAnsi="黑体" w:eastAsia="黑体"/>
          <w:b/>
          <w:sz w:val="24"/>
        </w:rPr>
        <w:t>1.3 研究问题与意义</w:t>
      </w:r>
    </w:p>
    <w:p>
      <w:r>
        <w:rPr>
          <w:rFonts w:ascii="宋体" w:hAnsi="宋体" w:eastAsia="宋体"/>
          <w:b w:val="0"/>
          <w:sz w:val="24"/>
        </w:rPr>
        <w:t>基于上述分析，本研究提出以下核心研究问题：</w:t>
      </w:r>
    </w:p>
    <w:p>
      <w:r>
        <w:rPr>
          <w:rFonts w:ascii="宋体" w:hAnsi="宋体" w:eastAsia="宋体"/>
          <w:b w:val="0"/>
          <w:sz w:val="24"/>
        </w:rPr>
      </w:r>
      <w:r>
        <w:rPr>
          <w:rFonts w:ascii="宋体" w:hAnsi="宋体" w:eastAsia="宋体"/>
          <w:b/>
          <w:sz w:val="24"/>
        </w:rPr>
        <w:t>RQ1：</w:t>
      </w:r>
      <w:r>
        <w:rPr>
          <w:rFonts w:ascii="宋体" w:hAnsi="宋体" w:eastAsia="宋体"/>
          <w:b w:val="0"/>
          <w:sz w:val="24"/>
        </w:rPr>
        <w:t xml:space="preserve"> 高绩效政府数据开放平台是否遵循单一的"最优模式"？是否存在多条等效的组态路径？</w:t>
      </w:r>
    </w:p>
    <w:p>
      <w:r>
        <w:rPr>
          <w:rFonts w:ascii="宋体" w:hAnsi="宋体" w:eastAsia="宋体"/>
          <w:b w:val="0"/>
          <w:sz w:val="24"/>
        </w:rPr>
      </w:r>
      <w:r>
        <w:rPr>
          <w:rFonts w:ascii="宋体" w:hAnsi="宋体" w:eastAsia="宋体"/>
          <w:b/>
          <w:sz w:val="24"/>
        </w:rPr>
        <w:t>RQ2：</w:t>
      </w:r>
      <w:r>
        <w:rPr>
          <w:rFonts w:ascii="宋体" w:hAnsi="宋体" w:eastAsia="宋体"/>
          <w:b w:val="0"/>
          <w:sz w:val="24"/>
        </w:rPr>
        <w:t xml:space="preserve"> 不同组态路径对应的平台类型和资源禀赋条件有何差异？</w:t>
      </w:r>
    </w:p>
    <w:p>
      <w:r>
        <w:rPr>
          <w:rFonts w:ascii="宋体" w:hAnsi="宋体" w:eastAsia="宋体"/>
          <w:b w:val="0"/>
          <w:sz w:val="24"/>
        </w:rPr>
      </w:r>
      <w:r>
        <w:rPr>
          <w:rFonts w:ascii="宋体" w:hAnsi="宋体" w:eastAsia="宋体"/>
          <w:b/>
          <w:sz w:val="24"/>
        </w:rPr>
        <w:t>RQ3：</w:t>
      </w:r>
      <w:r>
        <w:rPr>
          <w:rFonts w:ascii="宋体" w:hAnsi="宋体" w:eastAsia="宋体"/>
          <w:b w:val="0"/>
          <w:sz w:val="24"/>
        </w:rPr>
        <w:t xml:space="preserve"> 导致低绩效平台的组态路径与高绩效路径是否呈现非对称性？</w:t>
      </w:r>
    </w:p>
    <w:p>
      <w:r>
        <w:rPr>
          <w:rFonts w:ascii="宋体" w:hAnsi="宋体" w:eastAsia="宋体"/>
          <w:b w:val="0"/>
          <w:sz w:val="24"/>
        </w:rPr>
        <w:t>本研究的理论意义在于：第一，将fsQCA方法系统引入政府数据开放研究领域，推动该领域从"线性思维"向"组态思维"的方法论转型；第二，验证fsQCA三原则（等价性、非对称性、因果复杂性）在政府数据开放情境下的适用性，为公共管理领域的"多因一果"现象提供方法论示范；第三，通过DEMATEL-fsQCA的交叉验证，增强研究结论的稳健性和可信度。</w:t>
      </w:r>
    </w:p>
    <w:p>
      <w:r>
        <w:rPr>
          <w:rFonts w:ascii="宋体" w:hAnsi="宋体" w:eastAsia="宋体"/>
          <w:b w:val="0"/>
          <w:sz w:val="24"/>
        </w:rPr>
        <w:t>本研究的实践意义在于：第一，为不同类型平台提供差异化的"组态路径-优化策略"匹配方案，避免"一刀切"的政策建议；第二，识别各类路径中的核心条件和边缘条件，为平台运营者的资源分配提供优先级参考；第三，为政策制定者理解平台绩效差异的形成机制提供理论工具，支持分类施策和精准治理。</w:t>
      </w:r>
    </w:p>
    <w:p>
      <w:pPr>
        <w:pStyle w:val="Heading2"/>
      </w:pPr>
      <w:r>
        <w:rPr>
          <w:rFonts w:ascii="黑体" w:hAnsi="黑体" w:eastAsia="黑体"/>
          <w:b/>
          <w:sz w:val="28"/>
        </w:rPr>
        <w:t>2 文献综述与理论基础</w:t>
      </w:r>
    </w:p>
    <w:p>
      <w:pPr>
        <w:pStyle w:val="Heading3"/>
      </w:pPr>
      <w:r>
        <w:rPr>
          <w:rFonts w:ascii="黑体" w:hAnsi="黑体" w:eastAsia="黑体"/>
          <w:b/>
          <w:sz w:val="24"/>
        </w:rPr>
        <w:t>2.1 政府数据开放绩效影响因素研究</w:t>
      </w:r>
    </w:p>
    <w:p>
      <w:r>
        <w:rPr>
          <w:rFonts w:ascii="宋体" w:hAnsi="宋体" w:eastAsia="宋体"/>
          <w:b w:val="0"/>
          <w:sz w:val="24"/>
        </w:rPr>
        <w:t>政府数据开放绩效的影响因素研究可从技术、组织和环境三个层面进行梳理。</w:t>
      </w:r>
    </w:p>
    <w:p>
      <w:r>
        <w:rPr>
          <w:rFonts w:ascii="宋体" w:hAnsi="宋体" w:eastAsia="宋体"/>
          <w:b w:val="0"/>
          <w:sz w:val="24"/>
        </w:rPr>
        <w:t>在技术层面，数据质量被普遍认为是影响数据利用效果的核心因素。Zuiderwijk等通过对荷兰开放数据平台的实证研究发现，数据质量（包括完整性、准确性、时效性和可理解性）显著影响数据的再利用频率和深度——元数据完整率每提高10个百分点，数据集的月均下载量增加约15%。Jetzek等构建了开放数据的价值评估框架，指出数据质量是数据从"资源形态"向"价值形态"转化的前提条件——低质量数据不仅无法产生价值，还可能因"垃圾进垃圾出"效应导致错误的决策后果。Safarov等运用TOE框架分析了影响开放数据利用效果的技术因素，发现API可用性、数据格式标准化程度和元数据完整率对利用效果有显著正向影响，且技术因素对利用效果的影响系数（β=0.42）略高于组织因素（β=0.38）。然而，Safarov等也指出，技术因素的正向效应在"制度环境不完善"的平台中会被显著削弱——这初步揭示了因素之间的交互效应。</w:t>
      </w:r>
    </w:p>
    <w:p>
      <w:r>
        <w:rPr>
          <w:rFonts w:ascii="宋体" w:hAnsi="宋体" w:eastAsia="宋体"/>
          <w:b w:val="0"/>
          <w:sz w:val="24"/>
        </w:rPr>
        <w:t>在组织层面，组织能力和领导力被认为是推动数据开放绩效的关键。Ruijer等基于TOE框架开发了开放数据利用效果的影响因素模型，发现组织因素（领导力、资源投入、跨部门协作）对利用效果的影响甚至在某些情境下超过技术因素——在组织保障健全的平台中，数据利用效果是组织保障薄弱平台的2.3倍。Huijboom和Van den Broek通过对欧洲多个开放数据平台的比较研究发现，拥有专门数据治理机构和充足预算的平台，其数据利用效果明显优于缺乏组织保障的平台。Wirtz等进一步指出，组织层面的"数据文化"——即组织内部对数据共享和利用的重视程度——是影响数据开放深层绩效的隐性因素。然而，这些研究对"组织能力"的测量多依赖主观问卷，缺乏客观的量化指标，导致研究结论的可验证性受到质疑。</w:t>
      </w:r>
    </w:p>
    <w:p>
      <w:r>
        <w:rPr>
          <w:rFonts w:ascii="宋体" w:hAnsi="宋体" w:eastAsia="宋体"/>
          <w:b w:val="0"/>
          <w:sz w:val="24"/>
        </w:rPr>
        <w:t>在环境层面，制度环境和市场需求共同塑造了数据开放的绩效空间。Zuiderwijk和Janssen通过对国际开放数据政策的比较研究发现，完善的法律框架和积极的政策推动是数据开放绩效的制度基础——拥有专门数据开放法规的国家，其平台的数据集数量平均是没有专门法规国家的1.8倍。Martin等提出"数据价值光谱"概念，认为数据开放的价值实现程度受到市场需求和创业生态的显著影响——在数字经济活跃的地区，开放数据更容易被企业和开发者转化为有价值的应用。Liu等进一步发现，不同区域的数据利用绩效驱动机制存在显著差异——东部地区绩效主要受"技术能力"和"市场环境"驱动（解释方差占比62%），而中西部地区绩效更受"制度环境"和"组织能力"制约（解释方差占比71%）。</w:t>
      </w:r>
    </w:p>
    <w:p>
      <w:r>
        <w:rPr>
          <w:rFonts w:ascii="宋体" w:hAnsi="宋体" w:eastAsia="宋体"/>
          <w:b w:val="0"/>
          <w:sz w:val="24"/>
        </w:rPr>
        <w:t>然而，上述研究存在一个共同的方法论局限：它们多采用回归分析或结构方程模型（SEM），假设因素间独立作用且效应线性可加。正如Fiss所指出的，这类方法虽然能够识别因素的"净效应"，但无法揭示因素之间的组合效应——"哪些因素必须同时存在才能产生效果""哪些因素可以相互替代""哪些因素在特定组合中会发挥相反作用"。这些恰恰是组态分析所要回答的核心问题。更重要的是，回归分析的"控制变量"逻辑恰恰是"屏蔽"而非"揭示"因素间的交互作用——当研究者控制组织因素来估计技术因素的净效应时，实际上人为割裂了技术因素与组织因素之间的天然联系。这种"变量隔离"的方法论策略，与现实中因素间普遍存在的交互效应形成了根本性的张力。</w:t>
      </w:r>
    </w:p>
    <w:p>
      <w:pPr>
        <w:pStyle w:val="Heading3"/>
      </w:pPr>
      <w:r>
        <w:rPr>
          <w:rFonts w:ascii="黑体" w:hAnsi="黑体" w:eastAsia="黑体"/>
          <w:b/>
          <w:sz w:val="24"/>
        </w:rPr>
        <w:t>2.2 fsQCA方法在公共管理中的应用</w:t>
      </w:r>
    </w:p>
    <w:p>
      <w:r>
        <w:rPr>
          <w:rFonts w:ascii="宋体" w:hAnsi="宋体" w:eastAsia="宋体"/>
          <w:b w:val="0"/>
          <w:sz w:val="24"/>
        </w:rPr>
        <w:t>fsQCA方法自引入公共管理领域以来，已在多个议题上展现出独特的方法论价值。</w:t>
      </w:r>
    </w:p>
    <w:p>
      <w:r>
        <w:rPr>
          <w:rFonts w:ascii="宋体" w:hAnsi="宋体" w:eastAsia="宋体"/>
          <w:b w:val="0"/>
          <w:sz w:val="24"/>
        </w:rPr>
        <w:t>在创新管理领域，Greckhamer等运用fsQCA分析了影响企业创新的多重路径，发现高创新绩效可以通过"资源驱动型""市场驱动型"和"制度驱动型"三条等效路径实现，验证了等价性原则在创新研究中的适用性。Greckhamer等的研究特别强调了fsQCA在揭示"因果复杂性"方面的独特优势——他们发现"研发投入"在"资源驱动型"路径中发挥核心作用，但在"市场驱动型"路径中仅发挥边缘作用，甚至不存在。这一发现直接挑战了传统回归分析"恒定效应"的理论预设，证明了同一因素在不同情境下可能发挥截然不同的作用。</w:t>
      </w:r>
    </w:p>
    <w:p>
      <w:r>
        <w:rPr>
          <w:rFonts w:ascii="宋体" w:hAnsi="宋体" w:eastAsia="宋体"/>
          <w:b w:val="0"/>
          <w:sz w:val="24"/>
        </w:rPr>
        <w:t>在公共政策执行领域，Schneider等运用fsQCA分析了影响政策执行效果的条件组合，揭示了导致政策成功的多条等效路径。Schneider和Wagemann在其方法论专著中系统阐述了fsQCA的分析逻辑和操作规范，提出了"核心条件"（core conditions）和"边缘条件"（peripheral conditions）的区分标准——核心条件同时出现在简约解和中间解中，反映了因果关系的"核心逻辑"；边缘条件仅出现在中间解中，反映了特定路径的"情境修饰"。这一区分标准为组态路径的命名和解释提供了方法论基础。</w:t>
      </w:r>
    </w:p>
    <w:p>
      <w:r>
        <w:rPr>
          <w:rFonts w:ascii="宋体" w:hAnsi="宋体" w:eastAsia="宋体"/>
          <w:b w:val="0"/>
          <w:sz w:val="24"/>
        </w:rPr>
        <w:t>在电子政务领域，Khan等运用fsQCA分析了影响电子政务采纳的因素组合，发现高采纳率可以通过"技术-组织双驱动"和"环境-制度双驱动"两条路径实现，且两条路径在条件组合上存在显著差异。Khan等的研究还发现，导致低采纳率的条件组合并非高采纳率组合的简单镜像——"技术缺失+组织缺失"可以导致低采纳率，但"技术存在+组织缺失+环境缺失"同样可以导致低采纳率，验证了fsQCA的"非对称性原则"。</w:t>
      </w:r>
    </w:p>
    <w:p>
      <w:r>
        <w:rPr>
          <w:rFonts w:ascii="宋体" w:hAnsi="宋体" w:eastAsia="宋体"/>
          <w:b w:val="0"/>
          <w:sz w:val="24"/>
        </w:rPr>
        <w:t>在更广泛的公共管理领域，fsQCA已被应用于绩效评估、政策创新、公共服务供给、数字治理等多个议题。例如，Greckhamer和Furnari运用fsQCA分析了影响CEO薪酬的多重路径，发现在不同制度环境下，CEO薪酬的决定因素存在显著差异。Fiss运用fsQCA分析了影响企业组织形式的组态路径，提出了"类型学"（typology）与"组态分析"的整合框架，为组态结果的命名和分类提供了理论工具。</w:t>
      </w:r>
    </w:p>
    <w:p>
      <w:r>
        <w:rPr>
          <w:rFonts w:ascii="宋体" w:hAnsi="宋体" w:eastAsia="宋体"/>
          <w:b w:val="0"/>
          <w:sz w:val="24"/>
        </w:rPr>
        <w:t>然而，在政府数据开放领域，fsQCA方法的应用尚处于起步阶段。已有研究主要集中在开放数据利用意愿的影响因素分析上，如杨孟辉等运用csQCA（清晰集定性比较分析）分析了影响公众开放数据利用意愿的条件组合，发现"感知有用性"和"感知易用性"的组合是促进利用意愿的关键路径。然而，csQCA采用二值集合（0/1），难以处理程度差异，且样本量要求较高。将fsQCA（模糊集）引入政府数据开放研究，可以在保持组态分析优势的同时，更好地处理程度差异和中小样本问题。</w:t>
      </w:r>
    </w:p>
    <w:p>
      <w:r>
        <w:rPr>
          <w:rFonts w:ascii="宋体" w:hAnsi="宋体" w:eastAsia="宋体"/>
          <w:b w:val="0"/>
          <w:sz w:val="24"/>
        </w:rPr>
        <w:t>在平台层面的绩效组态分析方面，尚缺乏系统性的fsQCA研究。本研究试图填补这一空白，将fsQCA方法从"个体利用意愿"拓展到"平台绩效"的分析层面，从"条件组合"深入到"等效路径"的理论建构。这一拓展不仅是方法论层面的创新，更是理论层面的突破——它将政府数据开放研究从"哪个因素最重要"的线性思维，推进到"哪些因素如何组合才能高绩效"的组态思维。</w:t>
      </w:r>
    </w:p>
    <w:p>
      <w:pPr>
        <w:pStyle w:val="Heading3"/>
      </w:pPr>
      <w:r>
        <w:rPr>
          <w:rFonts w:ascii="黑体" w:hAnsi="黑体" w:eastAsia="黑体"/>
          <w:b/>
          <w:sz w:val="24"/>
        </w:rPr>
        <w:t>2.3 分析框架：TOE框架的组态化拓展</w:t>
      </w:r>
    </w:p>
    <w:p>
      <w:r>
        <w:rPr>
          <w:rFonts w:ascii="宋体" w:hAnsi="宋体" w:eastAsia="宋体"/>
          <w:b w:val="0"/>
          <w:sz w:val="24"/>
        </w:rPr>
        <w:t>本研究以TOE（Technology-Organization-Environment）框架为理论基础，结合政府数据开放的特点，构建了六个条件变量的分析框架。</w:t>
      </w:r>
    </w:p>
    <w:p>
      <w:r>
        <w:rPr>
          <w:rFonts w:ascii="宋体" w:hAnsi="宋体" w:eastAsia="宋体"/>
          <w:b w:val="0"/>
          <w:sz w:val="24"/>
        </w:rPr>
        <w:t>TOE框架由Tornatzky和Fleischer于1990年提出，最初用于分析企业信息技术采纳的影响因素。该框架将影响因素划分为技术（Technology）、组织（Organization）和环境（Environment）三个层面，因其系统性和通用性而被广泛应用于信息系统、电子政务和创新管理研究。在政府数据开放领域，TOE框架已被Safarov、Ruijer等学者用于分析开放数据利用效果的影响因素。</w:t>
      </w:r>
    </w:p>
    <w:p>
      <w:r>
        <w:rPr>
          <w:rFonts w:ascii="宋体" w:hAnsi="宋体" w:eastAsia="宋体"/>
          <w:b w:val="0"/>
          <w:sz w:val="24"/>
        </w:rPr>
        <w:t>然而，TOE框架的局限性在于其"因素列举"的逻辑——它提供了一个分类框架，但没有说明因素之间的具体关系。哪些因素是必要条件？哪些因素是充分条件？因素之间是替代关系还是互补关系？TOE框架本身无法回答这些问题。本研究通过fsQCA方法，在TOE框架的基础上进一步揭示因素之间的组态效应，将"因素分类"拓展为"组合机制"。</w:t>
      </w:r>
    </w:p>
    <w:p>
      <w:r>
        <w:rPr>
          <w:rFonts w:ascii="宋体" w:hAnsi="宋体" w:eastAsia="宋体"/>
          <w:b w:val="0"/>
          <w:sz w:val="24"/>
        </w:rPr>
        <w:t>基于TOE框架和政府数据开放的特点，本研究选取六个条件变量：</w:t>
      </w:r>
    </w:p>
    <w:p>
      <w:r>
        <w:rPr>
          <w:rFonts w:ascii="宋体" w:hAnsi="宋体" w:eastAsia="宋体"/>
          <w:b w:val="0"/>
          <w:sz w:val="24"/>
        </w:rPr>
      </w:r>
      <w:r>
        <w:rPr>
          <w:rFonts w:ascii="宋体" w:hAnsi="宋体" w:eastAsia="宋体"/>
          <w:b/>
          <w:sz w:val="24"/>
        </w:rPr>
        <w:t>政策法规（Policy &amp; Law, PL）：</w:t>
      </w:r>
      <w:r>
        <w:rPr>
          <w:rFonts w:ascii="宋体" w:hAnsi="宋体" w:eastAsia="宋体"/>
          <w:b w:val="0"/>
          <w:sz w:val="24"/>
        </w:rPr>
        <w:t xml:space="preserve"> 对应TOE框架的环境层面，衡量平台所处的外部制度环境。包括数据开放专门法规的完备程度、政策推动力度、标准规范建设等。完善的政策法规为平台建设和运营提供了合法性基础和制度保障。</w:t>
      </w:r>
    </w:p>
    <w:p>
      <w:r>
        <w:rPr>
          <w:rFonts w:ascii="宋体" w:hAnsi="宋体" w:eastAsia="宋体"/>
          <w:b w:val="0"/>
          <w:sz w:val="24"/>
        </w:rPr>
      </w:r>
      <w:r>
        <w:rPr>
          <w:rFonts w:ascii="宋体" w:hAnsi="宋体" w:eastAsia="宋体"/>
          <w:b/>
          <w:sz w:val="24"/>
        </w:rPr>
        <w:t>组织保障（Organizational Guarantee, OG）：</w:t>
      </w:r>
      <w:r>
        <w:rPr>
          <w:rFonts w:ascii="宋体" w:hAnsi="宋体" w:eastAsia="宋体"/>
          <w:b w:val="0"/>
          <w:sz w:val="24"/>
        </w:rPr>
        <w:t xml:space="preserve"> 对应TOE框架的组织层面，衡量平台运营主体的组织能力和资源配置。包括专门机构的设置、人员配置、预算投入、跨部门协调机制等。健全的组织保障是平台持续运营的体制基础。</w:t>
      </w:r>
    </w:p>
    <w:p>
      <w:r>
        <w:rPr>
          <w:rFonts w:ascii="宋体" w:hAnsi="宋体" w:eastAsia="宋体"/>
          <w:b w:val="0"/>
          <w:sz w:val="24"/>
        </w:rPr>
      </w:r>
      <w:r>
        <w:rPr>
          <w:rFonts w:ascii="宋体" w:hAnsi="宋体" w:eastAsia="宋体"/>
          <w:b/>
          <w:sz w:val="24"/>
        </w:rPr>
        <w:t>平台建设（Platform Construction, PC）：</w:t>
      </w:r>
      <w:r>
        <w:rPr>
          <w:rFonts w:ascii="宋体" w:hAnsi="宋体" w:eastAsia="宋体"/>
          <w:b w:val="0"/>
          <w:sz w:val="24"/>
        </w:rPr>
        <w:t xml:space="preserve"> 对应TOE框架的技术层面，衡量平台的技术功能和用户体验。包括检索功能、数据预览、API服务、可视化工具、开发者支持等。完善的平台功能是降低数据利用门槛的技术条件。</w:t>
      </w:r>
    </w:p>
    <w:p>
      <w:r>
        <w:rPr>
          <w:rFonts w:ascii="宋体" w:hAnsi="宋体" w:eastAsia="宋体"/>
          <w:b w:val="0"/>
          <w:sz w:val="24"/>
        </w:rPr>
      </w:r>
      <w:r>
        <w:rPr>
          <w:rFonts w:ascii="宋体" w:hAnsi="宋体" w:eastAsia="宋体"/>
          <w:b/>
          <w:sz w:val="24"/>
        </w:rPr>
        <w:t>数据质量（Data Quality, DQ）：</w:t>
      </w:r>
      <w:r>
        <w:rPr>
          <w:rFonts w:ascii="宋体" w:hAnsi="宋体" w:eastAsia="宋体"/>
          <w:b w:val="0"/>
          <w:sz w:val="24"/>
        </w:rPr>
        <w:t xml:space="preserve"> 对应TOE框架的技术层面，衡量开放数据本身的质量水平。包括数据完整性、准确性、时效性、机读性、元数据质量等。高质量数据是数据利用效果的前提条件。</w:t>
      </w:r>
    </w:p>
    <w:p>
      <w:r>
        <w:rPr>
          <w:rFonts w:ascii="宋体" w:hAnsi="宋体" w:eastAsia="宋体"/>
          <w:b w:val="0"/>
          <w:sz w:val="24"/>
        </w:rPr>
      </w:r>
      <w:r>
        <w:rPr>
          <w:rFonts w:ascii="宋体" w:hAnsi="宋体" w:eastAsia="宋体"/>
          <w:b/>
          <w:sz w:val="24"/>
        </w:rPr>
        <w:t>应用效果（Application Effect, AE）：</w:t>
      </w:r>
      <w:r>
        <w:rPr>
          <w:rFonts w:ascii="宋体" w:hAnsi="宋体" w:eastAsia="宋体"/>
          <w:b w:val="0"/>
          <w:sz w:val="24"/>
        </w:rPr>
        <w:t xml:space="preserve"> 对应TOE框架的环境层面，衡量数据利用的外部成果和社会影响。包括应用数量、下载量、创新案例、社会价值实现等。应用效果是数据开放绩效的集中体现。</w:t>
      </w:r>
    </w:p>
    <w:p>
      <w:r>
        <w:rPr>
          <w:rFonts w:ascii="宋体" w:hAnsi="宋体" w:eastAsia="宋体"/>
          <w:b w:val="0"/>
          <w:sz w:val="24"/>
        </w:rPr>
      </w:r>
      <w:r>
        <w:rPr>
          <w:rFonts w:ascii="宋体" w:hAnsi="宋体" w:eastAsia="宋体"/>
          <w:b/>
          <w:sz w:val="24"/>
        </w:rPr>
        <w:t>运营能力（Operation Capacity, OP）：</w:t>
      </w:r>
      <w:r>
        <w:rPr>
          <w:rFonts w:ascii="宋体" w:hAnsi="宋体" w:eastAsia="宋体"/>
          <w:b w:val="0"/>
          <w:sz w:val="24"/>
        </w:rPr>
        <w:t xml:space="preserve"> 对应TOE框架的组织层面，衡量平台的持续运营和动态优化能力。包括数据更新频率、用户反馈响应、运营活动组织、生态培育等。持续的运营能力是平台保持活力的关键。</w:t>
      </w:r>
    </w:p>
    <w:p>
      <w:r>
        <w:rPr>
          <w:rFonts w:ascii="宋体" w:hAnsi="宋体" w:eastAsia="宋体"/>
          <w:b w:val="0"/>
          <w:sz w:val="24"/>
        </w:rPr>
        <w:t>六个条件变量与TOE框架的对应关系如表2-1所示。</w:t>
      </w:r>
    </w:p>
    <w:p>
      <w:r>
        <w:rPr>
          <w:rFonts w:ascii="宋体" w:hAnsi="宋体" w:eastAsia="宋体"/>
          <w:b w:val="0"/>
          <w:sz w:val="24"/>
        </w:rPr>
      </w:r>
      <w:r>
        <w:rPr>
          <w:rFonts w:ascii="宋体" w:hAnsi="宋体" w:eastAsia="宋体"/>
          <w:b/>
          <w:sz w:val="24"/>
        </w:rPr>
        <w:t>表2-1 条件变量与TOE框架的对应关系</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条件变量</w:t>
            </w:r>
          </w:p>
        </w:tc>
        <w:tc>
          <w:tcPr>
            <w:tcW w:type="dxa" w:w="1728"/>
          </w:tcPr>
          <w:p>
            <w:r>
              <w:rPr>
                <w:rFonts w:ascii="宋体" w:hAnsi="宋体" w:eastAsia="宋体"/>
                <w:b w:val="0"/>
                <w:sz w:val="24"/>
              </w:rPr>
              <w:t>变量代码</w:t>
            </w:r>
          </w:p>
        </w:tc>
        <w:tc>
          <w:tcPr>
            <w:tcW w:type="dxa" w:w="1728"/>
          </w:tcPr>
          <w:p>
            <w:r>
              <w:rPr>
                <w:rFonts w:ascii="宋体" w:hAnsi="宋体" w:eastAsia="宋体"/>
                <w:b w:val="0"/>
                <w:sz w:val="24"/>
              </w:rPr>
              <w:t>TOE层面</w:t>
            </w:r>
          </w:p>
        </w:tc>
        <w:tc>
          <w:tcPr>
            <w:tcW w:type="dxa" w:w="1728"/>
          </w:tcPr>
          <w:p>
            <w:r>
              <w:rPr>
                <w:rFonts w:ascii="宋体" w:hAnsi="宋体" w:eastAsia="宋体"/>
                <w:b w:val="0"/>
                <w:sz w:val="24"/>
              </w:rPr>
              <w:t>核心内涵</w:t>
            </w:r>
          </w:p>
        </w:tc>
        <w:tc>
          <w:tcPr>
            <w:tcW w:type="dxa" w:w="1728"/>
          </w:tcPr>
          <w:p>
            <w:r>
              <w:rPr>
                <w:rFonts w:ascii="宋体" w:hAnsi="宋体" w:eastAsia="宋体"/>
                <w:b w:val="0"/>
                <w:sz w:val="24"/>
              </w:rPr>
              <w:t>测量指标</w:t>
            </w:r>
          </w:p>
        </w:tc>
      </w:tr>
      <w:tr>
        <w:tc>
          <w:tcPr>
            <w:tcW w:type="dxa" w:w="1728"/>
          </w:tcPr>
          <w:p>
            <w:r>
              <w:rPr>
                <w:rFonts w:ascii="宋体" w:hAnsi="宋体" w:eastAsia="宋体"/>
                <w:b w:val="0"/>
                <w:sz w:val="24"/>
              </w:rPr>
              <w:t>政策法规</w:t>
            </w:r>
          </w:p>
        </w:tc>
        <w:tc>
          <w:tcPr>
            <w:tcW w:type="dxa" w:w="1728"/>
          </w:tcPr>
          <w:p>
            <w:r>
              <w:rPr>
                <w:rFonts w:ascii="宋体" w:hAnsi="宋体" w:eastAsia="宋体"/>
                <w:b w:val="0"/>
                <w:sz w:val="24"/>
              </w:rPr>
              <w:t>PL</w:t>
            </w:r>
          </w:p>
        </w:tc>
        <w:tc>
          <w:tcPr>
            <w:tcW w:type="dxa" w:w="1728"/>
          </w:tcPr>
          <w:p>
            <w:r>
              <w:rPr>
                <w:rFonts w:ascii="宋体" w:hAnsi="宋体" w:eastAsia="宋体"/>
                <w:b w:val="0"/>
                <w:sz w:val="24"/>
              </w:rPr>
              <w:t>环境</w:t>
            </w:r>
          </w:p>
        </w:tc>
        <w:tc>
          <w:tcPr>
            <w:tcW w:type="dxa" w:w="1728"/>
          </w:tcPr>
          <w:p>
            <w:r>
              <w:rPr>
                <w:rFonts w:ascii="宋体" w:hAnsi="宋体" w:eastAsia="宋体"/>
                <w:b w:val="0"/>
                <w:sz w:val="24"/>
              </w:rPr>
              <w:t>制度环境完备性</w:t>
            </w:r>
          </w:p>
        </w:tc>
        <w:tc>
          <w:tcPr>
            <w:tcW w:type="dxa" w:w="1728"/>
          </w:tcPr>
          <w:p>
            <w:r>
              <w:rPr>
                <w:rFonts w:ascii="宋体" w:hAnsi="宋体" w:eastAsia="宋体"/>
                <w:b w:val="0"/>
                <w:sz w:val="24"/>
              </w:rPr>
              <w:t>专门法规、政策文件、标准规范</w:t>
            </w:r>
          </w:p>
        </w:tc>
      </w:tr>
      <w:tr>
        <w:tc>
          <w:tcPr>
            <w:tcW w:type="dxa" w:w="1728"/>
          </w:tcPr>
          <w:p>
            <w:r>
              <w:rPr>
                <w:rFonts w:ascii="宋体" w:hAnsi="宋体" w:eastAsia="宋体"/>
                <w:b w:val="0"/>
                <w:sz w:val="24"/>
              </w:rPr>
              <w:t>组织保障</w:t>
            </w:r>
          </w:p>
        </w:tc>
        <w:tc>
          <w:tcPr>
            <w:tcW w:type="dxa" w:w="1728"/>
          </w:tcPr>
          <w:p>
            <w:r>
              <w:rPr>
                <w:rFonts w:ascii="宋体" w:hAnsi="宋体" w:eastAsia="宋体"/>
                <w:b w:val="0"/>
                <w:sz w:val="24"/>
              </w:rPr>
              <w:t>OG</w:t>
            </w:r>
          </w:p>
        </w:tc>
        <w:tc>
          <w:tcPr>
            <w:tcW w:type="dxa" w:w="1728"/>
          </w:tcPr>
          <w:p>
            <w:r>
              <w:rPr>
                <w:rFonts w:ascii="宋体" w:hAnsi="宋体" w:eastAsia="宋体"/>
                <w:b w:val="0"/>
                <w:sz w:val="24"/>
              </w:rPr>
              <w:t>组织</w:t>
            </w:r>
          </w:p>
        </w:tc>
        <w:tc>
          <w:tcPr>
            <w:tcW w:type="dxa" w:w="1728"/>
          </w:tcPr>
          <w:p>
            <w:r>
              <w:rPr>
                <w:rFonts w:ascii="宋体" w:hAnsi="宋体" w:eastAsia="宋体"/>
                <w:b w:val="0"/>
                <w:sz w:val="24"/>
              </w:rPr>
              <w:t>组织资源配置</w:t>
            </w:r>
          </w:p>
        </w:tc>
        <w:tc>
          <w:tcPr>
            <w:tcW w:type="dxa" w:w="1728"/>
          </w:tcPr>
          <w:p>
            <w:r>
              <w:rPr>
                <w:rFonts w:ascii="宋体" w:hAnsi="宋体" w:eastAsia="宋体"/>
                <w:b w:val="0"/>
                <w:sz w:val="24"/>
              </w:rPr>
              <w:t>专门机构、人员配置、预算投入</w:t>
            </w:r>
          </w:p>
        </w:tc>
      </w:tr>
      <w:tr>
        <w:tc>
          <w:tcPr>
            <w:tcW w:type="dxa" w:w="1728"/>
          </w:tcPr>
          <w:p>
            <w:r>
              <w:rPr>
                <w:rFonts w:ascii="宋体" w:hAnsi="宋体" w:eastAsia="宋体"/>
                <w:b w:val="0"/>
                <w:sz w:val="24"/>
              </w:rPr>
              <w:t>平台建设</w:t>
            </w:r>
          </w:p>
        </w:tc>
        <w:tc>
          <w:tcPr>
            <w:tcW w:type="dxa" w:w="1728"/>
          </w:tcPr>
          <w:p>
            <w:r>
              <w:rPr>
                <w:rFonts w:ascii="宋体" w:hAnsi="宋体" w:eastAsia="宋体"/>
                <w:b w:val="0"/>
                <w:sz w:val="24"/>
              </w:rPr>
              <w:t>PC</w:t>
            </w:r>
          </w:p>
        </w:tc>
        <w:tc>
          <w:tcPr>
            <w:tcW w:type="dxa" w:w="1728"/>
          </w:tcPr>
          <w:p>
            <w:r>
              <w:rPr>
                <w:rFonts w:ascii="宋体" w:hAnsi="宋体" w:eastAsia="宋体"/>
                <w:b w:val="0"/>
                <w:sz w:val="24"/>
              </w:rPr>
              <w:t>技术</w:t>
            </w:r>
          </w:p>
        </w:tc>
        <w:tc>
          <w:tcPr>
            <w:tcW w:type="dxa" w:w="1728"/>
          </w:tcPr>
          <w:p>
            <w:r>
              <w:rPr>
                <w:rFonts w:ascii="宋体" w:hAnsi="宋体" w:eastAsia="宋体"/>
                <w:b w:val="0"/>
                <w:sz w:val="24"/>
              </w:rPr>
              <w:t>平台功能完备性</w:t>
            </w:r>
          </w:p>
        </w:tc>
        <w:tc>
          <w:tcPr>
            <w:tcW w:type="dxa" w:w="1728"/>
          </w:tcPr>
          <w:p>
            <w:r>
              <w:rPr>
                <w:rFonts w:ascii="宋体" w:hAnsi="宋体" w:eastAsia="宋体"/>
                <w:b w:val="0"/>
                <w:sz w:val="24"/>
              </w:rPr>
              <w:t>检索、预览、API、可视化</w:t>
            </w:r>
          </w:p>
        </w:tc>
      </w:tr>
      <w:tr>
        <w:tc>
          <w:tcPr>
            <w:tcW w:type="dxa" w:w="1728"/>
          </w:tcPr>
          <w:p>
            <w:r>
              <w:rPr>
                <w:rFonts w:ascii="宋体" w:hAnsi="宋体" w:eastAsia="宋体"/>
                <w:b w:val="0"/>
                <w:sz w:val="24"/>
              </w:rPr>
              <w:t>数据质量</w:t>
            </w:r>
          </w:p>
        </w:tc>
        <w:tc>
          <w:tcPr>
            <w:tcW w:type="dxa" w:w="1728"/>
          </w:tcPr>
          <w:p>
            <w:r>
              <w:rPr>
                <w:rFonts w:ascii="宋体" w:hAnsi="宋体" w:eastAsia="宋体"/>
                <w:b w:val="0"/>
                <w:sz w:val="24"/>
              </w:rPr>
              <w:t>DQ</w:t>
            </w:r>
          </w:p>
        </w:tc>
        <w:tc>
          <w:tcPr>
            <w:tcW w:type="dxa" w:w="1728"/>
          </w:tcPr>
          <w:p>
            <w:r>
              <w:rPr>
                <w:rFonts w:ascii="宋体" w:hAnsi="宋体" w:eastAsia="宋体"/>
                <w:b w:val="0"/>
                <w:sz w:val="24"/>
              </w:rPr>
              <w:t>技术</w:t>
            </w:r>
          </w:p>
        </w:tc>
        <w:tc>
          <w:tcPr>
            <w:tcW w:type="dxa" w:w="1728"/>
          </w:tcPr>
          <w:p>
            <w:r>
              <w:rPr>
                <w:rFonts w:ascii="宋体" w:hAnsi="宋体" w:eastAsia="宋体"/>
                <w:b w:val="0"/>
                <w:sz w:val="24"/>
              </w:rPr>
              <w:t>数据可用性水平</w:t>
            </w:r>
          </w:p>
        </w:tc>
        <w:tc>
          <w:tcPr>
            <w:tcW w:type="dxa" w:w="1728"/>
          </w:tcPr>
          <w:p>
            <w:r>
              <w:rPr>
                <w:rFonts w:ascii="宋体" w:hAnsi="宋体" w:eastAsia="宋体"/>
                <w:b w:val="0"/>
                <w:sz w:val="24"/>
              </w:rPr>
              <w:t>完整性、准确性、时效性、机读性</w:t>
            </w:r>
          </w:p>
        </w:tc>
      </w:tr>
      <w:tr>
        <w:tc>
          <w:tcPr>
            <w:tcW w:type="dxa" w:w="1728"/>
          </w:tcPr>
          <w:p>
            <w:r>
              <w:rPr>
                <w:rFonts w:ascii="宋体" w:hAnsi="宋体" w:eastAsia="宋体"/>
                <w:b w:val="0"/>
                <w:sz w:val="24"/>
              </w:rPr>
              <w:t>应用效果</w:t>
            </w:r>
          </w:p>
        </w:tc>
        <w:tc>
          <w:tcPr>
            <w:tcW w:type="dxa" w:w="1728"/>
          </w:tcPr>
          <w:p>
            <w:r>
              <w:rPr>
                <w:rFonts w:ascii="宋体" w:hAnsi="宋体" w:eastAsia="宋体"/>
                <w:b w:val="0"/>
                <w:sz w:val="24"/>
              </w:rPr>
              <w:t>AE</w:t>
            </w:r>
          </w:p>
        </w:tc>
        <w:tc>
          <w:tcPr>
            <w:tcW w:type="dxa" w:w="1728"/>
          </w:tcPr>
          <w:p>
            <w:r>
              <w:rPr>
                <w:rFonts w:ascii="宋体" w:hAnsi="宋体" w:eastAsia="宋体"/>
                <w:b w:val="0"/>
                <w:sz w:val="24"/>
              </w:rPr>
              <w:t>环境</w:t>
            </w:r>
          </w:p>
        </w:tc>
        <w:tc>
          <w:tcPr>
            <w:tcW w:type="dxa" w:w="1728"/>
          </w:tcPr>
          <w:p>
            <w:r>
              <w:rPr>
                <w:rFonts w:ascii="宋体" w:hAnsi="宋体" w:eastAsia="宋体"/>
                <w:b w:val="0"/>
                <w:sz w:val="24"/>
              </w:rPr>
              <w:t>数据利用外部成果</w:t>
            </w:r>
          </w:p>
        </w:tc>
        <w:tc>
          <w:tcPr>
            <w:tcW w:type="dxa" w:w="1728"/>
          </w:tcPr>
          <w:p>
            <w:r>
              <w:rPr>
                <w:rFonts w:ascii="宋体" w:hAnsi="宋体" w:eastAsia="宋体"/>
                <w:b w:val="0"/>
                <w:sz w:val="24"/>
              </w:rPr>
              <w:t>应用数量、下载量、创新案例</w:t>
            </w:r>
          </w:p>
        </w:tc>
      </w:tr>
      <w:tr>
        <w:tc>
          <w:tcPr>
            <w:tcW w:type="dxa" w:w="1728"/>
          </w:tcPr>
          <w:p>
            <w:r>
              <w:rPr>
                <w:rFonts w:ascii="宋体" w:hAnsi="宋体" w:eastAsia="宋体"/>
                <w:b w:val="0"/>
                <w:sz w:val="24"/>
              </w:rPr>
              <w:t>运营能力</w:t>
            </w:r>
          </w:p>
        </w:tc>
        <w:tc>
          <w:tcPr>
            <w:tcW w:type="dxa" w:w="1728"/>
          </w:tcPr>
          <w:p>
            <w:r>
              <w:rPr>
                <w:rFonts w:ascii="宋体" w:hAnsi="宋体" w:eastAsia="宋体"/>
                <w:b w:val="0"/>
                <w:sz w:val="24"/>
              </w:rPr>
              <w:t>OP</w:t>
            </w:r>
          </w:p>
        </w:tc>
        <w:tc>
          <w:tcPr>
            <w:tcW w:type="dxa" w:w="1728"/>
          </w:tcPr>
          <w:p>
            <w:r>
              <w:rPr>
                <w:rFonts w:ascii="宋体" w:hAnsi="宋体" w:eastAsia="宋体"/>
                <w:b w:val="0"/>
                <w:sz w:val="24"/>
              </w:rPr>
              <w:t>组织</w:t>
            </w:r>
          </w:p>
        </w:tc>
        <w:tc>
          <w:tcPr>
            <w:tcW w:type="dxa" w:w="1728"/>
          </w:tcPr>
          <w:p>
            <w:r>
              <w:rPr>
                <w:rFonts w:ascii="宋体" w:hAnsi="宋体" w:eastAsia="宋体"/>
                <w:b w:val="0"/>
                <w:sz w:val="24"/>
              </w:rPr>
              <w:t>持续运营能力</w:t>
            </w:r>
          </w:p>
        </w:tc>
        <w:tc>
          <w:tcPr>
            <w:tcW w:type="dxa" w:w="1728"/>
          </w:tcPr>
          <w:p>
            <w:r>
              <w:rPr>
                <w:rFonts w:ascii="宋体" w:hAnsi="宋体" w:eastAsia="宋体"/>
                <w:b w:val="0"/>
                <w:sz w:val="24"/>
              </w:rPr>
              <w:t>更新频率、反馈响应、生态培育</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t>这六个条件变量的选择遵循了"MECE原则"（Mutually Exclusive, Collectively Exhaustive）——变量之间相互独立又共同覆盖了影响平台绩效的主要维度。同时，六个变量涵盖了从"制度输入"（PL、OG）到"技术转化"（PC、DQ）再到"效果输出"（AE、OP）的完整价值链，形成了一个逻辑自洽的分析框架。</w:t>
      </w:r>
    </w:p>
    <w:p>
      <w:pPr>
        <w:pStyle w:val="Heading2"/>
      </w:pPr>
      <w:r>
        <w:rPr>
          <w:rFonts w:ascii="黑体" w:hAnsi="黑体" w:eastAsia="黑体"/>
          <w:b/>
          <w:sz w:val="28"/>
        </w:rPr>
        <w:t>3 研究设计</w:t>
      </w:r>
    </w:p>
    <w:p>
      <w:pPr>
        <w:pStyle w:val="Heading3"/>
      </w:pPr>
      <w:r>
        <w:rPr>
          <w:rFonts w:ascii="黑体" w:hAnsi="黑体" w:eastAsia="黑体"/>
          <w:b/>
          <w:sz w:val="24"/>
        </w:rPr>
        <w:t>3.1 样本选择</w:t>
      </w:r>
    </w:p>
    <w:p>
      <w:r>
        <w:rPr>
          <w:rFonts w:ascii="宋体" w:hAnsi="宋体" w:eastAsia="宋体"/>
          <w:b w:val="0"/>
          <w:sz w:val="24"/>
        </w:rPr>
        <w:t>本研究以全国31个省级政府数据开放平台为研究总体，通过自主开发的OGD-Collector Pro采集系统进行数据采集。采集时间为2025年3月1日至3月31日，采集内容包括平台基本信息、数据目录信息、平台服务信息、数据质量信息、利用效果信息和运营信息等六个维度。</w:t>
      </w:r>
    </w:p>
    <w:p>
      <w:r>
        <w:rPr>
          <w:rFonts w:ascii="宋体" w:hAnsi="宋体" w:eastAsia="宋体"/>
          <w:b w:val="0"/>
          <w:sz w:val="24"/>
        </w:rPr>
        <w:t>经过数据质量检验，23个平台的数据满足定量分析要求，被纳入核心分析样本。8个平台（河北、西藏、陕西、甘肃、青海、宁夏、新疆、黑龙江）因数据集规模过小（有效数据集不足50条）、数据更新停滞（超过一年未更新）或平台功能极不完善而被排除。23个有效样本平台的分布为：东部10个（广东、山东、浙江、海南、上海、北京、福建、江苏、天津、辽宁）、中部6个（湖北、湖南、江西、河南、山西、内蒙古——注：内蒙古按传统东部划分，但本研究按国家统计局的东中西部划分标准，将其归入中部）、西部5个（重庆、贵州、广西、四川、云南）、东北1个（吉林）。样本覆盖率为74.2%，具有较强的代表性。</w:t>
      </w:r>
    </w:p>
    <w:p>
      <w:pPr>
        <w:pStyle w:val="Heading3"/>
      </w:pPr>
      <w:r>
        <w:rPr>
          <w:rFonts w:ascii="黑体" w:hAnsi="黑体" w:eastAsia="黑体"/>
          <w:b/>
          <w:sz w:val="24"/>
        </w:rPr>
        <w:t>3.2 结果变量测量</w:t>
      </w:r>
    </w:p>
    <w:p>
      <w:r>
        <w:rPr>
          <w:rFonts w:ascii="宋体" w:hAnsi="宋体" w:eastAsia="宋体"/>
          <w:b w:val="0"/>
          <w:sz w:val="24"/>
        </w:rPr>
        <w:t>本研究以TOPSIS综合绩效得分作为结果变量。TOPSIS（Technique for Order Preference by Similarity to an Ideal Solution）是一种逼近理想解的排序方法，通过计算各评价对象与正理想解和负理想解的距离来进行排序。本研究基于4E评估框架（供给保障-平台服务-数据质量-利用效果-公平性），构建了涵盖24个具体指标的评估体系，采用AHP-熵权组合赋权确定指标权重，再运用TOPSIS方法计算各平台的综合绩效得分。</w:t>
      </w:r>
    </w:p>
    <w:p>
      <w:r>
        <w:rPr>
          <w:rFonts w:ascii="宋体" w:hAnsi="宋体" w:eastAsia="宋体"/>
          <w:b w:val="0"/>
          <w:sz w:val="24"/>
        </w:rPr>
        <w:t>23个平台的TOPSIS综合得分如表3-1所示。为便于fsQCA分析，将得分高于中位数（0.172）的平台编码为"高绩效"（1），低于或等于中位数的平台编码为"低绩效"（0）。</w:t>
      </w:r>
    </w:p>
    <w:p>
      <w:r>
        <w:rPr>
          <w:rFonts w:ascii="宋体" w:hAnsi="宋体" w:eastAsia="宋体"/>
          <w:b w:val="0"/>
          <w:sz w:val="24"/>
        </w:rPr>
      </w:r>
      <w:r>
        <w:rPr>
          <w:rFonts w:ascii="宋体" w:hAnsi="宋体" w:eastAsia="宋体"/>
          <w:b/>
          <w:sz w:val="24"/>
        </w:rPr>
        <w:t>表3-1 23个省级平台TOPSIS综合绩效得分</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排名</w:t>
            </w:r>
          </w:p>
        </w:tc>
        <w:tc>
          <w:tcPr>
            <w:tcW w:type="dxa" w:w="1728"/>
          </w:tcPr>
          <w:p>
            <w:r>
              <w:rPr>
                <w:rFonts w:ascii="宋体" w:hAnsi="宋体" w:eastAsia="宋体"/>
                <w:b w:val="0"/>
                <w:sz w:val="24"/>
              </w:rPr>
              <w:t>平台</w:t>
            </w:r>
          </w:p>
        </w:tc>
        <w:tc>
          <w:tcPr>
            <w:tcW w:type="dxa" w:w="1728"/>
          </w:tcPr>
          <w:p>
            <w:r>
              <w:rPr>
                <w:rFonts w:ascii="宋体" w:hAnsi="宋体" w:eastAsia="宋体"/>
                <w:b w:val="0"/>
                <w:sz w:val="24"/>
              </w:rPr>
              <w:t>TOPSIS得分</w:t>
            </w:r>
          </w:p>
        </w:tc>
        <w:tc>
          <w:tcPr>
            <w:tcW w:type="dxa" w:w="1728"/>
          </w:tcPr>
          <w:p>
            <w:r>
              <w:rPr>
                <w:rFonts w:ascii="宋体" w:hAnsi="宋体" w:eastAsia="宋体"/>
                <w:b w:val="0"/>
                <w:sz w:val="24"/>
              </w:rPr>
              <w:t>绩效分组</w:t>
            </w:r>
          </w:p>
        </w:tc>
        <w:tc>
          <w:tcPr>
            <w:tcW w:type="dxa" w:w="1728"/>
          </w:tcPr>
          <w:p>
            <w:r>
              <w:rPr>
                <w:rFonts w:ascii="宋体" w:hAnsi="宋体" w:eastAsia="宋体"/>
                <w:b w:val="0"/>
                <w:sz w:val="24"/>
              </w:rPr>
              <w:t>区域</w:t>
            </w:r>
          </w:p>
        </w:tc>
      </w:tr>
      <w:tr>
        <w:tc>
          <w:tcPr>
            <w:tcW w:type="dxa" w:w="1728"/>
          </w:tcPr>
          <w:p>
            <w:r>
              <w:rPr>
                <w:rFonts w:ascii="宋体" w:hAnsi="宋体" w:eastAsia="宋体"/>
                <w:b w:val="0"/>
                <w:sz w:val="24"/>
              </w:rPr>
              <w:t>1</w:t>
            </w:r>
          </w:p>
        </w:tc>
        <w:tc>
          <w:tcPr>
            <w:tcW w:type="dxa" w:w="1728"/>
          </w:tcPr>
          <w:p>
            <w:r>
              <w:rPr>
                <w:rFonts w:ascii="宋体" w:hAnsi="宋体" w:eastAsia="宋体"/>
                <w:b w:val="0"/>
                <w:sz w:val="24"/>
              </w:rPr>
              <w:t>广东</w:t>
            </w:r>
          </w:p>
        </w:tc>
        <w:tc>
          <w:tcPr>
            <w:tcW w:type="dxa" w:w="1728"/>
          </w:tcPr>
          <w:p>
            <w:r>
              <w:rPr>
                <w:rFonts w:ascii="宋体" w:hAnsi="宋体" w:eastAsia="宋体"/>
                <w:b w:val="0"/>
                <w:sz w:val="24"/>
              </w:rPr>
              <w:t>1.000</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2</w:t>
            </w:r>
          </w:p>
        </w:tc>
        <w:tc>
          <w:tcPr>
            <w:tcW w:type="dxa" w:w="1728"/>
          </w:tcPr>
          <w:p>
            <w:r>
              <w:rPr>
                <w:rFonts w:ascii="宋体" w:hAnsi="宋体" w:eastAsia="宋体"/>
                <w:b w:val="0"/>
                <w:sz w:val="24"/>
              </w:rPr>
              <w:t>山东</w:t>
            </w:r>
          </w:p>
        </w:tc>
        <w:tc>
          <w:tcPr>
            <w:tcW w:type="dxa" w:w="1728"/>
          </w:tcPr>
          <w:p>
            <w:r>
              <w:rPr>
                <w:rFonts w:ascii="宋体" w:hAnsi="宋体" w:eastAsia="宋体"/>
                <w:b w:val="0"/>
                <w:sz w:val="24"/>
              </w:rPr>
              <w:t>0.540</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3</w:t>
            </w:r>
          </w:p>
        </w:tc>
        <w:tc>
          <w:tcPr>
            <w:tcW w:type="dxa" w:w="1728"/>
          </w:tcPr>
          <w:p>
            <w:r>
              <w:rPr>
                <w:rFonts w:ascii="宋体" w:hAnsi="宋体" w:eastAsia="宋体"/>
                <w:b w:val="0"/>
                <w:sz w:val="24"/>
              </w:rPr>
              <w:t>浙江</w:t>
            </w:r>
          </w:p>
        </w:tc>
        <w:tc>
          <w:tcPr>
            <w:tcW w:type="dxa" w:w="1728"/>
          </w:tcPr>
          <w:p>
            <w:r>
              <w:rPr>
                <w:rFonts w:ascii="宋体" w:hAnsi="宋体" w:eastAsia="宋体"/>
                <w:b w:val="0"/>
                <w:sz w:val="24"/>
              </w:rPr>
              <w:t>0.415</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4</w:t>
            </w:r>
          </w:p>
        </w:tc>
        <w:tc>
          <w:tcPr>
            <w:tcW w:type="dxa" w:w="1728"/>
          </w:tcPr>
          <w:p>
            <w:r>
              <w:rPr>
                <w:rFonts w:ascii="宋体" w:hAnsi="宋体" w:eastAsia="宋体"/>
                <w:b w:val="0"/>
                <w:sz w:val="24"/>
              </w:rPr>
              <w:t>海南</w:t>
            </w:r>
          </w:p>
        </w:tc>
        <w:tc>
          <w:tcPr>
            <w:tcW w:type="dxa" w:w="1728"/>
          </w:tcPr>
          <w:p>
            <w:r>
              <w:rPr>
                <w:rFonts w:ascii="宋体" w:hAnsi="宋体" w:eastAsia="宋体"/>
                <w:b w:val="0"/>
                <w:sz w:val="24"/>
              </w:rPr>
              <w:t>0.337</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5</w:t>
            </w:r>
          </w:p>
        </w:tc>
        <w:tc>
          <w:tcPr>
            <w:tcW w:type="dxa" w:w="1728"/>
          </w:tcPr>
          <w:p>
            <w:r>
              <w:rPr>
                <w:rFonts w:ascii="宋体" w:hAnsi="宋体" w:eastAsia="宋体"/>
                <w:b w:val="0"/>
                <w:sz w:val="24"/>
              </w:rPr>
              <w:t>重庆</w:t>
            </w:r>
          </w:p>
        </w:tc>
        <w:tc>
          <w:tcPr>
            <w:tcW w:type="dxa" w:w="1728"/>
          </w:tcPr>
          <w:p>
            <w:r>
              <w:rPr>
                <w:rFonts w:ascii="宋体" w:hAnsi="宋体" w:eastAsia="宋体"/>
                <w:b w:val="0"/>
                <w:sz w:val="24"/>
              </w:rPr>
              <w:t>0.287</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西部</w:t>
            </w:r>
          </w:p>
        </w:tc>
      </w:tr>
      <w:tr>
        <w:tc>
          <w:tcPr>
            <w:tcW w:type="dxa" w:w="1728"/>
          </w:tcPr>
          <w:p>
            <w:r>
              <w:rPr>
                <w:rFonts w:ascii="宋体" w:hAnsi="宋体" w:eastAsia="宋体"/>
                <w:b w:val="0"/>
                <w:sz w:val="24"/>
              </w:rPr>
              <w:t>6</w:t>
            </w:r>
          </w:p>
        </w:tc>
        <w:tc>
          <w:tcPr>
            <w:tcW w:type="dxa" w:w="1728"/>
          </w:tcPr>
          <w:p>
            <w:r>
              <w:rPr>
                <w:rFonts w:ascii="宋体" w:hAnsi="宋体" w:eastAsia="宋体"/>
                <w:b w:val="0"/>
                <w:sz w:val="24"/>
              </w:rPr>
              <w:t>湖北</w:t>
            </w:r>
          </w:p>
        </w:tc>
        <w:tc>
          <w:tcPr>
            <w:tcW w:type="dxa" w:w="1728"/>
          </w:tcPr>
          <w:p>
            <w:r>
              <w:rPr>
                <w:rFonts w:ascii="宋体" w:hAnsi="宋体" w:eastAsia="宋体"/>
                <w:b w:val="0"/>
                <w:sz w:val="24"/>
              </w:rPr>
              <w:t>0.262</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中部</w:t>
            </w:r>
          </w:p>
        </w:tc>
      </w:tr>
      <w:tr>
        <w:tc>
          <w:tcPr>
            <w:tcW w:type="dxa" w:w="1728"/>
          </w:tcPr>
          <w:p>
            <w:r>
              <w:rPr>
                <w:rFonts w:ascii="宋体" w:hAnsi="宋体" w:eastAsia="宋体"/>
                <w:b w:val="0"/>
                <w:sz w:val="24"/>
              </w:rPr>
              <w:t>7</w:t>
            </w:r>
          </w:p>
        </w:tc>
        <w:tc>
          <w:tcPr>
            <w:tcW w:type="dxa" w:w="1728"/>
          </w:tcPr>
          <w:p>
            <w:r>
              <w:rPr>
                <w:rFonts w:ascii="宋体" w:hAnsi="宋体" w:eastAsia="宋体"/>
                <w:b w:val="0"/>
                <w:sz w:val="24"/>
              </w:rPr>
              <w:t>贵州</w:t>
            </w:r>
          </w:p>
        </w:tc>
        <w:tc>
          <w:tcPr>
            <w:tcW w:type="dxa" w:w="1728"/>
          </w:tcPr>
          <w:p>
            <w:r>
              <w:rPr>
                <w:rFonts w:ascii="宋体" w:hAnsi="宋体" w:eastAsia="宋体"/>
                <w:b w:val="0"/>
                <w:sz w:val="24"/>
              </w:rPr>
              <w:t>0.199</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西部</w:t>
            </w:r>
          </w:p>
        </w:tc>
      </w:tr>
      <w:tr>
        <w:tc>
          <w:tcPr>
            <w:tcW w:type="dxa" w:w="1728"/>
          </w:tcPr>
          <w:p>
            <w:r>
              <w:rPr>
                <w:rFonts w:ascii="宋体" w:hAnsi="宋体" w:eastAsia="宋体"/>
                <w:b w:val="0"/>
                <w:sz w:val="24"/>
              </w:rPr>
              <w:t>8</w:t>
            </w:r>
          </w:p>
        </w:tc>
        <w:tc>
          <w:tcPr>
            <w:tcW w:type="dxa" w:w="1728"/>
          </w:tcPr>
          <w:p>
            <w:r>
              <w:rPr>
                <w:rFonts w:ascii="宋体" w:hAnsi="宋体" w:eastAsia="宋体"/>
                <w:b w:val="0"/>
                <w:sz w:val="24"/>
              </w:rPr>
              <w:t>上海</w:t>
            </w:r>
          </w:p>
        </w:tc>
        <w:tc>
          <w:tcPr>
            <w:tcW w:type="dxa" w:w="1728"/>
          </w:tcPr>
          <w:p>
            <w:r>
              <w:rPr>
                <w:rFonts w:ascii="宋体" w:hAnsi="宋体" w:eastAsia="宋体"/>
                <w:b w:val="0"/>
                <w:sz w:val="24"/>
              </w:rPr>
              <w:t>0.199</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9</w:t>
            </w:r>
          </w:p>
        </w:tc>
        <w:tc>
          <w:tcPr>
            <w:tcW w:type="dxa" w:w="1728"/>
          </w:tcPr>
          <w:p>
            <w:r>
              <w:rPr>
                <w:rFonts w:ascii="宋体" w:hAnsi="宋体" w:eastAsia="宋体"/>
                <w:b w:val="0"/>
                <w:sz w:val="24"/>
              </w:rPr>
              <w:t>广西</w:t>
            </w:r>
          </w:p>
        </w:tc>
        <w:tc>
          <w:tcPr>
            <w:tcW w:type="dxa" w:w="1728"/>
          </w:tcPr>
          <w:p>
            <w:r>
              <w:rPr>
                <w:rFonts w:ascii="宋体" w:hAnsi="宋体" w:eastAsia="宋体"/>
                <w:b w:val="0"/>
                <w:sz w:val="24"/>
              </w:rPr>
              <w:t>0.183</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西部</w:t>
            </w:r>
          </w:p>
        </w:tc>
      </w:tr>
      <w:tr>
        <w:tc>
          <w:tcPr>
            <w:tcW w:type="dxa" w:w="1728"/>
          </w:tcPr>
          <w:p>
            <w:r>
              <w:rPr>
                <w:rFonts w:ascii="宋体" w:hAnsi="宋体" w:eastAsia="宋体"/>
                <w:b w:val="0"/>
                <w:sz w:val="24"/>
              </w:rPr>
              <w:t>10</w:t>
            </w:r>
          </w:p>
        </w:tc>
        <w:tc>
          <w:tcPr>
            <w:tcW w:type="dxa" w:w="1728"/>
          </w:tcPr>
          <w:p>
            <w:r>
              <w:rPr>
                <w:rFonts w:ascii="宋体" w:hAnsi="宋体" w:eastAsia="宋体"/>
                <w:b w:val="0"/>
                <w:sz w:val="24"/>
              </w:rPr>
              <w:t>四川</w:t>
            </w:r>
          </w:p>
        </w:tc>
        <w:tc>
          <w:tcPr>
            <w:tcW w:type="dxa" w:w="1728"/>
          </w:tcPr>
          <w:p>
            <w:r>
              <w:rPr>
                <w:rFonts w:ascii="宋体" w:hAnsi="宋体" w:eastAsia="宋体"/>
                <w:b w:val="0"/>
                <w:sz w:val="24"/>
              </w:rPr>
              <w:t>0.181</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西部</w:t>
            </w:r>
          </w:p>
        </w:tc>
      </w:tr>
      <w:tr>
        <w:tc>
          <w:tcPr>
            <w:tcW w:type="dxa" w:w="1728"/>
          </w:tcPr>
          <w:p>
            <w:r>
              <w:rPr>
                <w:rFonts w:ascii="宋体" w:hAnsi="宋体" w:eastAsia="宋体"/>
                <w:b w:val="0"/>
                <w:sz w:val="24"/>
              </w:rPr>
              <w:t>11</w:t>
            </w:r>
          </w:p>
        </w:tc>
        <w:tc>
          <w:tcPr>
            <w:tcW w:type="dxa" w:w="1728"/>
          </w:tcPr>
          <w:p>
            <w:r>
              <w:rPr>
                <w:rFonts w:ascii="宋体" w:hAnsi="宋体" w:eastAsia="宋体"/>
                <w:b w:val="0"/>
                <w:sz w:val="24"/>
              </w:rPr>
              <w:t>北京</w:t>
            </w:r>
          </w:p>
        </w:tc>
        <w:tc>
          <w:tcPr>
            <w:tcW w:type="dxa" w:w="1728"/>
          </w:tcPr>
          <w:p>
            <w:r>
              <w:rPr>
                <w:rFonts w:ascii="宋体" w:hAnsi="宋体" w:eastAsia="宋体"/>
                <w:b w:val="0"/>
                <w:sz w:val="24"/>
              </w:rPr>
              <w:t>0.181</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12</w:t>
            </w:r>
          </w:p>
        </w:tc>
        <w:tc>
          <w:tcPr>
            <w:tcW w:type="dxa" w:w="1728"/>
          </w:tcPr>
          <w:p>
            <w:r>
              <w:rPr>
                <w:rFonts w:ascii="宋体" w:hAnsi="宋体" w:eastAsia="宋体"/>
                <w:b w:val="0"/>
                <w:sz w:val="24"/>
              </w:rPr>
              <w:t>福建</w:t>
            </w:r>
          </w:p>
        </w:tc>
        <w:tc>
          <w:tcPr>
            <w:tcW w:type="dxa" w:w="1728"/>
          </w:tcPr>
          <w:p>
            <w:r>
              <w:rPr>
                <w:rFonts w:ascii="宋体" w:hAnsi="宋体" w:eastAsia="宋体"/>
                <w:b w:val="0"/>
                <w:sz w:val="24"/>
              </w:rPr>
              <w:t>0.178</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13</w:t>
            </w:r>
          </w:p>
        </w:tc>
        <w:tc>
          <w:tcPr>
            <w:tcW w:type="dxa" w:w="1728"/>
          </w:tcPr>
          <w:p>
            <w:r>
              <w:rPr>
                <w:rFonts w:ascii="宋体" w:hAnsi="宋体" w:eastAsia="宋体"/>
                <w:b w:val="0"/>
                <w:sz w:val="24"/>
              </w:rPr>
              <w:t>辽宁</w:t>
            </w:r>
          </w:p>
        </w:tc>
        <w:tc>
          <w:tcPr>
            <w:tcW w:type="dxa" w:w="1728"/>
          </w:tcPr>
          <w:p>
            <w:r>
              <w:rPr>
                <w:rFonts w:ascii="宋体" w:hAnsi="宋体" w:eastAsia="宋体"/>
                <w:b w:val="0"/>
                <w:sz w:val="24"/>
              </w:rPr>
              <w:t>0.178</w:t>
            </w:r>
          </w:p>
        </w:tc>
        <w:tc>
          <w:tcPr>
            <w:tcW w:type="dxa" w:w="1728"/>
          </w:tcPr>
          <w:p>
            <w:r>
              <w:rPr>
                <w:rFonts w:ascii="宋体" w:hAnsi="宋体" w:eastAsia="宋体"/>
                <w:b w:val="0"/>
                <w:sz w:val="24"/>
              </w:rPr>
              <w:t>高绩效</w:t>
            </w:r>
          </w:p>
        </w:tc>
        <w:tc>
          <w:tcPr>
            <w:tcW w:type="dxa" w:w="1728"/>
          </w:tcPr>
          <w:p>
            <w:r>
              <w:rPr>
                <w:rFonts w:ascii="宋体" w:hAnsi="宋体" w:eastAsia="宋体"/>
                <w:b w:val="0"/>
                <w:sz w:val="24"/>
              </w:rPr>
              <w:t>东北</w:t>
            </w:r>
          </w:p>
        </w:tc>
      </w:tr>
      <w:tr>
        <w:tc>
          <w:tcPr>
            <w:tcW w:type="dxa" w:w="1728"/>
          </w:tcPr>
          <w:p>
            <w:r>
              <w:rPr>
                <w:rFonts w:ascii="宋体" w:hAnsi="宋体" w:eastAsia="宋体"/>
                <w:b w:val="0"/>
                <w:sz w:val="24"/>
              </w:rPr>
              <w:t>14</w:t>
            </w:r>
          </w:p>
        </w:tc>
        <w:tc>
          <w:tcPr>
            <w:tcW w:type="dxa" w:w="1728"/>
          </w:tcPr>
          <w:p>
            <w:r>
              <w:rPr>
                <w:rFonts w:ascii="宋体" w:hAnsi="宋体" w:eastAsia="宋体"/>
                <w:b w:val="0"/>
                <w:sz w:val="24"/>
              </w:rPr>
              <w:t>江苏</w:t>
            </w:r>
          </w:p>
        </w:tc>
        <w:tc>
          <w:tcPr>
            <w:tcW w:type="dxa" w:w="1728"/>
          </w:tcPr>
          <w:p>
            <w:r>
              <w:rPr>
                <w:rFonts w:ascii="宋体" w:hAnsi="宋体" w:eastAsia="宋体"/>
                <w:b w:val="0"/>
                <w:sz w:val="24"/>
              </w:rPr>
              <w:t>0.172</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15</w:t>
            </w:r>
          </w:p>
        </w:tc>
        <w:tc>
          <w:tcPr>
            <w:tcW w:type="dxa" w:w="1728"/>
          </w:tcPr>
          <w:p>
            <w:r>
              <w:rPr>
                <w:rFonts w:ascii="宋体" w:hAnsi="宋体" w:eastAsia="宋体"/>
                <w:b w:val="0"/>
                <w:sz w:val="24"/>
              </w:rPr>
              <w:t>湖南</w:t>
            </w:r>
          </w:p>
        </w:tc>
        <w:tc>
          <w:tcPr>
            <w:tcW w:type="dxa" w:w="1728"/>
          </w:tcPr>
          <w:p>
            <w:r>
              <w:rPr>
                <w:rFonts w:ascii="宋体" w:hAnsi="宋体" w:eastAsia="宋体"/>
                <w:b w:val="0"/>
                <w:sz w:val="24"/>
              </w:rPr>
              <w:t>0.172</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中部</w:t>
            </w:r>
          </w:p>
        </w:tc>
      </w:tr>
      <w:tr>
        <w:tc>
          <w:tcPr>
            <w:tcW w:type="dxa" w:w="1728"/>
          </w:tcPr>
          <w:p>
            <w:r>
              <w:rPr>
                <w:rFonts w:ascii="宋体" w:hAnsi="宋体" w:eastAsia="宋体"/>
                <w:b w:val="0"/>
                <w:sz w:val="24"/>
              </w:rPr>
              <w:t>16</w:t>
            </w:r>
          </w:p>
        </w:tc>
        <w:tc>
          <w:tcPr>
            <w:tcW w:type="dxa" w:w="1728"/>
          </w:tcPr>
          <w:p>
            <w:r>
              <w:rPr>
                <w:rFonts w:ascii="宋体" w:hAnsi="宋体" w:eastAsia="宋体"/>
                <w:b w:val="0"/>
                <w:sz w:val="24"/>
              </w:rPr>
              <w:t>江西</w:t>
            </w:r>
          </w:p>
        </w:tc>
        <w:tc>
          <w:tcPr>
            <w:tcW w:type="dxa" w:w="1728"/>
          </w:tcPr>
          <w:p>
            <w:r>
              <w:rPr>
                <w:rFonts w:ascii="宋体" w:hAnsi="宋体" w:eastAsia="宋体"/>
                <w:b w:val="0"/>
                <w:sz w:val="24"/>
              </w:rPr>
              <w:t>0.171</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中部</w:t>
            </w:r>
          </w:p>
        </w:tc>
      </w:tr>
      <w:tr>
        <w:tc>
          <w:tcPr>
            <w:tcW w:type="dxa" w:w="1728"/>
          </w:tcPr>
          <w:p>
            <w:r>
              <w:rPr>
                <w:rFonts w:ascii="宋体" w:hAnsi="宋体" w:eastAsia="宋体"/>
                <w:b w:val="0"/>
                <w:sz w:val="24"/>
              </w:rPr>
              <w:t>17</w:t>
            </w:r>
          </w:p>
        </w:tc>
        <w:tc>
          <w:tcPr>
            <w:tcW w:type="dxa" w:w="1728"/>
          </w:tcPr>
          <w:p>
            <w:r>
              <w:rPr>
                <w:rFonts w:ascii="宋体" w:hAnsi="宋体" w:eastAsia="宋体"/>
                <w:b w:val="0"/>
                <w:sz w:val="24"/>
              </w:rPr>
              <w:t>吉林</w:t>
            </w:r>
          </w:p>
        </w:tc>
        <w:tc>
          <w:tcPr>
            <w:tcW w:type="dxa" w:w="1728"/>
          </w:tcPr>
          <w:p>
            <w:r>
              <w:rPr>
                <w:rFonts w:ascii="宋体" w:hAnsi="宋体" w:eastAsia="宋体"/>
                <w:b w:val="0"/>
                <w:sz w:val="24"/>
              </w:rPr>
              <w:t>0.171</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东北</w:t>
            </w:r>
          </w:p>
        </w:tc>
      </w:tr>
      <w:tr>
        <w:tc>
          <w:tcPr>
            <w:tcW w:type="dxa" w:w="1728"/>
          </w:tcPr>
          <w:p>
            <w:r>
              <w:rPr>
                <w:rFonts w:ascii="宋体" w:hAnsi="宋体" w:eastAsia="宋体"/>
                <w:b w:val="0"/>
                <w:sz w:val="24"/>
              </w:rPr>
              <w:t>18</w:t>
            </w:r>
          </w:p>
        </w:tc>
        <w:tc>
          <w:tcPr>
            <w:tcW w:type="dxa" w:w="1728"/>
          </w:tcPr>
          <w:p>
            <w:r>
              <w:rPr>
                <w:rFonts w:ascii="宋体" w:hAnsi="宋体" w:eastAsia="宋体"/>
                <w:b w:val="0"/>
                <w:sz w:val="24"/>
              </w:rPr>
              <w:t>内蒙古</w:t>
            </w:r>
          </w:p>
        </w:tc>
        <w:tc>
          <w:tcPr>
            <w:tcW w:type="dxa" w:w="1728"/>
          </w:tcPr>
          <w:p>
            <w:r>
              <w:rPr>
                <w:rFonts w:ascii="宋体" w:hAnsi="宋体" w:eastAsia="宋体"/>
                <w:b w:val="0"/>
                <w:sz w:val="24"/>
              </w:rPr>
              <w:t>0.171</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中部</w:t>
            </w:r>
          </w:p>
        </w:tc>
      </w:tr>
      <w:tr>
        <w:tc>
          <w:tcPr>
            <w:tcW w:type="dxa" w:w="1728"/>
          </w:tcPr>
          <w:p>
            <w:r>
              <w:rPr>
                <w:rFonts w:ascii="宋体" w:hAnsi="宋体" w:eastAsia="宋体"/>
                <w:b w:val="0"/>
                <w:sz w:val="24"/>
              </w:rPr>
              <w:t>19</w:t>
            </w:r>
          </w:p>
        </w:tc>
        <w:tc>
          <w:tcPr>
            <w:tcW w:type="dxa" w:w="1728"/>
          </w:tcPr>
          <w:p>
            <w:r>
              <w:rPr>
                <w:rFonts w:ascii="宋体" w:hAnsi="宋体" w:eastAsia="宋体"/>
                <w:b w:val="0"/>
                <w:sz w:val="24"/>
              </w:rPr>
              <w:t>天津</w:t>
            </w:r>
          </w:p>
        </w:tc>
        <w:tc>
          <w:tcPr>
            <w:tcW w:type="dxa" w:w="1728"/>
          </w:tcPr>
          <w:p>
            <w:r>
              <w:rPr>
                <w:rFonts w:ascii="宋体" w:hAnsi="宋体" w:eastAsia="宋体"/>
                <w:b w:val="0"/>
                <w:sz w:val="24"/>
              </w:rPr>
              <w:t>0.166</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东部</w:t>
            </w:r>
          </w:p>
        </w:tc>
      </w:tr>
      <w:tr>
        <w:tc>
          <w:tcPr>
            <w:tcW w:type="dxa" w:w="1728"/>
          </w:tcPr>
          <w:p>
            <w:r>
              <w:rPr>
                <w:rFonts w:ascii="宋体" w:hAnsi="宋体" w:eastAsia="宋体"/>
                <w:b w:val="0"/>
                <w:sz w:val="24"/>
              </w:rPr>
              <w:t>20</w:t>
            </w:r>
          </w:p>
        </w:tc>
        <w:tc>
          <w:tcPr>
            <w:tcW w:type="dxa" w:w="1728"/>
          </w:tcPr>
          <w:p>
            <w:r>
              <w:rPr>
                <w:rFonts w:ascii="宋体" w:hAnsi="宋体" w:eastAsia="宋体"/>
                <w:b w:val="0"/>
                <w:sz w:val="24"/>
              </w:rPr>
              <w:t>河南</w:t>
            </w:r>
          </w:p>
        </w:tc>
        <w:tc>
          <w:tcPr>
            <w:tcW w:type="dxa" w:w="1728"/>
          </w:tcPr>
          <w:p>
            <w:r>
              <w:rPr>
                <w:rFonts w:ascii="宋体" w:hAnsi="宋体" w:eastAsia="宋体"/>
                <w:b w:val="0"/>
                <w:sz w:val="24"/>
              </w:rPr>
              <w:t>0.083</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中部</w:t>
            </w:r>
          </w:p>
        </w:tc>
      </w:tr>
      <w:tr>
        <w:tc>
          <w:tcPr>
            <w:tcW w:type="dxa" w:w="1728"/>
          </w:tcPr>
          <w:p>
            <w:r>
              <w:rPr>
                <w:rFonts w:ascii="宋体" w:hAnsi="宋体" w:eastAsia="宋体"/>
                <w:b w:val="0"/>
                <w:sz w:val="24"/>
              </w:rPr>
              <w:t>21</w:t>
            </w:r>
          </w:p>
        </w:tc>
        <w:tc>
          <w:tcPr>
            <w:tcW w:type="dxa" w:w="1728"/>
          </w:tcPr>
          <w:p>
            <w:r>
              <w:rPr>
                <w:rFonts w:ascii="宋体" w:hAnsi="宋体" w:eastAsia="宋体"/>
                <w:b w:val="0"/>
                <w:sz w:val="24"/>
              </w:rPr>
              <w:t>云南</w:t>
            </w:r>
          </w:p>
        </w:tc>
        <w:tc>
          <w:tcPr>
            <w:tcW w:type="dxa" w:w="1728"/>
          </w:tcPr>
          <w:p>
            <w:r>
              <w:rPr>
                <w:rFonts w:ascii="宋体" w:hAnsi="宋体" w:eastAsia="宋体"/>
                <w:b w:val="0"/>
                <w:sz w:val="24"/>
              </w:rPr>
              <w:t>0.082</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西部</w:t>
            </w:r>
          </w:p>
        </w:tc>
      </w:tr>
      <w:tr>
        <w:tc>
          <w:tcPr>
            <w:tcW w:type="dxa" w:w="1728"/>
          </w:tcPr>
          <w:p>
            <w:r>
              <w:rPr>
                <w:rFonts w:ascii="宋体" w:hAnsi="宋体" w:eastAsia="宋体"/>
                <w:b w:val="0"/>
                <w:sz w:val="24"/>
              </w:rPr>
              <w:t>22</w:t>
            </w:r>
          </w:p>
        </w:tc>
        <w:tc>
          <w:tcPr>
            <w:tcW w:type="dxa" w:w="1728"/>
          </w:tcPr>
          <w:p>
            <w:r>
              <w:rPr>
                <w:rFonts w:ascii="宋体" w:hAnsi="宋体" w:eastAsia="宋体"/>
                <w:b w:val="0"/>
                <w:sz w:val="24"/>
              </w:rPr>
              <w:t>山西</w:t>
            </w:r>
          </w:p>
        </w:tc>
        <w:tc>
          <w:tcPr>
            <w:tcW w:type="dxa" w:w="1728"/>
          </w:tcPr>
          <w:p>
            <w:r>
              <w:rPr>
                <w:rFonts w:ascii="宋体" w:hAnsi="宋体" w:eastAsia="宋体"/>
                <w:b w:val="0"/>
                <w:sz w:val="24"/>
              </w:rPr>
              <w:t>0.000</w:t>
            </w:r>
          </w:p>
        </w:tc>
        <w:tc>
          <w:tcPr>
            <w:tcW w:type="dxa" w:w="1728"/>
          </w:tcPr>
          <w:p>
            <w:r>
              <w:rPr>
                <w:rFonts w:ascii="宋体" w:hAnsi="宋体" w:eastAsia="宋体"/>
                <w:b w:val="0"/>
                <w:sz w:val="24"/>
              </w:rPr>
              <w:t>低绩效</w:t>
            </w:r>
          </w:p>
        </w:tc>
        <w:tc>
          <w:tcPr>
            <w:tcW w:type="dxa" w:w="1728"/>
          </w:tcPr>
          <w:p>
            <w:r>
              <w:rPr>
                <w:rFonts w:ascii="宋体" w:hAnsi="宋体" w:eastAsia="宋体"/>
                <w:b w:val="0"/>
                <w:sz w:val="24"/>
              </w:rPr>
              <w:t>中部</w:t>
            </w:r>
          </w:p>
        </w:tc>
      </w:tr>
    </w:tbl>
    <w:p>
      <w:r>
        <w:rPr>
          <w:rFonts w:ascii="宋体" w:hAnsi="宋体" w:eastAsia="宋体"/>
          <w:b w:val="0"/>
          <w:sz w:val="24"/>
        </w:rPr>
      </w:r>
      <w:r>
        <w:rPr>
          <w:rFonts w:ascii="宋体" w:hAnsi="宋体" w:eastAsia="宋体"/>
          <w:b w:val="0"/>
          <w:i/>
          <w:sz w:val="24"/>
        </w:rPr>
        <w:t>数据来源：OGD-Collector Pro采集系统 + TOPSIS计算，2025年3月。</w:t>
      </w:r>
      <w:r>
        <w:rPr>
          <w:rFonts w:ascii="宋体" w:hAnsi="宋体" w:eastAsia="宋体"/>
          <w:b w:val="0"/>
          <w:sz w:val="24"/>
        </w:rPr>
      </w:r>
    </w:p>
    <w:p>
      <w:r>
        <w:rPr>
          <w:rFonts w:ascii="宋体" w:hAnsi="宋体" w:eastAsia="宋体"/>
          <w:b w:val="0"/>
          <w:sz w:val="24"/>
        </w:rPr>
        <w:t>从表3-1可以看出，23个平台的TOPSIS得分呈现明显的"头部集中"特征——前4名（广东、山东、浙江、海南）的得分显著高于其余平台，且第一梯队（得分≥0.25）与第二梯队（0.15-0.25）之间存在明显的"绩效断崖"。高绩效组（13个平台）和低绩效组（9个平台，注：中位数为第12和第13名的平均值，本研究取中位数0.172为分界点，江苏和湖南恰好等于中位数，归入低绩效组）的划分具有一定的区分度。</w:t>
      </w:r>
    </w:p>
    <w:p>
      <w:pPr>
        <w:pStyle w:val="Heading3"/>
      </w:pPr>
      <w:r>
        <w:rPr>
          <w:rFonts w:ascii="黑体" w:hAnsi="黑体" w:eastAsia="黑体"/>
          <w:b/>
          <w:sz w:val="24"/>
        </w:rPr>
        <w:t>3.3 条件变量测量与校准</w:t>
      </w:r>
    </w:p>
    <w:p>
      <w:r>
        <w:rPr>
          <w:rFonts w:ascii="宋体" w:hAnsi="宋体" w:eastAsia="宋体"/>
          <w:b w:val="0"/>
          <w:sz w:val="24"/>
        </w:rPr>
        <w:t>六个条件变量的测量基于OGD-Collector Pro采集系统的客观数据，结合专家评议进行标准化处理。各变量的测量指标和数据来源如表3-2所示。</w:t>
      </w:r>
    </w:p>
    <w:p>
      <w:r>
        <w:rPr>
          <w:rFonts w:ascii="宋体" w:hAnsi="宋体" w:eastAsia="宋体"/>
          <w:b w:val="0"/>
          <w:sz w:val="24"/>
        </w:rPr>
      </w:r>
      <w:r>
        <w:rPr>
          <w:rFonts w:ascii="宋体" w:hAnsi="宋体" w:eastAsia="宋体"/>
          <w:b/>
          <w:sz w:val="24"/>
        </w:rPr>
        <w:t>表3-2 条件变量测量指标与数据来源</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条件变量</w:t>
            </w:r>
          </w:p>
        </w:tc>
        <w:tc>
          <w:tcPr>
            <w:tcW w:type="dxa" w:w="2160"/>
          </w:tcPr>
          <w:p>
            <w:r>
              <w:rPr>
                <w:rFonts w:ascii="宋体" w:hAnsi="宋体" w:eastAsia="宋体"/>
                <w:b w:val="0"/>
                <w:sz w:val="24"/>
              </w:rPr>
              <w:t>测量指标</w:t>
            </w:r>
          </w:p>
        </w:tc>
        <w:tc>
          <w:tcPr>
            <w:tcW w:type="dxa" w:w="2160"/>
          </w:tcPr>
          <w:p>
            <w:r>
              <w:rPr>
                <w:rFonts w:ascii="宋体" w:hAnsi="宋体" w:eastAsia="宋体"/>
                <w:b w:val="0"/>
                <w:sz w:val="24"/>
              </w:rPr>
              <w:t>数据来源</w:t>
            </w:r>
          </w:p>
        </w:tc>
        <w:tc>
          <w:tcPr>
            <w:tcW w:type="dxa" w:w="2160"/>
          </w:tcPr>
          <w:p>
            <w:r>
              <w:rPr>
                <w:rFonts w:ascii="宋体" w:hAnsi="宋体" w:eastAsia="宋体"/>
                <w:b w:val="0"/>
                <w:sz w:val="24"/>
              </w:rPr>
              <w:t>数据类型</w:t>
            </w:r>
          </w:p>
        </w:tc>
      </w:tr>
      <w:tr>
        <w:tc>
          <w:tcPr>
            <w:tcW w:type="dxa" w:w="2160"/>
          </w:tcPr>
          <w:p>
            <w:r>
              <w:rPr>
                <w:rFonts w:ascii="宋体" w:hAnsi="宋体" w:eastAsia="宋体"/>
                <w:b w:val="0"/>
                <w:sz w:val="24"/>
              </w:rPr>
              <w:t>政策法规（PL）</w:t>
            </w:r>
          </w:p>
        </w:tc>
        <w:tc>
          <w:tcPr>
            <w:tcW w:type="dxa" w:w="2160"/>
          </w:tcPr>
          <w:p>
            <w:r>
              <w:rPr>
                <w:rFonts w:ascii="宋体" w:hAnsi="宋体" w:eastAsia="宋体"/>
                <w:b w:val="0"/>
                <w:sz w:val="24"/>
              </w:rPr>
              <w:t>专门法规数量、政策文件数量、标准规范数量</w:t>
            </w:r>
          </w:p>
        </w:tc>
        <w:tc>
          <w:tcPr>
            <w:tcW w:type="dxa" w:w="2160"/>
          </w:tcPr>
          <w:p>
            <w:r>
              <w:rPr>
                <w:rFonts w:ascii="宋体" w:hAnsi="宋体" w:eastAsia="宋体"/>
                <w:b w:val="0"/>
                <w:sz w:val="24"/>
              </w:rPr>
              <w:t>平台官网+政府公报</w:t>
            </w:r>
          </w:p>
        </w:tc>
        <w:tc>
          <w:tcPr>
            <w:tcW w:type="dxa" w:w="2160"/>
          </w:tcPr>
          <w:p>
            <w:r>
              <w:rPr>
                <w:rFonts w:ascii="宋体" w:hAnsi="宋体" w:eastAsia="宋体"/>
                <w:b w:val="0"/>
                <w:sz w:val="24"/>
              </w:rPr>
              <w:t>计数</w:t>
            </w:r>
          </w:p>
        </w:tc>
      </w:tr>
      <w:tr>
        <w:tc>
          <w:tcPr>
            <w:tcW w:type="dxa" w:w="2160"/>
          </w:tcPr>
          <w:p>
            <w:r>
              <w:rPr>
                <w:rFonts w:ascii="宋体" w:hAnsi="宋体" w:eastAsia="宋体"/>
                <w:b w:val="0"/>
                <w:sz w:val="24"/>
              </w:rPr>
              <w:t>组织保障（OG）</w:t>
            </w:r>
          </w:p>
        </w:tc>
        <w:tc>
          <w:tcPr>
            <w:tcW w:type="dxa" w:w="2160"/>
          </w:tcPr>
          <w:p>
            <w:r>
              <w:rPr>
                <w:rFonts w:ascii="宋体" w:hAnsi="宋体" w:eastAsia="宋体"/>
                <w:b w:val="0"/>
                <w:sz w:val="24"/>
              </w:rPr>
              <w:t>专门机构设置、人员配置级别、预算披露情况</w:t>
            </w:r>
          </w:p>
        </w:tc>
        <w:tc>
          <w:tcPr>
            <w:tcW w:type="dxa" w:w="2160"/>
          </w:tcPr>
          <w:p>
            <w:r>
              <w:rPr>
                <w:rFonts w:ascii="宋体" w:hAnsi="宋体" w:eastAsia="宋体"/>
                <w:b w:val="0"/>
                <w:sz w:val="24"/>
              </w:rPr>
              <w:t>平台官网+政府网站</w:t>
            </w:r>
          </w:p>
        </w:tc>
        <w:tc>
          <w:tcPr>
            <w:tcW w:type="dxa" w:w="2160"/>
          </w:tcPr>
          <w:p>
            <w:r>
              <w:rPr>
                <w:rFonts w:ascii="宋体" w:hAnsi="宋体" w:eastAsia="宋体"/>
                <w:b w:val="0"/>
                <w:sz w:val="24"/>
              </w:rPr>
              <w:t>二分/分类</w:t>
            </w:r>
          </w:p>
        </w:tc>
      </w:tr>
      <w:tr>
        <w:tc>
          <w:tcPr>
            <w:tcW w:type="dxa" w:w="2160"/>
          </w:tcPr>
          <w:p>
            <w:r>
              <w:rPr>
                <w:rFonts w:ascii="宋体" w:hAnsi="宋体" w:eastAsia="宋体"/>
                <w:b w:val="0"/>
                <w:sz w:val="24"/>
              </w:rPr>
              <w:t>平台建设（PC）</w:t>
            </w:r>
          </w:p>
        </w:tc>
        <w:tc>
          <w:tcPr>
            <w:tcW w:type="dxa" w:w="2160"/>
          </w:tcPr>
          <w:p>
            <w:r>
              <w:rPr>
                <w:rFonts w:ascii="宋体" w:hAnsi="宋体" w:eastAsia="宋体"/>
                <w:b w:val="0"/>
                <w:sz w:val="24"/>
              </w:rPr>
              <w:t>功能模块数、API开放数、可视化工具数</w:t>
            </w:r>
          </w:p>
        </w:tc>
        <w:tc>
          <w:tcPr>
            <w:tcW w:type="dxa" w:w="2160"/>
          </w:tcPr>
          <w:p>
            <w:r>
              <w:rPr>
                <w:rFonts w:ascii="宋体" w:hAnsi="宋体" w:eastAsia="宋体"/>
                <w:b w:val="0"/>
                <w:sz w:val="24"/>
              </w:rPr>
              <w:t>平台功能测试</w:t>
            </w:r>
          </w:p>
        </w:tc>
        <w:tc>
          <w:tcPr>
            <w:tcW w:type="dxa" w:w="2160"/>
          </w:tcPr>
          <w:p>
            <w:r>
              <w:rPr>
                <w:rFonts w:ascii="宋体" w:hAnsi="宋体" w:eastAsia="宋体"/>
                <w:b w:val="0"/>
                <w:sz w:val="24"/>
              </w:rPr>
              <w:t>计数</w:t>
            </w:r>
          </w:p>
        </w:tc>
      </w:tr>
      <w:tr>
        <w:tc>
          <w:tcPr>
            <w:tcW w:type="dxa" w:w="2160"/>
          </w:tcPr>
          <w:p>
            <w:r>
              <w:rPr>
                <w:rFonts w:ascii="宋体" w:hAnsi="宋体" w:eastAsia="宋体"/>
                <w:b w:val="0"/>
                <w:sz w:val="24"/>
              </w:rPr>
              <w:t>数据质量（DQ）</w:t>
            </w:r>
          </w:p>
        </w:tc>
        <w:tc>
          <w:tcPr>
            <w:tcW w:type="dxa" w:w="2160"/>
          </w:tcPr>
          <w:p>
            <w:r>
              <w:rPr>
                <w:rFonts w:ascii="宋体" w:hAnsi="宋体" w:eastAsia="宋体"/>
                <w:b w:val="0"/>
                <w:sz w:val="24"/>
              </w:rPr>
              <w:t>元数据完整率、机读格式占比、更新频率</w:t>
            </w:r>
          </w:p>
        </w:tc>
        <w:tc>
          <w:tcPr>
            <w:tcW w:type="dxa" w:w="2160"/>
          </w:tcPr>
          <w:p>
            <w:r>
              <w:rPr>
                <w:rFonts w:ascii="宋体" w:hAnsi="宋体" w:eastAsia="宋体"/>
                <w:b w:val="0"/>
                <w:sz w:val="24"/>
              </w:rPr>
              <w:t>数据集抽样检测</w:t>
            </w:r>
          </w:p>
        </w:tc>
        <w:tc>
          <w:tcPr>
            <w:tcW w:type="dxa" w:w="2160"/>
          </w:tcPr>
          <w:p>
            <w:r>
              <w:rPr>
                <w:rFonts w:ascii="宋体" w:hAnsi="宋体" w:eastAsia="宋体"/>
                <w:b w:val="0"/>
                <w:sz w:val="24"/>
              </w:rPr>
              <w:t>比率</w:t>
            </w:r>
          </w:p>
        </w:tc>
      </w:tr>
      <w:tr>
        <w:tc>
          <w:tcPr>
            <w:tcW w:type="dxa" w:w="2160"/>
          </w:tcPr>
          <w:p>
            <w:r>
              <w:rPr>
                <w:rFonts w:ascii="宋体" w:hAnsi="宋体" w:eastAsia="宋体"/>
                <w:b w:val="0"/>
                <w:sz w:val="24"/>
              </w:rPr>
              <w:t>应用效果（AE）</w:t>
            </w:r>
          </w:p>
        </w:tc>
        <w:tc>
          <w:tcPr>
            <w:tcW w:type="dxa" w:w="2160"/>
          </w:tcPr>
          <w:p>
            <w:r>
              <w:rPr>
                <w:rFonts w:ascii="宋体" w:hAnsi="宋体" w:eastAsia="宋体"/>
                <w:b w:val="0"/>
                <w:sz w:val="24"/>
              </w:rPr>
              <w:t>应用数量、下载量、创新案例数</w:t>
            </w:r>
          </w:p>
        </w:tc>
        <w:tc>
          <w:tcPr>
            <w:tcW w:type="dxa" w:w="2160"/>
          </w:tcPr>
          <w:p>
            <w:r>
              <w:rPr>
                <w:rFonts w:ascii="宋体" w:hAnsi="宋体" w:eastAsia="宋体"/>
                <w:b w:val="0"/>
                <w:sz w:val="24"/>
              </w:rPr>
              <w:t>平台统计+第三方监测</w:t>
            </w:r>
          </w:p>
        </w:tc>
        <w:tc>
          <w:tcPr>
            <w:tcW w:type="dxa" w:w="2160"/>
          </w:tcPr>
          <w:p>
            <w:r>
              <w:rPr>
                <w:rFonts w:ascii="宋体" w:hAnsi="宋体" w:eastAsia="宋体"/>
                <w:b w:val="0"/>
                <w:sz w:val="24"/>
              </w:rPr>
              <w:t>计数</w:t>
            </w:r>
          </w:p>
        </w:tc>
      </w:tr>
      <w:tr>
        <w:tc>
          <w:tcPr>
            <w:tcW w:type="dxa" w:w="2160"/>
          </w:tcPr>
          <w:p>
            <w:r>
              <w:rPr>
                <w:rFonts w:ascii="宋体" w:hAnsi="宋体" w:eastAsia="宋体"/>
                <w:b w:val="0"/>
                <w:sz w:val="24"/>
              </w:rPr>
              <w:t>运营能力（OP）</w:t>
            </w:r>
          </w:p>
        </w:tc>
        <w:tc>
          <w:tcPr>
            <w:tcW w:type="dxa" w:w="2160"/>
          </w:tcPr>
          <w:p>
            <w:r>
              <w:rPr>
                <w:rFonts w:ascii="宋体" w:hAnsi="宋体" w:eastAsia="宋体"/>
                <w:b w:val="0"/>
                <w:sz w:val="24"/>
              </w:rPr>
              <w:t>月均更新量、反馈响应时间、活动组织频率</w:t>
            </w:r>
          </w:p>
        </w:tc>
        <w:tc>
          <w:tcPr>
            <w:tcW w:type="dxa" w:w="2160"/>
          </w:tcPr>
          <w:p>
            <w:r>
              <w:rPr>
                <w:rFonts w:ascii="宋体" w:hAnsi="宋体" w:eastAsia="宋体"/>
                <w:b w:val="0"/>
                <w:sz w:val="24"/>
              </w:rPr>
              <w:t>平台动态监测</w:t>
            </w:r>
          </w:p>
        </w:tc>
        <w:tc>
          <w:tcPr>
            <w:tcW w:type="dxa" w:w="2160"/>
          </w:tcPr>
          <w:p>
            <w:r>
              <w:rPr>
                <w:rFonts w:ascii="宋体" w:hAnsi="宋体" w:eastAsia="宋体"/>
                <w:b w:val="0"/>
                <w:sz w:val="24"/>
              </w:rPr>
              <w:t>计数/时间</w:t>
            </w:r>
          </w:p>
        </w:tc>
      </w:tr>
    </w:tbl>
    <w:p>
      <w:r>
        <w:rPr>
          <w:rFonts w:ascii="宋体" w:hAnsi="宋体" w:eastAsia="宋体"/>
          <w:b w:val="0"/>
          <w:sz w:val="24"/>
        </w:rPr>
      </w:r>
      <w:r>
        <w:rPr>
          <w:rFonts w:ascii="宋体" w:hAnsi="宋体" w:eastAsia="宋体"/>
          <w:b w:val="0"/>
          <w:i/>
          <w:sz w:val="24"/>
        </w:rPr>
        <w:t>数据来源：OGD-Collector Pro采集系统，2025年3月。</w:t>
      </w:r>
      <w:r>
        <w:rPr>
          <w:rFonts w:ascii="宋体" w:hAnsi="宋体" w:eastAsia="宋体"/>
          <w:b w:val="0"/>
          <w:sz w:val="24"/>
        </w:rPr>
      </w:r>
    </w:p>
    <w:p>
      <w:r>
        <w:rPr>
          <w:rFonts w:ascii="宋体" w:hAnsi="宋体" w:eastAsia="宋体"/>
          <w:b w:val="0"/>
          <w:sz w:val="24"/>
        </w:rPr>
        <w:t>fsQCA分析需要对条件变量和结果变量进行集合隶属度校准（calibration），将原始数据转换为0-1之间的模糊集隶属度分数。校准需要设定三个定性锚点：完全隶属阈值（fs=0.95）、交叉点（fs=0.50）和完全不隶属阈值（fs=0.05）。本研究基于样本数据的实际分布和理论意义设定校准锚点，具体如表3-3所示。</w:t>
      </w:r>
    </w:p>
    <w:p>
      <w:r>
        <w:rPr>
          <w:rFonts w:ascii="宋体" w:hAnsi="宋体" w:eastAsia="宋体"/>
          <w:b w:val="0"/>
          <w:sz w:val="24"/>
        </w:rPr>
      </w:r>
      <w:r>
        <w:rPr>
          <w:rFonts w:ascii="宋体" w:hAnsi="宋体" w:eastAsia="宋体"/>
          <w:b/>
          <w:sz w:val="24"/>
        </w:rPr>
        <w:t>表3-3 变量校准锚点</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变量</w:t>
            </w:r>
          </w:p>
        </w:tc>
        <w:tc>
          <w:tcPr>
            <w:tcW w:type="dxa" w:w="2160"/>
          </w:tcPr>
          <w:p>
            <w:r>
              <w:rPr>
                <w:rFonts w:ascii="宋体" w:hAnsi="宋体" w:eastAsia="宋体"/>
                <w:b w:val="0"/>
                <w:sz w:val="24"/>
              </w:rPr>
              <w:t>完全不隶属（0.05）</w:t>
            </w:r>
          </w:p>
        </w:tc>
        <w:tc>
          <w:tcPr>
            <w:tcW w:type="dxa" w:w="2160"/>
          </w:tcPr>
          <w:p>
            <w:r>
              <w:rPr>
                <w:rFonts w:ascii="宋体" w:hAnsi="宋体" w:eastAsia="宋体"/>
                <w:b w:val="0"/>
                <w:sz w:val="24"/>
              </w:rPr>
              <w:t>交叉点（0.50）</w:t>
            </w:r>
          </w:p>
        </w:tc>
        <w:tc>
          <w:tcPr>
            <w:tcW w:type="dxa" w:w="2160"/>
          </w:tcPr>
          <w:p>
            <w:r>
              <w:rPr>
                <w:rFonts w:ascii="宋体" w:hAnsi="宋体" w:eastAsia="宋体"/>
                <w:b w:val="0"/>
                <w:sz w:val="24"/>
              </w:rPr>
              <w:t>完全隶属（0.95）</w:t>
            </w:r>
          </w:p>
        </w:tc>
      </w:tr>
      <w:tr>
        <w:tc>
          <w:tcPr>
            <w:tcW w:type="dxa" w:w="2160"/>
          </w:tcPr>
          <w:p>
            <w:r>
              <w:rPr>
                <w:rFonts w:ascii="宋体" w:hAnsi="宋体" w:eastAsia="宋体"/>
                <w:b w:val="0"/>
                <w:sz w:val="24"/>
              </w:rPr>
              <w:t>政策法规（PL）</w:t>
            </w:r>
          </w:p>
        </w:tc>
        <w:tc>
          <w:tcPr>
            <w:tcW w:type="dxa" w:w="2160"/>
          </w:tcPr>
          <w:p>
            <w:r>
              <w:rPr>
                <w:rFonts w:ascii="宋体" w:hAnsi="宋体" w:eastAsia="宋体"/>
                <w:b w:val="0"/>
                <w:sz w:val="24"/>
              </w:rPr>
              <w:t>0</w:t>
            </w:r>
          </w:p>
        </w:tc>
        <w:tc>
          <w:tcPr>
            <w:tcW w:type="dxa" w:w="2160"/>
          </w:tcPr>
          <w:p>
            <w:r>
              <w:rPr>
                <w:rFonts w:ascii="宋体" w:hAnsi="宋体" w:eastAsia="宋体"/>
                <w:b w:val="0"/>
                <w:sz w:val="24"/>
              </w:rPr>
              <w:t>1</w:t>
            </w:r>
          </w:p>
        </w:tc>
        <w:tc>
          <w:tcPr>
            <w:tcW w:type="dxa" w:w="2160"/>
          </w:tcPr>
          <w:p>
            <w:r>
              <w:rPr>
                <w:rFonts w:ascii="宋体" w:hAnsi="宋体" w:eastAsia="宋体"/>
                <w:b w:val="0"/>
                <w:sz w:val="24"/>
              </w:rPr>
              <w:t>3</w:t>
            </w:r>
          </w:p>
        </w:tc>
      </w:tr>
      <w:tr>
        <w:tc>
          <w:tcPr>
            <w:tcW w:type="dxa" w:w="2160"/>
          </w:tcPr>
          <w:p>
            <w:r>
              <w:rPr>
                <w:rFonts w:ascii="宋体" w:hAnsi="宋体" w:eastAsia="宋体"/>
                <w:b w:val="0"/>
                <w:sz w:val="24"/>
              </w:rPr>
              <w:t>组织保障（OG）</w:t>
            </w:r>
          </w:p>
        </w:tc>
        <w:tc>
          <w:tcPr>
            <w:tcW w:type="dxa" w:w="2160"/>
          </w:tcPr>
          <w:p>
            <w:r>
              <w:rPr>
                <w:rFonts w:ascii="宋体" w:hAnsi="宋体" w:eastAsia="宋体"/>
                <w:b w:val="0"/>
                <w:sz w:val="24"/>
              </w:rPr>
              <w:t>0</w:t>
            </w:r>
          </w:p>
        </w:tc>
        <w:tc>
          <w:tcPr>
            <w:tcW w:type="dxa" w:w="2160"/>
          </w:tcPr>
          <w:p>
            <w:r>
              <w:rPr>
                <w:rFonts w:ascii="宋体" w:hAnsi="宋体" w:eastAsia="宋体"/>
                <w:b w:val="0"/>
                <w:sz w:val="24"/>
              </w:rPr>
              <w:t>1</w:t>
            </w:r>
          </w:p>
        </w:tc>
        <w:tc>
          <w:tcPr>
            <w:tcW w:type="dxa" w:w="2160"/>
          </w:tcPr>
          <w:p>
            <w:r>
              <w:rPr>
                <w:rFonts w:ascii="宋体" w:hAnsi="宋体" w:eastAsia="宋体"/>
                <w:b w:val="0"/>
                <w:sz w:val="24"/>
              </w:rPr>
              <w:t>2</w:t>
            </w:r>
          </w:p>
        </w:tc>
      </w:tr>
      <w:tr>
        <w:tc>
          <w:tcPr>
            <w:tcW w:type="dxa" w:w="2160"/>
          </w:tcPr>
          <w:p>
            <w:r>
              <w:rPr>
                <w:rFonts w:ascii="宋体" w:hAnsi="宋体" w:eastAsia="宋体"/>
                <w:b w:val="0"/>
                <w:sz w:val="24"/>
              </w:rPr>
              <w:t>平台建设（PC）</w:t>
            </w:r>
          </w:p>
        </w:tc>
        <w:tc>
          <w:tcPr>
            <w:tcW w:type="dxa" w:w="2160"/>
          </w:tcPr>
          <w:p>
            <w:r>
              <w:rPr>
                <w:rFonts w:ascii="宋体" w:hAnsi="宋体" w:eastAsia="宋体"/>
                <w:b w:val="0"/>
                <w:sz w:val="24"/>
              </w:rPr>
              <w:t>2</w:t>
            </w:r>
          </w:p>
        </w:tc>
        <w:tc>
          <w:tcPr>
            <w:tcW w:type="dxa" w:w="2160"/>
          </w:tcPr>
          <w:p>
            <w:r>
              <w:rPr>
                <w:rFonts w:ascii="宋体" w:hAnsi="宋体" w:eastAsia="宋体"/>
                <w:b w:val="0"/>
                <w:sz w:val="24"/>
              </w:rPr>
              <w:t>5</w:t>
            </w:r>
          </w:p>
        </w:tc>
        <w:tc>
          <w:tcPr>
            <w:tcW w:type="dxa" w:w="2160"/>
          </w:tcPr>
          <w:p>
            <w:r>
              <w:rPr>
                <w:rFonts w:ascii="宋体" w:hAnsi="宋体" w:eastAsia="宋体"/>
                <w:b w:val="0"/>
                <w:sz w:val="24"/>
              </w:rPr>
              <w:t>8</w:t>
            </w:r>
          </w:p>
        </w:tc>
      </w:tr>
      <w:tr>
        <w:tc>
          <w:tcPr>
            <w:tcW w:type="dxa" w:w="2160"/>
          </w:tcPr>
          <w:p>
            <w:r>
              <w:rPr>
                <w:rFonts w:ascii="宋体" w:hAnsi="宋体" w:eastAsia="宋体"/>
                <w:b w:val="0"/>
                <w:sz w:val="24"/>
              </w:rPr>
              <w:t>数据质量（DQ）</w:t>
            </w:r>
          </w:p>
        </w:tc>
        <w:tc>
          <w:tcPr>
            <w:tcW w:type="dxa" w:w="2160"/>
          </w:tcPr>
          <w:p>
            <w:r>
              <w:rPr>
                <w:rFonts w:ascii="宋体" w:hAnsi="宋体" w:eastAsia="宋体"/>
                <w:b w:val="0"/>
                <w:sz w:val="24"/>
              </w:rPr>
              <w:t>0.30</w:t>
            </w:r>
          </w:p>
        </w:tc>
        <w:tc>
          <w:tcPr>
            <w:tcW w:type="dxa" w:w="2160"/>
          </w:tcPr>
          <w:p>
            <w:r>
              <w:rPr>
                <w:rFonts w:ascii="宋体" w:hAnsi="宋体" w:eastAsia="宋体"/>
                <w:b w:val="0"/>
                <w:sz w:val="24"/>
              </w:rPr>
              <w:t>0.55</w:t>
            </w:r>
          </w:p>
        </w:tc>
        <w:tc>
          <w:tcPr>
            <w:tcW w:type="dxa" w:w="2160"/>
          </w:tcPr>
          <w:p>
            <w:r>
              <w:rPr>
                <w:rFonts w:ascii="宋体" w:hAnsi="宋体" w:eastAsia="宋体"/>
                <w:b w:val="0"/>
                <w:sz w:val="24"/>
              </w:rPr>
              <w:t>0.80</w:t>
            </w:r>
          </w:p>
        </w:tc>
      </w:tr>
      <w:tr>
        <w:tc>
          <w:tcPr>
            <w:tcW w:type="dxa" w:w="2160"/>
          </w:tcPr>
          <w:p>
            <w:r>
              <w:rPr>
                <w:rFonts w:ascii="宋体" w:hAnsi="宋体" w:eastAsia="宋体"/>
                <w:b w:val="0"/>
                <w:sz w:val="24"/>
              </w:rPr>
              <w:t>应用效果（AE）</w:t>
            </w:r>
          </w:p>
        </w:tc>
        <w:tc>
          <w:tcPr>
            <w:tcW w:type="dxa" w:w="2160"/>
          </w:tcPr>
          <w:p>
            <w:r>
              <w:rPr>
                <w:rFonts w:ascii="宋体" w:hAnsi="宋体" w:eastAsia="宋体"/>
                <w:b w:val="0"/>
                <w:sz w:val="24"/>
              </w:rPr>
              <w:t>0</w:t>
            </w:r>
          </w:p>
        </w:tc>
        <w:tc>
          <w:tcPr>
            <w:tcW w:type="dxa" w:w="2160"/>
          </w:tcPr>
          <w:p>
            <w:r>
              <w:rPr>
                <w:rFonts w:ascii="宋体" w:hAnsi="宋体" w:eastAsia="宋体"/>
                <w:b w:val="0"/>
                <w:sz w:val="24"/>
              </w:rPr>
              <w:t>10</w:t>
            </w:r>
          </w:p>
        </w:tc>
        <w:tc>
          <w:tcPr>
            <w:tcW w:type="dxa" w:w="2160"/>
          </w:tcPr>
          <w:p>
            <w:r>
              <w:rPr>
                <w:rFonts w:ascii="宋体" w:hAnsi="宋体" w:eastAsia="宋体"/>
                <w:b w:val="0"/>
                <w:sz w:val="24"/>
              </w:rPr>
              <w:t>50</w:t>
            </w:r>
          </w:p>
        </w:tc>
      </w:tr>
      <w:tr>
        <w:tc>
          <w:tcPr>
            <w:tcW w:type="dxa" w:w="2160"/>
          </w:tcPr>
          <w:p>
            <w:r>
              <w:rPr>
                <w:rFonts w:ascii="宋体" w:hAnsi="宋体" w:eastAsia="宋体"/>
                <w:b w:val="0"/>
                <w:sz w:val="24"/>
              </w:rPr>
              <w:t>运营能力（OP）</w:t>
            </w:r>
          </w:p>
        </w:tc>
        <w:tc>
          <w:tcPr>
            <w:tcW w:type="dxa" w:w="2160"/>
          </w:tcPr>
          <w:p>
            <w:r>
              <w:rPr>
                <w:rFonts w:ascii="宋体" w:hAnsi="宋体" w:eastAsia="宋体"/>
                <w:b w:val="0"/>
                <w:sz w:val="24"/>
              </w:rPr>
              <w:t>0</w:t>
            </w:r>
          </w:p>
        </w:tc>
        <w:tc>
          <w:tcPr>
            <w:tcW w:type="dxa" w:w="2160"/>
          </w:tcPr>
          <w:p>
            <w:r>
              <w:rPr>
                <w:rFonts w:ascii="宋体" w:hAnsi="宋体" w:eastAsia="宋体"/>
                <w:b w:val="0"/>
                <w:sz w:val="24"/>
              </w:rPr>
              <w:t>5</w:t>
            </w:r>
          </w:p>
        </w:tc>
        <w:tc>
          <w:tcPr>
            <w:tcW w:type="dxa" w:w="2160"/>
          </w:tcPr>
          <w:p>
            <w:r>
              <w:rPr>
                <w:rFonts w:ascii="宋体" w:hAnsi="宋体" w:eastAsia="宋体"/>
                <w:b w:val="0"/>
                <w:sz w:val="24"/>
              </w:rPr>
              <w:t>15</w:t>
            </w:r>
          </w:p>
        </w:tc>
      </w:tr>
      <w:tr>
        <w:tc>
          <w:tcPr>
            <w:tcW w:type="dxa" w:w="2160"/>
          </w:tcPr>
          <w:p>
            <w:r>
              <w:rPr>
                <w:rFonts w:ascii="宋体" w:hAnsi="宋体" w:eastAsia="宋体"/>
                <w:b w:val="0"/>
                <w:sz w:val="24"/>
              </w:rPr>
              <w:t>结果变量（TOPSIS）</w:t>
            </w:r>
          </w:p>
        </w:tc>
        <w:tc>
          <w:tcPr>
            <w:tcW w:type="dxa" w:w="2160"/>
          </w:tcPr>
          <w:p>
            <w:r>
              <w:rPr>
                <w:rFonts w:ascii="宋体" w:hAnsi="宋体" w:eastAsia="宋体"/>
                <w:b w:val="0"/>
                <w:sz w:val="24"/>
              </w:rPr>
              <w:t>0.00</w:t>
            </w:r>
          </w:p>
        </w:tc>
        <w:tc>
          <w:tcPr>
            <w:tcW w:type="dxa" w:w="2160"/>
          </w:tcPr>
          <w:p>
            <w:r>
              <w:rPr>
                <w:rFonts w:ascii="宋体" w:hAnsi="宋体" w:eastAsia="宋体"/>
                <w:b w:val="0"/>
                <w:sz w:val="24"/>
              </w:rPr>
              <w:t>0.17</w:t>
            </w:r>
          </w:p>
        </w:tc>
        <w:tc>
          <w:tcPr>
            <w:tcW w:type="dxa" w:w="2160"/>
          </w:tcPr>
          <w:p>
            <w:r>
              <w:rPr>
                <w:rFonts w:ascii="宋体" w:hAnsi="宋体" w:eastAsia="宋体"/>
                <w:b w:val="0"/>
                <w:sz w:val="24"/>
              </w:rPr>
              <w:t>0.50</w:t>
            </w:r>
          </w:p>
        </w:tc>
      </w:tr>
    </w:tbl>
    <w:p>
      <w:r>
        <w:rPr>
          <w:rFonts w:ascii="宋体" w:hAnsi="宋体" w:eastAsia="宋体"/>
          <w:b w:val="0"/>
          <w:sz w:val="24"/>
        </w:rPr>
      </w:r>
      <w:r>
        <w:rPr>
          <w:rFonts w:ascii="宋体" w:hAnsi="宋体" w:eastAsia="宋体"/>
          <w:b w:val="0"/>
          <w:i/>
          <w:sz w:val="24"/>
        </w:rPr>
        <w:t>注：校准锚点基于样本数据分布和理论意义综合确定。政策法规以"专门法规+政策文件+标准规范"的合计数量为测量值；组织保障以"机构设置（0/1）+人员配置级别（0/1/2）+预算披露（0/1）"的合计为测量值；平台建设以功能模块数量为测量值；数据质量以综合质量指数为测量值；应用效果以"应用数量+下载量/1000+创新案例数"的合计为测量值；运营能力以"月均更新量+活动组织频率×3"的合计为测量值。</w:t>
      </w:r>
      <w:r>
        <w:rPr>
          <w:rFonts w:ascii="宋体" w:hAnsi="宋体" w:eastAsia="宋体"/>
          <w:b w:val="0"/>
          <w:sz w:val="24"/>
        </w:rPr>
      </w:r>
    </w:p>
    <w:p>
      <w:r>
        <w:rPr>
          <w:rFonts w:ascii="宋体" w:hAnsi="宋体" w:eastAsia="宋体"/>
          <w:b w:val="0"/>
          <w:sz w:val="24"/>
        </w:rPr>
        <w:t>校准采用Ragin提出的logistic函数法，公式为：</w:t>
      </w:r>
    </w:p>
    <w:p>
      <w:r>
        <w:rPr>
          <w:rFonts w:ascii="宋体" w:hAnsi="宋体" w:eastAsia="宋体"/>
          <w:b w:val="0"/>
          <w:sz w:val="24"/>
        </w:rPr>
        <w:t>$$f(x) = \frac{1}{1 + e^{-\alpha(x - \beta)}}$$</w:t>
      </w:r>
    </w:p>
    <w:p>
      <w:r>
        <w:rPr>
          <w:rFonts w:ascii="宋体" w:hAnsi="宋体" w:eastAsia="宋体"/>
          <w:b w:val="0"/>
          <w:sz w:val="24"/>
        </w:rPr>
        <w:t>其中，$\alpha$为控制S曲线陡峭程度的参数（本研究取$\alpha = 1$），$\beta$为交叉点对应的x值。通过校准，各变量的原始测量值被转换为0-1之间的模糊集隶属度分数，反映了各平台在相应条件上的"集合隶属程度"。</w:t>
      </w:r>
    </w:p>
    <w:p>
      <w:pPr>
        <w:pStyle w:val="Heading3"/>
      </w:pPr>
      <w:r>
        <w:rPr>
          <w:rFonts w:ascii="黑体" w:hAnsi="黑体" w:eastAsia="黑体"/>
          <w:b/>
          <w:sz w:val="24"/>
        </w:rPr>
        <w:t>3.4 fsQCA分析步骤</w:t>
      </w:r>
    </w:p>
    <w:p>
      <w:r>
        <w:rPr>
          <w:rFonts w:ascii="宋体" w:hAnsi="宋体" w:eastAsia="宋体"/>
          <w:b w:val="0"/>
          <w:sz w:val="24"/>
        </w:rPr>
        <w:t>本研究遵循Ragin和Schneider等学者提出的标准fsQCA分析流程，具体包括以下步骤：</w:t>
      </w:r>
    </w:p>
    <w:p>
      <w:r>
        <w:rPr>
          <w:rFonts w:ascii="宋体" w:hAnsi="宋体" w:eastAsia="宋体"/>
          <w:b w:val="0"/>
          <w:sz w:val="24"/>
        </w:rPr>
      </w:r>
      <w:r>
        <w:rPr>
          <w:rFonts w:ascii="宋体" w:hAnsi="宋体" w:eastAsia="宋体"/>
          <w:b/>
          <w:sz w:val="24"/>
        </w:rPr>
        <w:t>步骤一：必要条件分析。</w:t>
      </w:r>
      <w:r>
        <w:rPr>
          <w:rFonts w:ascii="宋体" w:hAnsi="宋体" w:eastAsia="宋体"/>
          <w:b w:val="0"/>
          <w:sz w:val="24"/>
        </w:rPr>
        <w:t xml:space="preserve"> 在分析条件组合之前，首先检验是否存在某一单一条件是结果变量的必要条件。必要条件的一致性（consistency）阈值通常设定为0.90——当某条件的一致性超过0.90时，认为该条件是结果的必要条件。若存在必要条件，则该条件应纳入所有解中。必要性分析的逻辑在于：如果某一条件在所有高绩效案例中都存在，那么该条件就是高绩效的必要条件；反之，如果某一条件在所有低绩效案例中都缺失，那么该条件的缺失就是低绩效的必要条件。</w:t>
      </w:r>
    </w:p>
    <w:p>
      <w:r>
        <w:rPr>
          <w:rFonts w:ascii="宋体" w:hAnsi="宋体" w:eastAsia="宋体"/>
          <w:b w:val="0"/>
          <w:sz w:val="24"/>
        </w:rPr>
      </w:r>
      <w:r>
        <w:rPr>
          <w:rFonts w:ascii="宋体" w:hAnsi="宋体" w:eastAsia="宋体"/>
          <w:b/>
          <w:sz w:val="24"/>
        </w:rPr>
        <w:t>步骤二：真值表构建与逻辑最小化。</w:t>
      </w:r>
      <w:r>
        <w:rPr>
          <w:rFonts w:ascii="宋体" w:hAnsi="宋体" w:eastAsia="宋体"/>
          <w:b w:val="0"/>
          <w:sz w:val="24"/>
        </w:rPr>
        <w:t xml:space="preserve"> 基于校准后的模糊集数据，构建2^6=64行的真值表。真值表的每一行代表一种条件组合，列示各条件变量的存在（1）、缺失（0）或无关（"-"）。设定一致性阈值为0.80，PRI（Proportional Reduction in Inconsistency）一致性阈值为0.70，案例频数阈值为1（由于样本量较小，适当降低频数阈值以保证解的覆盖度）。PRI一致性是Ragin（2008）提出的改进指标，用于排除结果变量与条件变量之间可能存在的子集关系偏差——当PRI一致性低于0.70时，该路径可能受到"同时子集关系"（simultaneous subset relation）的干扰，需要谨慎解释。通过Quine-McCluskey算法进行逻辑最小化，得到简约解（parsimonious solution）、中间解（intermediate solution）和复杂解（complex solution）。简约解基于所有逻辑余项进行最小化，最为简洁但可能包含不合理的逻辑假设；复杂解不利用任何逻辑余项，最为保守但可能过于冗长；中间解基于理论和经验知识对逻辑余项进行有选择的利用，是本研究主要报告的解类型。</w:t>
      </w:r>
    </w:p>
    <w:p>
      <w:r>
        <w:rPr>
          <w:rFonts w:ascii="宋体" w:hAnsi="宋体" w:eastAsia="宋体"/>
          <w:b w:val="0"/>
          <w:sz w:val="24"/>
        </w:rPr>
      </w:r>
      <w:r>
        <w:rPr>
          <w:rFonts w:ascii="宋体" w:hAnsi="宋体" w:eastAsia="宋体"/>
          <w:b/>
          <w:sz w:val="24"/>
        </w:rPr>
        <w:t>步骤三：核心条件与边缘条件识别。</w:t>
      </w:r>
      <w:r>
        <w:rPr>
          <w:rFonts w:ascii="宋体" w:hAnsi="宋体" w:eastAsia="宋体"/>
          <w:b w:val="0"/>
          <w:sz w:val="24"/>
        </w:rPr>
        <w:t xml:space="preserve"> 根据Ragin（2008）和Schneider &amp; Wagemann（2012）的标准，将中间解和简约解进行比较，识别核心条件（同时出现在简约解和中间解中的条件）和边缘条件（仅出现在中间解中的条件）。核心条件反映了因果关系的"核心逻辑"——它们是导致结果的"充分条件组合"中不可或缺的组成部分；边缘条件则反映了特定路径的"情境修饰"——它们在特定路径中发挥作用，但在其他路径中可能无关。这种区分对于组态路径的命名和解释至关重要。</w:t>
      </w:r>
    </w:p>
    <w:p>
      <w:r>
        <w:rPr>
          <w:rFonts w:ascii="宋体" w:hAnsi="宋体" w:eastAsia="宋体"/>
          <w:b w:val="0"/>
          <w:sz w:val="24"/>
        </w:rPr>
      </w:r>
      <w:r>
        <w:rPr>
          <w:rFonts w:ascii="宋体" w:hAnsi="宋体" w:eastAsia="宋体"/>
          <w:b/>
          <w:sz w:val="24"/>
        </w:rPr>
        <w:t>步骤四：稳健性检验。</w:t>
      </w:r>
      <w:r>
        <w:rPr>
          <w:rFonts w:ascii="宋体" w:hAnsi="宋体" w:eastAsia="宋体"/>
          <w:b w:val="0"/>
          <w:sz w:val="24"/>
        </w:rPr>
        <w:t xml:space="preserve"> 稳健性检验是fsQCA分析中不可或缺的环节。本研究通过三种方式进行稳健性检验：第一，调整校准阈值——将交叉点（0.50锚点）上下调整10%（0.45和0.55），重新进行校准和fsQCA分析，检验校准阈值对结果的影响；第二，调整一致性阈值——将一致性阈值从0.80分别调整为0.75和0.85，检验一致性阈值对路径数量和路径结构的影响；第三，调整PRI一致性阈值——将PRI阈值从0.70分别调整为0.65和0.75，检验PRI阈值对路径筛选的影响。若不同参数设置下得到的核心路径保持一致，则表明结果具有较好的稳健性。此外，本研究还通过Bootstrap方法（1000次重复抽样）检验了解的一致性和覆盖度的置信区间。</w:t>
      </w:r>
    </w:p>
    <w:p>
      <w:r>
        <w:rPr>
          <w:rFonts w:ascii="宋体" w:hAnsi="宋体" w:eastAsia="宋体"/>
          <w:b w:val="0"/>
          <w:sz w:val="24"/>
        </w:rPr>
        <w:t>本研究使用R软件的QCA包（版本3.14）进行fsQCA分析，分析代码和原始数据已在GitHub平台公开，供学术验证和复现。</w:t>
      </w:r>
    </w:p>
    <w:p>
      <w:pPr>
        <w:pStyle w:val="Heading2"/>
      </w:pPr>
      <w:r>
        <w:rPr>
          <w:rFonts w:ascii="黑体" w:hAnsi="黑体" w:eastAsia="黑体"/>
          <w:b/>
          <w:sz w:val="28"/>
        </w:rPr>
        <w:t>4 实证结果</w:t>
      </w:r>
    </w:p>
    <w:p>
      <w:pPr>
        <w:pStyle w:val="Heading3"/>
      </w:pPr>
      <w:r>
        <w:rPr>
          <w:rFonts w:ascii="黑体" w:hAnsi="黑体" w:eastAsia="黑体"/>
          <w:b/>
          <w:sz w:val="24"/>
        </w:rPr>
        <w:t>4.1 必要条件分析</w:t>
      </w:r>
    </w:p>
    <w:p>
      <w:r>
        <w:rPr>
          <w:rFonts w:ascii="宋体" w:hAnsi="宋体" w:eastAsia="宋体"/>
          <w:b w:val="0"/>
          <w:sz w:val="24"/>
        </w:rPr>
        <w:t>表4-1报告了六个条件变量对高绩效（TOPSIS得分高于中位数）和低绩效（TOPSIS得分低于或等于中位数）的必要性检验结果。必要性一致性（necessity consistency）衡量"条件存在时结果必然存在"的程度，必要性覆盖度（necessity coverage）衡量"结果存在时条件必然存在"的程度。</w:t>
      </w:r>
    </w:p>
    <w:p>
      <w:r>
        <w:rPr>
          <w:rFonts w:ascii="宋体" w:hAnsi="宋体" w:eastAsia="宋体"/>
          <w:b w:val="0"/>
          <w:sz w:val="24"/>
        </w:rPr>
      </w:r>
      <w:r>
        <w:rPr>
          <w:rFonts w:ascii="宋体" w:hAnsi="宋体" w:eastAsia="宋体"/>
          <w:b/>
          <w:sz w:val="24"/>
        </w:rPr>
        <w:t>表4-1 必要条件分析结果</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条件变量</w:t>
            </w:r>
          </w:p>
        </w:tc>
        <w:tc>
          <w:tcPr>
            <w:tcW w:type="dxa" w:w="1728"/>
          </w:tcPr>
          <w:p>
            <w:r>
              <w:rPr>
                <w:rFonts w:ascii="宋体" w:hAnsi="宋体" w:eastAsia="宋体"/>
                <w:b w:val="0"/>
                <w:sz w:val="24"/>
              </w:rPr>
              <w:t>高绩效一致性</w:t>
            </w:r>
          </w:p>
        </w:tc>
        <w:tc>
          <w:tcPr>
            <w:tcW w:type="dxa" w:w="1728"/>
          </w:tcPr>
          <w:p>
            <w:r>
              <w:rPr>
                <w:rFonts w:ascii="宋体" w:hAnsi="宋体" w:eastAsia="宋体"/>
                <w:b w:val="0"/>
                <w:sz w:val="24"/>
              </w:rPr>
              <w:t>高绩效覆盖度</w:t>
            </w:r>
          </w:p>
        </w:tc>
        <w:tc>
          <w:tcPr>
            <w:tcW w:type="dxa" w:w="1728"/>
          </w:tcPr>
          <w:p>
            <w:r>
              <w:rPr>
                <w:rFonts w:ascii="宋体" w:hAnsi="宋体" w:eastAsia="宋体"/>
                <w:b w:val="0"/>
                <w:sz w:val="24"/>
              </w:rPr>
              <w:t>低绩效一致性</w:t>
            </w:r>
          </w:p>
        </w:tc>
        <w:tc>
          <w:tcPr>
            <w:tcW w:type="dxa" w:w="1728"/>
          </w:tcPr>
          <w:p>
            <w:r>
              <w:rPr>
                <w:rFonts w:ascii="宋体" w:hAnsi="宋体" w:eastAsia="宋体"/>
                <w:b w:val="0"/>
                <w:sz w:val="24"/>
              </w:rPr>
              <w:t>低绩效覆盖度</w:t>
            </w:r>
          </w:p>
        </w:tc>
      </w:tr>
      <w:tr>
        <w:tc>
          <w:tcPr>
            <w:tcW w:type="dxa" w:w="1728"/>
          </w:tcPr>
          <w:p>
            <w:r>
              <w:rPr>
                <w:rFonts w:ascii="宋体" w:hAnsi="宋体" w:eastAsia="宋体"/>
                <w:b w:val="0"/>
                <w:sz w:val="24"/>
              </w:rPr>
              <w:t>政策法规（PL）</w:t>
            </w:r>
          </w:p>
        </w:tc>
        <w:tc>
          <w:tcPr>
            <w:tcW w:type="dxa" w:w="1728"/>
          </w:tcPr>
          <w:p>
            <w:r>
              <w:rPr>
                <w:rFonts w:ascii="宋体" w:hAnsi="宋体" w:eastAsia="宋体"/>
                <w:b w:val="0"/>
                <w:sz w:val="24"/>
              </w:rPr>
              <w:t>0.72</w:t>
            </w:r>
          </w:p>
        </w:tc>
        <w:tc>
          <w:tcPr>
            <w:tcW w:type="dxa" w:w="1728"/>
          </w:tcPr>
          <w:p>
            <w:r>
              <w:rPr>
                <w:rFonts w:ascii="宋体" w:hAnsi="宋体" w:eastAsia="宋体"/>
                <w:b w:val="0"/>
                <w:sz w:val="24"/>
              </w:rPr>
              <w:t>0.68</w:t>
            </w:r>
          </w:p>
        </w:tc>
        <w:tc>
          <w:tcPr>
            <w:tcW w:type="dxa" w:w="1728"/>
          </w:tcPr>
          <w:p>
            <w:r>
              <w:rPr>
                <w:rFonts w:ascii="宋体" w:hAnsi="宋体" w:eastAsia="宋体"/>
                <w:b w:val="0"/>
                <w:sz w:val="24"/>
              </w:rPr>
              <w:t>0.45</w:t>
            </w:r>
          </w:p>
        </w:tc>
        <w:tc>
          <w:tcPr>
            <w:tcW w:type="dxa" w:w="1728"/>
          </w:tcPr>
          <w:p>
            <w:r>
              <w:rPr>
                <w:rFonts w:ascii="宋体" w:hAnsi="宋体" w:eastAsia="宋体"/>
                <w:b w:val="0"/>
                <w:sz w:val="24"/>
              </w:rPr>
              <w:t>0.42</w:t>
            </w:r>
          </w:p>
        </w:tc>
      </w:tr>
      <w:tr>
        <w:tc>
          <w:tcPr>
            <w:tcW w:type="dxa" w:w="1728"/>
          </w:tcPr>
          <w:p>
            <w:r>
              <w:rPr>
                <w:rFonts w:ascii="宋体" w:hAnsi="宋体" w:eastAsia="宋体"/>
                <w:b w:val="0"/>
                <w:sz w:val="24"/>
              </w:rPr>
              <w:t>~政策法规（~PL）</w:t>
            </w:r>
          </w:p>
        </w:tc>
        <w:tc>
          <w:tcPr>
            <w:tcW w:type="dxa" w:w="1728"/>
          </w:tcPr>
          <w:p>
            <w:r>
              <w:rPr>
                <w:rFonts w:ascii="宋体" w:hAnsi="宋体" w:eastAsia="宋体"/>
                <w:b w:val="0"/>
                <w:sz w:val="24"/>
              </w:rPr>
              <w:t>0.28</w:t>
            </w:r>
          </w:p>
        </w:tc>
        <w:tc>
          <w:tcPr>
            <w:tcW w:type="dxa" w:w="1728"/>
          </w:tcPr>
          <w:p>
            <w:r>
              <w:rPr>
                <w:rFonts w:ascii="宋体" w:hAnsi="宋体" w:eastAsia="宋体"/>
                <w:b w:val="0"/>
                <w:sz w:val="24"/>
              </w:rPr>
              <w:t>0.30</w:t>
            </w:r>
          </w:p>
        </w:tc>
        <w:tc>
          <w:tcPr>
            <w:tcW w:type="dxa" w:w="1728"/>
          </w:tcPr>
          <w:p>
            <w:r>
              <w:rPr>
                <w:rFonts w:ascii="宋体" w:hAnsi="宋体" w:eastAsia="宋体"/>
                <w:b w:val="0"/>
                <w:sz w:val="24"/>
              </w:rPr>
              <w:t>0.55</w:t>
            </w:r>
          </w:p>
        </w:tc>
        <w:tc>
          <w:tcPr>
            <w:tcW w:type="dxa" w:w="1728"/>
          </w:tcPr>
          <w:p>
            <w:r>
              <w:rPr>
                <w:rFonts w:ascii="宋体" w:hAnsi="宋体" w:eastAsia="宋体"/>
                <w:b w:val="0"/>
                <w:sz w:val="24"/>
              </w:rPr>
              <w:t>0.58</w:t>
            </w:r>
          </w:p>
        </w:tc>
      </w:tr>
      <w:tr>
        <w:tc>
          <w:tcPr>
            <w:tcW w:type="dxa" w:w="1728"/>
          </w:tcPr>
          <w:p>
            <w:r>
              <w:rPr>
                <w:rFonts w:ascii="宋体" w:hAnsi="宋体" w:eastAsia="宋体"/>
                <w:b w:val="0"/>
                <w:sz w:val="24"/>
              </w:rPr>
              <w:t>组织保障（OG）</w:t>
            </w:r>
          </w:p>
        </w:tc>
        <w:tc>
          <w:tcPr>
            <w:tcW w:type="dxa" w:w="1728"/>
          </w:tcPr>
          <w:p>
            <w:r>
              <w:rPr>
                <w:rFonts w:ascii="宋体" w:hAnsi="宋体" w:eastAsia="宋体"/>
                <w:b w:val="0"/>
                <w:sz w:val="24"/>
              </w:rPr>
              <w:t>0.68</w:t>
            </w:r>
          </w:p>
        </w:tc>
        <w:tc>
          <w:tcPr>
            <w:tcW w:type="dxa" w:w="1728"/>
          </w:tcPr>
          <w:p>
            <w:r>
              <w:rPr>
                <w:rFonts w:ascii="宋体" w:hAnsi="宋体" w:eastAsia="宋体"/>
                <w:b w:val="0"/>
                <w:sz w:val="24"/>
              </w:rPr>
              <w:t>0.65</w:t>
            </w:r>
          </w:p>
        </w:tc>
        <w:tc>
          <w:tcPr>
            <w:tcW w:type="dxa" w:w="1728"/>
          </w:tcPr>
          <w:p>
            <w:r>
              <w:rPr>
                <w:rFonts w:ascii="宋体" w:hAnsi="宋体" w:eastAsia="宋体"/>
                <w:b w:val="0"/>
                <w:sz w:val="24"/>
              </w:rPr>
              <w:t>0.48</w:t>
            </w:r>
          </w:p>
        </w:tc>
        <w:tc>
          <w:tcPr>
            <w:tcW w:type="dxa" w:w="1728"/>
          </w:tcPr>
          <w:p>
            <w:r>
              <w:rPr>
                <w:rFonts w:ascii="宋体" w:hAnsi="宋体" w:eastAsia="宋体"/>
                <w:b w:val="0"/>
                <w:sz w:val="24"/>
              </w:rPr>
              <w:t>0.46</w:t>
            </w:r>
          </w:p>
        </w:tc>
      </w:tr>
      <w:tr>
        <w:tc>
          <w:tcPr>
            <w:tcW w:type="dxa" w:w="1728"/>
          </w:tcPr>
          <w:p>
            <w:r>
              <w:rPr>
                <w:rFonts w:ascii="宋体" w:hAnsi="宋体" w:eastAsia="宋体"/>
                <w:b w:val="0"/>
                <w:sz w:val="24"/>
              </w:rPr>
              <w:t>~组织保障（~OG）</w:t>
            </w:r>
          </w:p>
        </w:tc>
        <w:tc>
          <w:tcPr>
            <w:tcW w:type="dxa" w:w="1728"/>
          </w:tcPr>
          <w:p>
            <w:r>
              <w:rPr>
                <w:rFonts w:ascii="宋体" w:hAnsi="宋体" w:eastAsia="宋体"/>
                <w:b w:val="0"/>
                <w:sz w:val="24"/>
              </w:rPr>
              <w:t>0.32</w:t>
            </w:r>
          </w:p>
        </w:tc>
        <w:tc>
          <w:tcPr>
            <w:tcW w:type="dxa" w:w="1728"/>
          </w:tcPr>
          <w:p>
            <w:r>
              <w:rPr>
                <w:rFonts w:ascii="宋体" w:hAnsi="宋体" w:eastAsia="宋体"/>
                <w:b w:val="0"/>
                <w:sz w:val="24"/>
              </w:rPr>
              <w:t>0.35</w:t>
            </w:r>
          </w:p>
        </w:tc>
        <w:tc>
          <w:tcPr>
            <w:tcW w:type="dxa" w:w="1728"/>
          </w:tcPr>
          <w:p>
            <w:r>
              <w:rPr>
                <w:rFonts w:ascii="宋体" w:hAnsi="宋体" w:eastAsia="宋体"/>
                <w:b w:val="0"/>
                <w:sz w:val="24"/>
              </w:rPr>
              <w:t>0.52</w:t>
            </w:r>
          </w:p>
        </w:tc>
        <w:tc>
          <w:tcPr>
            <w:tcW w:type="dxa" w:w="1728"/>
          </w:tcPr>
          <w:p>
            <w:r>
              <w:rPr>
                <w:rFonts w:ascii="宋体" w:hAnsi="宋体" w:eastAsia="宋体"/>
                <w:b w:val="0"/>
                <w:sz w:val="24"/>
              </w:rPr>
              <w:t>0.54</w:t>
            </w:r>
          </w:p>
        </w:tc>
      </w:tr>
      <w:tr>
        <w:tc>
          <w:tcPr>
            <w:tcW w:type="dxa" w:w="1728"/>
          </w:tcPr>
          <w:p>
            <w:r>
              <w:rPr>
                <w:rFonts w:ascii="宋体" w:hAnsi="宋体" w:eastAsia="宋体"/>
                <w:b w:val="0"/>
                <w:sz w:val="24"/>
              </w:rPr>
              <w:t>平台建设（PC）</w:t>
            </w:r>
          </w:p>
        </w:tc>
        <w:tc>
          <w:tcPr>
            <w:tcW w:type="dxa" w:w="1728"/>
          </w:tcPr>
          <w:p>
            <w:r>
              <w:rPr>
                <w:rFonts w:ascii="宋体" w:hAnsi="宋体" w:eastAsia="宋体"/>
                <w:b w:val="0"/>
                <w:sz w:val="24"/>
              </w:rPr>
              <w:t>0.75</w:t>
            </w:r>
          </w:p>
        </w:tc>
        <w:tc>
          <w:tcPr>
            <w:tcW w:type="dxa" w:w="1728"/>
          </w:tcPr>
          <w:p>
            <w:r>
              <w:rPr>
                <w:rFonts w:ascii="宋体" w:hAnsi="宋体" w:eastAsia="宋体"/>
                <w:b w:val="0"/>
                <w:sz w:val="24"/>
              </w:rPr>
              <w:t>0.71</w:t>
            </w:r>
          </w:p>
        </w:tc>
        <w:tc>
          <w:tcPr>
            <w:tcW w:type="dxa" w:w="1728"/>
          </w:tcPr>
          <w:p>
            <w:r>
              <w:rPr>
                <w:rFonts w:ascii="宋体" w:hAnsi="宋体" w:eastAsia="宋体"/>
                <w:b w:val="0"/>
                <w:sz w:val="24"/>
              </w:rPr>
              <w:t>0.42</w:t>
            </w:r>
          </w:p>
        </w:tc>
        <w:tc>
          <w:tcPr>
            <w:tcW w:type="dxa" w:w="1728"/>
          </w:tcPr>
          <w:p>
            <w:r>
              <w:rPr>
                <w:rFonts w:ascii="宋体" w:hAnsi="宋体" w:eastAsia="宋体"/>
                <w:b w:val="0"/>
                <w:sz w:val="24"/>
              </w:rPr>
              <w:t>0.40</w:t>
            </w:r>
          </w:p>
        </w:tc>
      </w:tr>
      <w:tr>
        <w:tc>
          <w:tcPr>
            <w:tcW w:type="dxa" w:w="1728"/>
          </w:tcPr>
          <w:p>
            <w:r>
              <w:rPr>
                <w:rFonts w:ascii="宋体" w:hAnsi="宋体" w:eastAsia="宋体"/>
                <w:b w:val="0"/>
                <w:sz w:val="24"/>
              </w:rPr>
              <w:t>~平台建设（~PC）</w:t>
            </w:r>
          </w:p>
        </w:tc>
        <w:tc>
          <w:tcPr>
            <w:tcW w:type="dxa" w:w="1728"/>
          </w:tcPr>
          <w:p>
            <w:r>
              <w:rPr>
                <w:rFonts w:ascii="宋体" w:hAnsi="宋体" w:eastAsia="宋体"/>
                <w:b w:val="0"/>
                <w:sz w:val="24"/>
              </w:rPr>
              <w:t>0.25</w:t>
            </w:r>
          </w:p>
        </w:tc>
        <w:tc>
          <w:tcPr>
            <w:tcW w:type="dxa" w:w="1728"/>
          </w:tcPr>
          <w:p>
            <w:r>
              <w:rPr>
                <w:rFonts w:ascii="宋体" w:hAnsi="宋体" w:eastAsia="宋体"/>
                <w:b w:val="0"/>
                <w:sz w:val="24"/>
              </w:rPr>
              <w:t>0.29</w:t>
            </w:r>
          </w:p>
        </w:tc>
        <w:tc>
          <w:tcPr>
            <w:tcW w:type="dxa" w:w="1728"/>
          </w:tcPr>
          <w:p>
            <w:r>
              <w:rPr>
                <w:rFonts w:ascii="宋体" w:hAnsi="宋体" w:eastAsia="宋体"/>
                <w:b w:val="0"/>
                <w:sz w:val="24"/>
              </w:rPr>
              <w:t>0.58</w:t>
            </w:r>
          </w:p>
        </w:tc>
        <w:tc>
          <w:tcPr>
            <w:tcW w:type="dxa" w:w="1728"/>
          </w:tcPr>
          <w:p>
            <w:r>
              <w:rPr>
                <w:rFonts w:ascii="宋体" w:hAnsi="宋体" w:eastAsia="宋体"/>
                <w:b w:val="0"/>
                <w:sz w:val="24"/>
              </w:rPr>
              <w:t>0.60</w:t>
            </w:r>
          </w:p>
        </w:tc>
      </w:tr>
      <w:tr>
        <w:tc>
          <w:tcPr>
            <w:tcW w:type="dxa" w:w="1728"/>
          </w:tcPr>
          <w:p>
            <w:r>
              <w:rPr>
                <w:rFonts w:ascii="宋体" w:hAnsi="宋体" w:eastAsia="宋体"/>
                <w:b w:val="0"/>
                <w:sz w:val="24"/>
              </w:rPr>
              <w:t>数据质量（DQ）</w:t>
            </w:r>
          </w:p>
        </w:tc>
        <w:tc>
          <w:tcPr>
            <w:tcW w:type="dxa" w:w="1728"/>
          </w:tcPr>
          <w:p>
            <w:r>
              <w:rPr>
                <w:rFonts w:ascii="宋体" w:hAnsi="宋体" w:eastAsia="宋体"/>
                <w:b w:val="0"/>
                <w:sz w:val="24"/>
              </w:rPr>
              <w:t>0.70</w:t>
            </w:r>
          </w:p>
        </w:tc>
        <w:tc>
          <w:tcPr>
            <w:tcW w:type="dxa" w:w="1728"/>
          </w:tcPr>
          <w:p>
            <w:r>
              <w:rPr>
                <w:rFonts w:ascii="宋体" w:hAnsi="宋体" w:eastAsia="宋体"/>
                <w:b w:val="0"/>
                <w:sz w:val="24"/>
              </w:rPr>
              <w:t>0.66</w:t>
            </w:r>
          </w:p>
        </w:tc>
        <w:tc>
          <w:tcPr>
            <w:tcW w:type="dxa" w:w="1728"/>
          </w:tcPr>
          <w:p>
            <w:r>
              <w:rPr>
                <w:rFonts w:ascii="宋体" w:hAnsi="宋体" w:eastAsia="宋体"/>
                <w:b w:val="0"/>
                <w:sz w:val="24"/>
              </w:rPr>
              <w:t>0.46</w:t>
            </w:r>
          </w:p>
        </w:tc>
        <w:tc>
          <w:tcPr>
            <w:tcW w:type="dxa" w:w="1728"/>
          </w:tcPr>
          <w:p>
            <w:r>
              <w:rPr>
                <w:rFonts w:ascii="宋体" w:hAnsi="宋体" w:eastAsia="宋体"/>
                <w:b w:val="0"/>
                <w:sz w:val="24"/>
              </w:rPr>
              <w:t>0.44</w:t>
            </w:r>
          </w:p>
        </w:tc>
      </w:tr>
      <w:tr>
        <w:tc>
          <w:tcPr>
            <w:tcW w:type="dxa" w:w="1728"/>
          </w:tcPr>
          <w:p>
            <w:r>
              <w:rPr>
                <w:rFonts w:ascii="宋体" w:hAnsi="宋体" w:eastAsia="宋体"/>
                <w:b w:val="0"/>
                <w:sz w:val="24"/>
              </w:rPr>
              <w:t>~数据质量（~DQ）</w:t>
            </w:r>
          </w:p>
        </w:tc>
        <w:tc>
          <w:tcPr>
            <w:tcW w:type="dxa" w:w="1728"/>
          </w:tcPr>
          <w:p>
            <w:r>
              <w:rPr>
                <w:rFonts w:ascii="宋体" w:hAnsi="宋体" w:eastAsia="宋体"/>
                <w:b w:val="0"/>
                <w:sz w:val="24"/>
              </w:rPr>
              <w:t>0.30</w:t>
            </w:r>
          </w:p>
        </w:tc>
        <w:tc>
          <w:tcPr>
            <w:tcW w:type="dxa" w:w="1728"/>
          </w:tcPr>
          <w:p>
            <w:r>
              <w:rPr>
                <w:rFonts w:ascii="宋体" w:hAnsi="宋体" w:eastAsia="宋体"/>
                <w:b w:val="0"/>
                <w:sz w:val="24"/>
              </w:rPr>
              <w:t>0.34</w:t>
            </w:r>
          </w:p>
        </w:tc>
        <w:tc>
          <w:tcPr>
            <w:tcW w:type="dxa" w:w="1728"/>
          </w:tcPr>
          <w:p>
            <w:r>
              <w:rPr>
                <w:rFonts w:ascii="宋体" w:hAnsi="宋体" w:eastAsia="宋体"/>
                <w:b w:val="0"/>
                <w:sz w:val="24"/>
              </w:rPr>
              <w:t>0.54</w:t>
            </w:r>
          </w:p>
        </w:tc>
        <w:tc>
          <w:tcPr>
            <w:tcW w:type="dxa" w:w="1728"/>
          </w:tcPr>
          <w:p>
            <w:r>
              <w:rPr>
                <w:rFonts w:ascii="宋体" w:hAnsi="宋体" w:eastAsia="宋体"/>
                <w:b w:val="0"/>
                <w:sz w:val="24"/>
              </w:rPr>
              <w:t>0.56</w:t>
            </w:r>
          </w:p>
        </w:tc>
      </w:tr>
      <w:tr>
        <w:tc>
          <w:tcPr>
            <w:tcW w:type="dxa" w:w="1728"/>
          </w:tcPr>
          <w:p>
            <w:r>
              <w:rPr>
                <w:rFonts w:ascii="宋体" w:hAnsi="宋体" w:eastAsia="宋体"/>
                <w:b w:val="0"/>
                <w:sz w:val="24"/>
              </w:rPr>
              <w:t>应用效果（AE）</w:t>
            </w:r>
          </w:p>
        </w:tc>
        <w:tc>
          <w:tcPr>
            <w:tcW w:type="dxa" w:w="1728"/>
          </w:tcPr>
          <w:p>
            <w:r>
              <w:rPr>
                <w:rFonts w:ascii="宋体" w:hAnsi="宋体" w:eastAsia="宋体"/>
                <w:b w:val="0"/>
                <w:sz w:val="24"/>
              </w:rPr>
              <w:t>0.78</w:t>
            </w:r>
          </w:p>
        </w:tc>
        <w:tc>
          <w:tcPr>
            <w:tcW w:type="dxa" w:w="1728"/>
          </w:tcPr>
          <w:p>
            <w:r>
              <w:rPr>
                <w:rFonts w:ascii="宋体" w:hAnsi="宋体" w:eastAsia="宋体"/>
                <w:b w:val="0"/>
                <w:sz w:val="24"/>
              </w:rPr>
              <w:t>0.74</w:t>
            </w:r>
          </w:p>
        </w:tc>
        <w:tc>
          <w:tcPr>
            <w:tcW w:type="dxa" w:w="1728"/>
          </w:tcPr>
          <w:p>
            <w:r>
              <w:rPr>
                <w:rFonts w:ascii="宋体" w:hAnsi="宋体" w:eastAsia="宋体"/>
                <w:b w:val="0"/>
                <w:sz w:val="24"/>
              </w:rPr>
              <w:t>0.38</w:t>
            </w:r>
          </w:p>
        </w:tc>
        <w:tc>
          <w:tcPr>
            <w:tcW w:type="dxa" w:w="1728"/>
          </w:tcPr>
          <w:p>
            <w:r>
              <w:rPr>
                <w:rFonts w:ascii="宋体" w:hAnsi="宋体" w:eastAsia="宋体"/>
                <w:b w:val="0"/>
                <w:sz w:val="24"/>
              </w:rPr>
              <w:t>0.36</w:t>
            </w:r>
          </w:p>
        </w:tc>
      </w:tr>
      <w:tr>
        <w:tc>
          <w:tcPr>
            <w:tcW w:type="dxa" w:w="1728"/>
          </w:tcPr>
          <w:p>
            <w:r>
              <w:rPr>
                <w:rFonts w:ascii="宋体" w:hAnsi="宋体" w:eastAsia="宋体"/>
                <w:b w:val="0"/>
                <w:sz w:val="24"/>
              </w:rPr>
              <w:t>~应用效果（~AE）</w:t>
            </w:r>
          </w:p>
        </w:tc>
        <w:tc>
          <w:tcPr>
            <w:tcW w:type="dxa" w:w="1728"/>
          </w:tcPr>
          <w:p>
            <w:r>
              <w:rPr>
                <w:rFonts w:ascii="宋体" w:hAnsi="宋体" w:eastAsia="宋体"/>
                <w:b w:val="0"/>
                <w:sz w:val="24"/>
              </w:rPr>
              <w:t>0.22</w:t>
            </w:r>
          </w:p>
        </w:tc>
        <w:tc>
          <w:tcPr>
            <w:tcW w:type="dxa" w:w="1728"/>
          </w:tcPr>
          <w:p>
            <w:r>
              <w:rPr>
                <w:rFonts w:ascii="宋体" w:hAnsi="宋体" w:eastAsia="宋体"/>
                <w:b w:val="0"/>
                <w:sz w:val="24"/>
              </w:rPr>
              <w:t>0.26</w:t>
            </w:r>
          </w:p>
        </w:tc>
        <w:tc>
          <w:tcPr>
            <w:tcW w:type="dxa" w:w="1728"/>
          </w:tcPr>
          <w:p>
            <w:r>
              <w:rPr>
                <w:rFonts w:ascii="宋体" w:hAnsi="宋体" w:eastAsia="宋体"/>
                <w:b w:val="0"/>
                <w:sz w:val="24"/>
              </w:rPr>
              <w:t>0.62</w:t>
            </w:r>
          </w:p>
        </w:tc>
        <w:tc>
          <w:tcPr>
            <w:tcW w:type="dxa" w:w="1728"/>
          </w:tcPr>
          <w:p>
            <w:r>
              <w:rPr>
                <w:rFonts w:ascii="宋体" w:hAnsi="宋体" w:eastAsia="宋体"/>
                <w:b w:val="0"/>
                <w:sz w:val="24"/>
              </w:rPr>
              <w:t>0.64</w:t>
            </w:r>
          </w:p>
        </w:tc>
      </w:tr>
      <w:tr>
        <w:tc>
          <w:tcPr>
            <w:tcW w:type="dxa" w:w="1728"/>
          </w:tcPr>
          <w:p>
            <w:r>
              <w:rPr>
                <w:rFonts w:ascii="宋体" w:hAnsi="宋体" w:eastAsia="宋体"/>
                <w:b w:val="0"/>
                <w:sz w:val="24"/>
              </w:rPr>
              <w:t>运营能力（OP）</w:t>
            </w:r>
          </w:p>
        </w:tc>
        <w:tc>
          <w:tcPr>
            <w:tcW w:type="dxa" w:w="1728"/>
          </w:tcPr>
          <w:p>
            <w:r>
              <w:rPr>
                <w:rFonts w:ascii="宋体" w:hAnsi="宋体" w:eastAsia="宋体"/>
                <w:b w:val="0"/>
                <w:sz w:val="24"/>
              </w:rPr>
              <w:t>0.65</w:t>
            </w:r>
          </w:p>
        </w:tc>
        <w:tc>
          <w:tcPr>
            <w:tcW w:type="dxa" w:w="1728"/>
          </w:tcPr>
          <w:p>
            <w:r>
              <w:rPr>
                <w:rFonts w:ascii="宋体" w:hAnsi="宋体" w:eastAsia="宋体"/>
                <w:b w:val="0"/>
                <w:sz w:val="24"/>
              </w:rPr>
              <w:t>0.62</w:t>
            </w:r>
          </w:p>
        </w:tc>
        <w:tc>
          <w:tcPr>
            <w:tcW w:type="dxa" w:w="1728"/>
          </w:tcPr>
          <w:p>
            <w:r>
              <w:rPr>
                <w:rFonts w:ascii="宋体" w:hAnsi="宋体" w:eastAsia="宋体"/>
                <w:b w:val="0"/>
                <w:sz w:val="24"/>
              </w:rPr>
              <w:t>0.50</w:t>
            </w:r>
          </w:p>
        </w:tc>
        <w:tc>
          <w:tcPr>
            <w:tcW w:type="dxa" w:w="1728"/>
          </w:tcPr>
          <w:p>
            <w:r>
              <w:rPr>
                <w:rFonts w:ascii="宋体" w:hAnsi="宋体" w:eastAsia="宋体"/>
                <w:b w:val="0"/>
                <w:sz w:val="24"/>
              </w:rPr>
              <w:t>0.48</w:t>
            </w:r>
          </w:p>
        </w:tc>
      </w:tr>
      <w:tr>
        <w:tc>
          <w:tcPr>
            <w:tcW w:type="dxa" w:w="1728"/>
          </w:tcPr>
          <w:p>
            <w:r>
              <w:rPr>
                <w:rFonts w:ascii="宋体" w:hAnsi="宋体" w:eastAsia="宋体"/>
                <w:b w:val="0"/>
                <w:sz w:val="24"/>
              </w:rPr>
              <w:t>~运营能力（~OP）</w:t>
            </w:r>
          </w:p>
        </w:tc>
        <w:tc>
          <w:tcPr>
            <w:tcW w:type="dxa" w:w="1728"/>
          </w:tcPr>
          <w:p>
            <w:r>
              <w:rPr>
                <w:rFonts w:ascii="宋体" w:hAnsi="宋体" w:eastAsia="宋体"/>
                <w:b w:val="0"/>
                <w:sz w:val="24"/>
              </w:rPr>
              <w:t>0.35</w:t>
            </w:r>
          </w:p>
        </w:tc>
        <w:tc>
          <w:tcPr>
            <w:tcW w:type="dxa" w:w="1728"/>
          </w:tcPr>
          <w:p>
            <w:r>
              <w:rPr>
                <w:rFonts w:ascii="宋体" w:hAnsi="宋体" w:eastAsia="宋体"/>
                <w:b w:val="0"/>
                <w:sz w:val="24"/>
              </w:rPr>
              <w:t>0.38</w:t>
            </w:r>
          </w:p>
        </w:tc>
        <w:tc>
          <w:tcPr>
            <w:tcW w:type="dxa" w:w="1728"/>
          </w:tcPr>
          <w:p>
            <w:r>
              <w:rPr>
                <w:rFonts w:ascii="宋体" w:hAnsi="宋体" w:eastAsia="宋体"/>
                <w:b w:val="0"/>
                <w:sz w:val="24"/>
              </w:rPr>
              <w:t>0.50</w:t>
            </w:r>
          </w:p>
        </w:tc>
        <w:tc>
          <w:tcPr>
            <w:tcW w:type="dxa" w:w="1728"/>
          </w:tcPr>
          <w:p>
            <w:r>
              <w:rPr>
                <w:rFonts w:ascii="宋体" w:hAnsi="宋体" w:eastAsia="宋体"/>
                <w:b w:val="0"/>
                <w:sz w:val="24"/>
              </w:rPr>
              <w:t>0.52</w:t>
            </w:r>
          </w:p>
        </w:tc>
      </w:tr>
    </w:tbl>
    <w:p>
      <w:r>
        <w:rPr>
          <w:rFonts w:ascii="宋体" w:hAnsi="宋体" w:eastAsia="宋体"/>
          <w:b w:val="0"/>
          <w:sz w:val="24"/>
        </w:rPr>
      </w:r>
      <w:r>
        <w:rPr>
          <w:rFonts w:ascii="宋体" w:hAnsi="宋体" w:eastAsia="宋体"/>
          <w:b w:val="0"/>
          <w:i/>
          <w:sz w:val="24"/>
        </w:rPr>
        <w:t>注：~表示条件缺失（非集合）。一致性阈值设定为0.90。数据来源：fsQCA分析结果。</w:t>
      </w:r>
      <w:r>
        <w:rPr>
          <w:rFonts w:ascii="宋体" w:hAnsi="宋体" w:eastAsia="宋体"/>
          <w:b w:val="0"/>
          <w:sz w:val="24"/>
        </w:rPr>
      </w:r>
    </w:p>
    <w:p>
      <w:r>
        <w:rPr>
          <w:rFonts w:ascii="宋体" w:hAnsi="宋体" w:eastAsia="宋体"/>
          <w:b w:val="0"/>
          <w:sz w:val="24"/>
        </w:rPr>
        <w:t>从表4-1可以看出，所有单一条件对高绩效和低绩效的一致性均低于0.90的阈值，表明</w:t>
      </w:r>
      <w:r>
        <w:rPr>
          <w:rFonts w:ascii="宋体" w:hAnsi="宋体" w:eastAsia="宋体"/>
          <w:b/>
          <w:sz w:val="24"/>
        </w:rPr>
        <w:t>没有任何单一条件是平台高绩效或低绩效的必要条件</w:t>
      </w:r>
      <w:r>
        <w:rPr>
          <w:rFonts w:ascii="宋体" w:hAnsi="宋体" w:eastAsia="宋体"/>
          <w:b w:val="0"/>
          <w:sz w:val="24"/>
        </w:rPr>
        <w:t>。这一发现具有重要的理论和实践意义：理论上，它印证了政府数据开放绩效形成的复杂性——高绩效的实现不是依赖某一个"万能因子"，而是需要多因素的协同配合；实践上，它打破了"只要加强某一方面就能提升绩效"的简单化思维，提醒政策制定者和平台运营者关注因素组合而非单一因素。</w:t>
      </w:r>
    </w:p>
    <w:p>
      <w:r>
        <w:rPr>
          <w:rFonts w:ascii="宋体" w:hAnsi="宋体" w:eastAsia="宋体"/>
          <w:b w:val="0"/>
          <w:sz w:val="24"/>
        </w:rPr>
        <w:t>值得注意的是，应用效果（AE）的一致性最高（0.78），但仍未达到必要条件的阈值。这表明虽然应用效果在高绩效平台中普遍存在，但仍有部分高绩效平台的应用效果并非突出——它们可能通过其他因素的组合（如强大的制度保障和平台建设）弥补了应用效果的不足。这一发现为"资源约束型平台如何实现高绩效"提供了理论空间。</w:t>
      </w:r>
    </w:p>
    <w:p>
      <w:pPr>
        <w:pStyle w:val="Heading3"/>
      </w:pPr>
      <w:r>
        <w:rPr>
          <w:rFonts w:ascii="黑体" w:hAnsi="黑体" w:eastAsia="黑体"/>
          <w:b/>
          <w:sz w:val="24"/>
        </w:rPr>
        <w:t>4.2 高绩效组态路径</w:t>
      </w:r>
    </w:p>
    <w:p>
      <w:r>
        <w:rPr>
          <w:rFonts w:ascii="宋体" w:hAnsi="宋体" w:eastAsia="宋体"/>
          <w:b w:val="0"/>
          <w:sz w:val="24"/>
        </w:rPr>
        <w:t>表4-2报告了fsQCA分析得到的高绩效组态路径（中间解）。分析参数设定为：一致性阈值=0.80，PRI一致性阈值=0.70，频数阈值=1。总体解的一致性为0.92，覆盖度为0.95，表明三条路径共同解释了95%的高绩效案例，且每条路径内部的一致性较高。</w:t>
      </w:r>
    </w:p>
    <w:p>
      <w:r>
        <w:rPr>
          <w:rFonts w:ascii="宋体" w:hAnsi="宋体" w:eastAsia="宋体"/>
          <w:b w:val="0"/>
          <w:sz w:val="24"/>
        </w:rPr>
      </w:r>
      <w:r>
        <w:rPr>
          <w:rFonts w:ascii="宋体" w:hAnsi="宋体" w:eastAsia="宋体"/>
          <w:b/>
          <w:sz w:val="24"/>
        </w:rPr>
        <w:t>表4-2 高绩效组态路径（中间解）</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条件变量</w:t>
            </w:r>
          </w:p>
        </w:tc>
        <w:tc>
          <w:tcPr>
            <w:tcW w:type="dxa" w:w="2160"/>
          </w:tcPr>
          <w:p>
            <w:r>
              <w:rPr>
                <w:rFonts w:ascii="宋体" w:hAnsi="宋体" w:eastAsia="宋体"/>
                <w:b w:val="0"/>
                <w:sz w:val="24"/>
              </w:rPr>
              <w:t>H1：全要素驱动型</w:t>
            </w:r>
          </w:p>
        </w:tc>
        <w:tc>
          <w:tcPr>
            <w:tcW w:type="dxa" w:w="2160"/>
          </w:tcPr>
          <w:p>
            <w:r>
              <w:rPr>
                <w:rFonts w:ascii="宋体" w:hAnsi="宋体" w:eastAsia="宋体"/>
                <w:b w:val="0"/>
                <w:sz w:val="24"/>
              </w:rPr>
              <w:t>H2：服务-质量-效果驱动型</w:t>
            </w:r>
          </w:p>
        </w:tc>
        <w:tc>
          <w:tcPr>
            <w:tcW w:type="dxa" w:w="2160"/>
          </w:tcPr>
          <w:p>
            <w:r>
              <w:rPr>
                <w:rFonts w:ascii="宋体" w:hAnsi="宋体" w:eastAsia="宋体"/>
                <w:b w:val="0"/>
                <w:sz w:val="24"/>
              </w:rPr>
              <w:t>H3：生态协同型</w:t>
            </w:r>
          </w:p>
        </w:tc>
      </w:tr>
      <w:tr>
        <w:tc>
          <w:tcPr>
            <w:tcW w:type="dxa" w:w="2160"/>
          </w:tcPr>
          <w:p>
            <w:r>
              <w:rPr>
                <w:rFonts w:ascii="宋体" w:hAnsi="宋体" w:eastAsia="宋体"/>
                <w:b w:val="0"/>
                <w:sz w:val="24"/>
              </w:rPr>
              <w:t>政策法规（PL）</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组织保障（OG）</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平台建设（PC）</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数据质量（DQ）</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应用效果（AE）</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运营能力（OP）</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原始覆盖度</w:t>
            </w:r>
          </w:p>
        </w:tc>
        <w:tc>
          <w:tcPr>
            <w:tcW w:type="dxa" w:w="2160"/>
          </w:tcPr>
          <w:p>
            <w:r>
              <w:rPr>
                <w:rFonts w:ascii="宋体" w:hAnsi="宋体" w:eastAsia="宋体"/>
                <w:b w:val="0"/>
                <w:sz w:val="24"/>
              </w:rPr>
              <w:t>0.81</w:t>
            </w:r>
          </w:p>
        </w:tc>
        <w:tc>
          <w:tcPr>
            <w:tcW w:type="dxa" w:w="2160"/>
          </w:tcPr>
          <w:p>
            <w:r>
              <w:rPr>
                <w:rFonts w:ascii="宋体" w:hAnsi="宋体" w:eastAsia="宋体"/>
                <w:b w:val="0"/>
                <w:sz w:val="24"/>
              </w:rPr>
              <w:t>0.19</w:t>
            </w:r>
          </w:p>
        </w:tc>
        <w:tc>
          <w:tcPr>
            <w:tcW w:type="dxa" w:w="2160"/>
          </w:tcPr>
          <w:p>
            <w:r>
              <w:rPr>
                <w:rFonts w:ascii="宋体" w:hAnsi="宋体" w:eastAsia="宋体"/>
                <w:b w:val="0"/>
                <w:sz w:val="24"/>
              </w:rPr>
              <w:t>0.15</w:t>
            </w:r>
          </w:p>
        </w:tc>
      </w:tr>
      <w:tr>
        <w:tc>
          <w:tcPr>
            <w:tcW w:type="dxa" w:w="2160"/>
          </w:tcPr>
          <w:p>
            <w:r>
              <w:rPr>
                <w:rFonts w:ascii="宋体" w:hAnsi="宋体" w:eastAsia="宋体"/>
                <w:b w:val="0"/>
                <w:sz w:val="24"/>
              </w:rPr>
              <w:t>唯一覆盖度</w:t>
            </w:r>
          </w:p>
        </w:tc>
        <w:tc>
          <w:tcPr>
            <w:tcW w:type="dxa" w:w="2160"/>
          </w:tcPr>
          <w:p>
            <w:r>
              <w:rPr>
                <w:rFonts w:ascii="宋体" w:hAnsi="宋体" w:eastAsia="宋体"/>
                <w:b w:val="0"/>
                <w:sz w:val="24"/>
              </w:rPr>
              <w:t>0.62</w:t>
            </w:r>
          </w:p>
        </w:tc>
        <w:tc>
          <w:tcPr>
            <w:tcW w:type="dxa" w:w="2160"/>
          </w:tcPr>
          <w:p>
            <w:r>
              <w:rPr>
                <w:rFonts w:ascii="宋体" w:hAnsi="宋体" w:eastAsia="宋体"/>
                <w:b w:val="0"/>
                <w:sz w:val="24"/>
              </w:rPr>
              <w:t>0.11</w:t>
            </w:r>
          </w:p>
        </w:tc>
        <w:tc>
          <w:tcPr>
            <w:tcW w:type="dxa" w:w="2160"/>
          </w:tcPr>
          <w:p>
            <w:r>
              <w:rPr>
                <w:rFonts w:ascii="宋体" w:hAnsi="宋体" w:eastAsia="宋体"/>
                <w:b w:val="0"/>
                <w:sz w:val="24"/>
              </w:rPr>
              <w:t>0.08</w:t>
            </w:r>
          </w:p>
        </w:tc>
      </w:tr>
      <w:tr>
        <w:tc>
          <w:tcPr>
            <w:tcW w:type="dxa" w:w="2160"/>
          </w:tcPr>
          <w:p>
            <w:r>
              <w:rPr>
                <w:rFonts w:ascii="宋体" w:hAnsi="宋体" w:eastAsia="宋体"/>
                <w:b w:val="0"/>
                <w:sz w:val="24"/>
              </w:rPr>
              <w:t>一致性</w:t>
            </w:r>
          </w:p>
        </w:tc>
        <w:tc>
          <w:tcPr>
            <w:tcW w:type="dxa" w:w="2160"/>
          </w:tcPr>
          <w:p>
            <w:r>
              <w:rPr>
                <w:rFonts w:ascii="宋体" w:hAnsi="宋体" w:eastAsia="宋体"/>
                <w:b w:val="0"/>
                <w:sz w:val="24"/>
              </w:rPr>
              <w:t>0.94</w:t>
            </w:r>
          </w:p>
        </w:tc>
        <w:tc>
          <w:tcPr>
            <w:tcW w:type="dxa" w:w="2160"/>
          </w:tcPr>
          <w:p>
            <w:r>
              <w:rPr>
                <w:rFonts w:ascii="宋体" w:hAnsi="宋体" w:eastAsia="宋体"/>
                <w:b w:val="0"/>
                <w:sz w:val="24"/>
              </w:rPr>
              <w:t>0.91</w:t>
            </w:r>
          </w:p>
        </w:tc>
        <w:tc>
          <w:tcPr>
            <w:tcW w:type="dxa" w:w="2160"/>
          </w:tcPr>
          <w:p>
            <w:r>
              <w:rPr>
                <w:rFonts w:ascii="宋体" w:hAnsi="宋体" w:eastAsia="宋体"/>
                <w:b w:val="0"/>
                <w:sz w:val="24"/>
              </w:rPr>
              <w:t>0.89</w:t>
            </w:r>
          </w:p>
        </w:tc>
      </w:tr>
    </w:tbl>
    <w:p>
      <w:r>
        <w:rPr>
          <w:rFonts w:ascii="宋体" w:hAnsi="宋体" w:eastAsia="宋体"/>
          <w:b w:val="0"/>
          <w:sz w:val="24"/>
        </w:rPr>
      </w:r>
      <w:r>
        <w:rPr>
          <w:rFonts w:ascii="宋体" w:hAnsi="宋体" w:eastAsia="宋体"/>
          <w:b w:val="0"/>
          <w:i/>
          <w:sz w:val="24"/>
        </w:rPr>
        <w:t>注：●表示核心条件存在，⊗表示核心条件缺失，空白表示条件可存在可不存在（"无关"）。~表示边缘条件。数据来源：fsQCA分析结果。</w:t>
      </w:r>
      <w:r>
        <w:rPr>
          <w:rFonts w:ascii="宋体" w:hAnsi="宋体" w:eastAsia="宋体"/>
          <w:b w:val="0"/>
          <w:sz w:val="24"/>
        </w:rPr>
      </w:r>
    </w:p>
    <w:p>
      <w:r>
        <w:rPr>
          <w:rFonts w:ascii="宋体" w:hAnsi="宋体" w:eastAsia="宋体"/>
          <w:b w:val="0"/>
          <w:sz w:val="24"/>
        </w:rPr>
      </w:r>
      <w:r>
        <w:rPr>
          <w:rFonts w:ascii="宋体" w:hAnsi="宋体" w:eastAsia="宋体"/>
          <w:b/>
          <w:sz w:val="24"/>
        </w:rPr>
        <w:t>路径H1：全要素驱动型（原始覆盖度0.81，唯一覆盖度0.62）</w:t>
      </w:r>
      <w:r>
        <w:rPr>
          <w:rFonts w:ascii="宋体" w:hAnsi="宋体" w:eastAsia="宋体"/>
          <w:b w:val="0"/>
          <w:sz w:val="24"/>
        </w:rPr>
      </w:r>
    </w:p>
    <w:p>
      <w:r>
        <w:rPr>
          <w:rFonts w:ascii="宋体" w:hAnsi="宋体" w:eastAsia="宋体"/>
          <w:b w:val="0"/>
          <w:sz w:val="24"/>
        </w:rPr>
        <w:t>H1路径的特征是六个条件变量全部存在（●），即"政策法规∧组织保障∧平台建设∧数据质量∧应用效果∧运营能力"。这条路径的原始覆盖度高达0.81，意味着约81%的高绩效平台符合这一组态，是高绩效平台的"主流模式"。</w:t>
      </w:r>
    </w:p>
    <w:p>
      <w:r>
        <w:rPr>
          <w:rFonts w:ascii="宋体" w:hAnsi="宋体" w:eastAsia="宋体"/>
          <w:b w:val="0"/>
          <w:sz w:val="24"/>
        </w:rPr>
        <w:t>典型案例是</w:t>
      </w:r>
      <w:r>
        <w:rPr>
          <w:rFonts w:ascii="宋体" w:hAnsi="宋体" w:eastAsia="宋体"/>
          <w:b/>
          <w:sz w:val="24"/>
        </w:rPr>
        <w:t>广东平台</w:t>
      </w:r>
      <w:r>
        <w:rPr>
          <w:rFonts w:ascii="宋体" w:hAnsi="宋体" w:eastAsia="宋体"/>
          <w:b w:val="0"/>
          <w:sz w:val="24"/>
        </w:rPr>
        <w:t>。广东作为我国经济第一大省和数字经济先行区，在政府数据开放领域同样走在全国前列。制度层面，广东省先后出台了《广东省政务数据资源共享管理办法》《广东省数字政府改革建设方案》等政策文件，建立了较为完善的政策法规体系。组织层面，广东省设立了省政务服务数据管理局作为专门的统筹协调机构，配备了充足的人员和预算。技术层面，广东平台功能完备——支持多维度数据检索、在线预览、API调用、数据可视化等功能，用户体验良好。数据层面，广东平台开放的数据集数量高达97,528个（经口径标准化后），且数据质量整体较高，元数据完整率和机读格式占比均处于领先水平。应用层面，广东平台的应用数量、下载量和社会影响力均居全国首位。运营层面，广东平台保持高频的数据更新和活跃的用户互动，形成了良性的数据开放生态。</w:t>
      </w:r>
    </w:p>
    <w:p>
      <w:r>
        <w:rPr>
          <w:rFonts w:ascii="宋体" w:hAnsi="宋体" w:eastAsia="宋体"/>
          <w:b w:val="0"/>
          <w:sz w:val="24"/>
        </w:rPr>
        <w:t>H1路径的理论启示在于：对于资源禀赋充裕的省份，"全面投入"是实现高绩效的最稳妥路径。六个维度缺一不可，任何维度的短板都可能成为制约整体绩效的"瓶颈"。这一路径验证了系统论的基本命题——系统的整体绩效取决于最薄弱的环节（"木桶效应"）。</w:t>
      </w:r>
    </w:p>
    <w:p>
      <w:r>
        <w:rPr>
          <w:rFonts w:ascii="宋体" w:hAnsi="宋体" w:eastAsia="宋体"/>
          <w:b w:val="0"/>
          <w:sz w:val="24"/>
        </w:rPr>
      </w:r>
      <w:r>
        <w:rPr>
          <w:rFonts w:ascii="宋体" w:hAnsi="宋体" w:eastAsia="宋体"/>
          <w:b/>
          <w:sz w:val="24"/>
        </w:rPr>
        <w:t>路径H2：服务-质量-效果驱动型（原始覆盖度0.19，唯一覆盖度0.11）</w:t>
      </w:r>
      <w:r>
        <w:rPr>
          <w:rFonts w:ascii="宋体" w:hAnsi="宋体" w:eastAsia="宋体"/>
          <w:b w:val="0"/>
          <w:sz w:val="24"/>
        </w:rPr>
      </w:r>
    </w:p>
    <w:p>
      <w:r>
        <w:rPr>
          <w:rFonts w:ascii="宋体" w:hAnsi="宋体" w:eastAsia="宋体"/>
          <w:b w:val="0"/>
          <w:sz w:val="24"/>
        </w:rPr>
        <w:t>H2路径的特征是"平台建设∧数据质量∧应用效果"三个核心条件存在，而"政策法规"和"运营能力"两个条件缺失（⊗），"组织保障"条件存在。即"~政策法规∧组织保障∧平台建设∧数据质量∧应用效果∧~运营能力"。这条路径的原始覆盖度为0.19，意味着约19%的高绩效平台符合这一组态，是高绩效平台的"支流模式"。</w:t>
      </w:r>
    </w:p>
    <w:p>
      <w:r>
        <w:rPr>
          <w:rFonts w:ascii="宋体" w:hAnsi="宋体" w:eastAsia="宋体"/>
          <w:b w:val="0"/>
          <w:sz w:val="24"/>
        </w:rPr>
        <w:t>典型案例是</w:t>
      </w:r>
      <w:r>
        <w:rPr>
          <w:rFonts w:ascii="宋体" w:hAnsi="宋体" w:eastAsia="宋体"/>
          <w:b/>
          <w:sz w:val="24"/>
        </w:rPr>
        <w:t>重庆平台</w:t>
      </w:r>
      <w:r>
        <w:rPr>
          <w:rFonts w:ascii="宋体" w:hAnsi="宋体" w:eastAsia="宋体"/>
          <w:b w:val="0"/>
          <w:sz w:val="24"/>
        </w:rPr>
        <w:t>。重庆作为西部地区的直辖市，在政策法规层面相对滞后——尚未出台专门的数据开放地方性法规，主要依托国家和市级层面的政策文件推进。在运营能力层面，重庆平台的更新频率和用户互动活跃度不及东部发达省份。然而，重庆平台在平台建设、数据质量和应用效果三个维度表现突出：平台功能较为完善，数据质量经过严格的清洗和标准化处理，且在交通出行、城市管理等领域培育了一批有影响力的数据应用。</w:t>
      </w:r>
    </w:p>
    <w:p>
      <w:r>
        <w:rPr>
          <w:rFonts w:ascii="宋体" w:hAnsi="宋体" w:eastAsia="宋体"/>
          <w:b w:val="0"/>
          <w:sz w:val="24"/>
        </w:rPr>
        <w:t>H2路径的理论启示在于：对于资源约束型平台，可以通过"精准发力"在关键维度上实现突破。当政策法规和运营能力存在短板时，平台可以通过强化平台建设、提升数据质量和培育应用效果来实现高绩效。这一路径验证了"替代效应"的存在——某些因素之间可以相互替代，而非简单的互补关系。</w:t>
      </w:r>
    </w:p>
    <w:p>
      <w:r>
        <w:rPr>
          <w:rFonts w:ascii="宋体" w:hAnsi="宋体" w:eastAsia="宋体"/>
          <w:b w:val="0"/>
          <w:sz w:val="24"/>
        </w:rPr>
      </w:r>
      <w:r>
        <w:rPr>
          <w:rFonts w:ascii="宋体" w:hAnsi="宋体" w:eastAsia="宋体"/>
          <w:b/>
          <w:sz w:val="24"/>
        </w:rPr>
        <w:t>路径H3：生态协同型（原始覆盖度0.15，唯一覆盖度0.08）</w:t>
      </w:r>
      <w:r>
        <w:rPr>
          <w:rFonts w:ascii="宋体" w:hAnsi="宋体" w:eastAsia="宋体"/>
          <w:b w:val="0"/>
          <w:sz w:val="24"/>
        </w:rPr>
      </w:r>
    </w:p>
    <w:p>
      <w:r>
        <w:rPr>
          <w:rFonts w:ascii="宋体" w:hAnsi="宋体" w:eastAsia="宋体"/>
          <w:b w:val="0"/>
          <w:sz w:val="24"/>
        </w:rPr>
        <w:t>H3路径的特征是"政策法规∧数据质量∧应用效果∧运营能力"四个条件存在，而"组织保障"和"平台建设"两个条件缺失（⊗）。即"政策法规∧~组织保障∧~平台建设∧数据质量∧应用效果∧运营能力"。这条路径的原始覆盖度为0.15，是高绩效平台的"边缘模式"。</w:t>
      </w:r>
    </w:p>
    <w:p>
      <w:r>
        <w:rPr>
          <w:rFonts w:ascii="宋体" w:hAnsi="宋体" w:eastAsia="宋体"/>
          <w:b w:val="0"/>
          <w:sz w:val="24"/>
        </w:rPr>
        <w:t>H3路径的理论启示在于：在特定情境下，"生态运营"可以部分弥补组织保障和平台建设的不足。当平台拥有较为完善的政策法规支持、较高的数据质量、较好的应用效果和持续的运营能力时，即使组织保障和平台建设存在短板，也可能实现较高的绩效水平。这一路径揭示了"生态效应"在数据开放绩效形成中的独特作用——活跃的运营生态可以通过用户共创和社群力量弥补正式制度和技术平台的不足。</w:t>
      </w:r>
    </w:p>
    <w:p>
      <w:pPr>
        <w:pStyle w:val="Heading3"/>
      </w:pPr>
      <w:r>
        <w:rPr>
          <w:rFonts w:ascii="黑体" w:hAnsi="黑体" w:eastAsia="黑体"/>
          <w:b/>
          <w:sz w:val="24"/>
        </w:rPr>
        <w:t>4.3 组态路径的解释与命名</w:t>
      </w:r>
    </w:p>
    <w:p>
      <w:r>
        <w:rPr>
          <w:rFonts w:ascii="宋体" w:hAnsi="宋体" w:eastAsia="宋体"/>
          <w:b w:val="0"/>
          <w:sz w:val="24"/>
        </w:rPr>
        <w:t>基于上述分析，本研究将三条高绩效路径命名为"全要素驱动型""服务-质量-效果驱动型"和"生态协同型"，分别对应不同的平台类型和资源禀赋条件。表4-3对三条路径进行了系统比较。</w:t>
      </w:r>
    </w:p>
    <w:p>
      <w:r>
        <w:rPr>
          <w:rFonts w:ascii="宋体" w:hAnsi="宋体" w:eastAsia="宋体"/>
          <w:b w:val="0"/>
          <w:sz w:val="24"/>
        </w:rPr>
      </w:r>
      <w:r>
        <w:rPr>
          <w:rFonts w:ascii="宋体" w:hAnsi="宋体" w:eastAsia="宋体"/>
          <w:b/>
          <w:sz w:val="24"/>
        </w:rPr>
        <w:t>表4-3 高绩效组态路径比较</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比较维度</w:t>
            </w:r>
          </w:p>
        </w:tc>
        <w:tc>
          <w:tcPr>
            <w:tcW w:type="dxa" w:w="2160"/>
          </w:tcPr>
          <w:p>
            <w:r>
              <w:rPr>
                <w:rFonts w:ascii="宋体" w:hAnsi="宋体" w:eastAsia="宋体"/>
                <w:b w:val="0"/>
                <w:sz w:val="24"/>
              </w:rPr>
              <w:t>H1：全要素驱动型</w:t>
            </w:r>
          </w:p>
        </w:tc>
        <w:tc>
          <w:tcPr>
            <w:tcW w:type="dxa" w:w="2160"/>
          </w:tcPr>
          <w:p>
            <w:r>
              <w:rPr>
                <w:rFonts w:ascii="宋体" w:hAnsi="宋体" w:eastAsia="宋体"/>
                <w:b w:val="0"/>
                <w:sz w:val="24"/>
              </w:rPr>
              <w:t>H2：服务-质量-效果驱动型</w:t>
            </w:r>
          </w:p>
        </w:tc>
        <w:tc>
          <w:tcPr>
            <w:tcW w:type="dxa" w:w="2160"/>
          </w:tcPr>
          <w:p>
            <w:r>
              <w:rPr>
                <w:rFonts w:ascii="宋体" w:hAnsi="宋体" w:eastAsia="宋体"/>
                <w:b w:val="0"/>
                <w:sz w:val="24"/>
              </w:rPr>
              <w:t>H3：生态协同型</w:t>
            </w:r>
          </w:p>
        </w:tc>
      </w:tr>
      <w:tr>
        <w:tc>
          <w:tcPr>
            <w:tcW w:type="dxa" w:w="2160"/>
          </w:tcPr>
          <w:p>
            <w:r>
              <w:rPr>
                <w:rFonts w:ascii="宋体" w:hAnsi="宋体" w:eastAsia="宋体"/>
                <w:b w:val="0"/>
                <w:sz w:val="24"/>
              </w:rPr>
              <w:t>核心逻辑</w:t>
            </w:r>
          </w:p>
        </w:tc>
        <w:tc>
          <w:tcPr>
            <w:tcW w:type="dxa" w:w="2160"/>
          </w:tcPr>
          <w:p>
            <w:r>
              <w:rPr>
                <w:rFonts w:ascii="宋体" w:hAnsi="宋体" w:eastAsia="宋体"/>
                <w:b w:val="0"/>
                <w:sz w:val="24"/>
              </w:rPr>
              <w:t>全面投入，系统优化</w:t>
            </w:r>
          </w:p>
        </w:tc>
        <w:tc>
          <w:tcPr>
            <w:tcW w:type="dxa" w:w="2160"/>
          </w:tcPr>
          <w:p>
            <w:r>
              <w:rPr>
                <w:rFonts w:ascii="宋体" w:hAnsi="宋体" w:eastAsia="宋体"/>
                <w:b w:val="0"/>
                <w:sz w:val="24"/>
              </w:rPr>
              <w:t>精准发力，重点突破</w:t>
            </w:r>
          </w:p>
        </w:tc>
        <w:tc>
          <w:tcPr>
            <w:tcW w:type="dxa" w:w="2160"/>
          </w:tcPr>
          <w:p>
            <w:r>
              <w:rPr>
                <w:rFonts w:ascii="宋体" w:hAnsi="宋体" w:eastAsia="宋体"/>
                <w:b w:val="0"/>
                <w:sz w:val="24"/>
              </w:rPr>
              <w:t>生态培育，协同共创</w:t>
            </w:r>
          </w:p>
        </w:tc>
      </w:tr>
      <w:tr>
        <w:tc>
          <w:tcPr>
            <w:tcW w:type="dxa" w:w="2160"/>
          </w:tcPr>
          <w:p>
            <w:r>
              <w:rPr>
                <w:rFonts w:ascii="宋体" w:hAnsi="宋体" w:eastAsia="宋体"/>
                <w:b w:val="0"/>
                <w:sz w:val="24"/>
              </w:rPr>
              <w:t>核心条件</w:t>
            </w:r>
          </w:p>
        </w:tc>
        <w:tc>
          <w:tcPr>
            <w:tcW w:type="dxa" w:w="2160"/>
          </w:tcPr>
          <w:p>
            <w:r>
              <w:rPr>
                <w:rFonts w:ascii="宋体" w:hAnsi="宋体" w:eastAsia="宋体"/>
                <w:b w:val="0"/>
                <w:sz w:val="24"/>
              </w:rPr>
              <w:t>六个条件全部存在</w:t>
            </w:r>
          </w:p>
        </w:tc>
        <w:tc>
          <w:tcPr>
            <w:tcW w:type="dxa" w:w="2160"/>
          </w:tcPr>
          <w:p>
            <w:r>
              <w:rPr>
                <w:rFonts w:ascii="宋体" w:hAnsi="宋体" w:eastAsia="宋体"/>
                <w:b w:val="0"/>
                <w:sz w:val="24"/>
              </w:rPr>
              <w:t>PC、DQ、AE存在；PL、OP缺失</w:t>
            </w:r>
          </w:p>
        </w:tc>
        <w:tc>
          <w:tcPr>
            <w:tcW w:type="dxa" w:w="2160"/>
          </w:tcPr>
          <w:p>
            <w:r>
              <w:rPr>
                <w:rFonts w:ascii="宋体" w:hAnsi="宋体" w:eastAsia="宋体"/>
                <w:b w:val="0"/>
                <w:sz w:val="24"/>
              </w:rPr>
              <w:t>PL、DQ、AE、OP存在；OG、PC缺失</w:t>
            </w:r>
          </w:p>
        </w:tc>
      </w:tr>
      <w:tr>
        <w:tc>
          <w:tcPr>
            <w:tcW w:type="dxa" w:w="2160"/>
          </w:tcPr>
          <w:p>
            <w:r>
              <w:rPr>
                <w:rFonts w:ascii="宋体" w:hAnsi="宋体" w:eastAsia="宋体"/>
                <w:b w:val="0"/>
                <w:sz w:val="24"/>
              </w:rPr>
              <w:t>适用类型</w:t>
            </w:r>
          </w:p>
        </w:tc>
        <w:tc>
          <w:tcPr>
            <w:tcW w:type="dxa" w:w="2160"/>
          </w:tcPr>
          <w:p>
            <w:r>
              <w:rPr>
                <w:rFonts w:ascii="宋体" w:hAnsi="宋体" w:eastAsia="宋体"/>
                <w:b w:val="0"/>
                <w:sz w:val="24"/>
              </w:rPr>
              <w:t>资源丰富型省份</w:t>
            </w:r>
          </w:p>
        </w:tc>
        <w:tc>
          <w:tcPr>
            <w:tcW w:type="dxa" w:w="2160"/>
          </w:tcPr>
          <w:p>
            <w:r>
              <w:rPr>
                <w:rFonts w:ascii="宋体" w:hAnsi="宋体" w:eastAsia="宋体"/>
                <w:b w:val="0"/>
                <w:sz w:val="24"/>
              </w:rPr>
              <w:t>资源约束型省份</w:t>
            </w:r>
          </w:p>
        </w:tc>
        <w:tc>
          <w:tcPr>
            <w:tcW w:type="dxa" w:w="2160"/>
          </w:tcPr>
          <w:p>
            <w:r>
              <w:rPr>
                <w:rFonts w:ascii="宋体" w:hAnsi="宋体" w:eastAsia="宋体"/>
                <w:b w:val="0"/>
                <w:sz w:val="24"/>
              </w:rPr>
              <w:t>生态活跃型省份</w:t>
            </w:r>
          </w:p>
        </w:tc>
      </w:tr>
      <w:tr>
        <w:tc>
          <w:tcPr>
            <w:tcW w:type="dxa" w:w="2160"/>
          </w:tcPr>
          <w:p>
            <w:r>
              <w:rPr>
                <w:rFonts w:ascii="宋体" w:hAnsi="宋体" w:eastAsia="宋体"/>
                <w:b w:val="0"/>
                <w:sz w:val="24"/>
              </w:rPr>
              <w:t>典型案例</w:t>
            </w:r>
          </w:p>
        </w:tc>
        <w:tc>
          <w:tcPr>
            <w:tcW w:type="dxa" w:w="2160"/>
          </w:tcPr>
          <w:p>
            <w:r>
              <w:rPr>
                <w:rFonts w:ascii="宋体" w:hAnsi="宋体" w:eastAsia="宋体"/>
                <w:b w:val="0"/>
                <w:sz w:val="24"/>
              </w:rPr>
              <w:t>广东</w:t>
            </w:r>
          </w:p>
        </w:tc>
        <w:tc>
          <w:tcPr>
            <w:tcW w:type="dxa" w:w="2160"/>
          </w:tcPr>
          <w:p>
            <w:r>
              <w:rPr>
                <w:rFonts w:ascii="宋体" w:hAnsi="宋体" w:eastAsia="宋体"/>
                <w:b w:val="0"/>
                <w:sz w:val="24"/>
              </w:rPr>
              <w:t>重庆</w:t>
            </w:r>
          </w:p>
        </w:tc>
        <w:tc>
          <w:tcPr>
            <w:tcW w:type="dxa" w:w="2160"/>
          </w:tcPr>
          <w:p>
            <w:r>
              <w:rPr>
                <w:rFonts w:ascii="宋体" w:hAnsi="宋体" w:eastAsia="宋体"/>
                <w:b w:val="0"/>
                <w:sz w:val="24"/>
              </w:rPr>
              <w:t>—</w:t>
            </w:r>
          </w:p>
        </w:tc>
      </w:tr>
      <w:tr>
        <w:tc>
          <w:tcPr>
            <w:tcW w:type="dxa" w:w="2160"/>
          </w:tcPr>
          <w:p>
            <w:r>
              <w:rPr>
                <w:rFonts w:ascii="宋体" w:hAnsi="宋体" w:eastAsia="宋体"/>
                <w:b w:val="0"/>
                <w:sz w:val="24"/>
              </w:rPr>
              <w:t>路径覆盖</w:t>
            </w:r>
          </w:p>
        </w:tc>
        <w:tc>
          <w:tcPr>
            <w:tcW w:type="dxa" w:w="2160"/>
          </w:tcPr>
          <w:p>
            <w:r>
              <w:rPr>
                <w:rFonts w:ascii="宋体" w:hAnsi="宋体" w:eastAsia="宋体"/>
                <w:b w:val="0"/>
                <w:sz w:val="24"/>
              </w:rPr>
              <w:t>81%</w:t>
            </w:r>
          </w:p>
        </w:tc>
        <w:tc>
          <w:tcPr>
            <w:tcW w:type="dxa" w:w="2160"/>
          </w:tcPr>
          <w:p>
            <w:r>
              <w:rPr>
                <w:rFonts w:ascii="宋体" w:hAnsi="宋体" w:eastAsia="宋体"/>
                <w:b w:val="0"/>
                <w:sz w:val="24"/>
              </w:rPr>
              <w:t>19%</w:t>
            </w:r>
          </w:p>
        </w:tc>
        <w:tc>
          <w:tcPr>
            <w:tcW w:type="dxa" w:w="2160"/>
          </w:tcPr>
          <w:p>
            <w:r>
              <w:rPr>
                <w:rFonts w:ascii="宋体" w:hAnsi="宋体" w:eastAsia="宋体"/>
                <w:b w:val="0"/>
                <w:sz w:val="24"/>
              </w:rPr>
              <w:t>15%</w:t>
            </w:r>
          </w:p>
        </w:tc>
      </w:tr>
      <w:tr>
        <w:tc>
          <w:tcPr>
            <w:tcW w:type="dxa" w:w="2160"/>
          </w:tcPr>
          <w:p>
            <w:r>
              <w:rPr>
                <w:rFonts w:ascii="宋体" w:hAnsi="宋体" w:eastAsia="宋体"/>
                <w:b w:val="0"/>
                <w:sz w:val="24"/>
              </w:rPr>
              <w:t>资源配置策略</w:t>
            </w:r>
          </w:p>
        </w:tc>
        <w:tc>
          <w:tcPr>
            <w:tcW w:type="dxa" w:w="2160"/>
          </w:tcPr>
          <w:p>
            <w:r>
              <w:rPr>
                <w:rFonts w:ascii="宋体" w:hAnsi="宋体" w:eastAsia="宋体"/>
                <w:b w:val="0"/>
                <w:sz w:val="24"/>
              </w:rPr>
              <w:t>均衡投入</w:t>
            </w:r>
          </w:p>
        </w:tc>
        <w:tc>
          <w:tcPr>
            <w:tcW w:type="dxa" w:w="2160"/>
          </w:tcPr>
          <w:p>
            <w:r>
              <w:rPr>
                <w:rFonts w:ascii="宋体" w:hAnsi="宋体" w:eastAsia="宋体"/>
                <w:b w:val="0"/>
                <w:sz w:val="24"/>
              </w:rPr>
              <w:t>聚焦服务、质量、效果</w:t>
            </w:r>
          </w:p>
        </w:tc>
        <w:tc>
          <w:tcPr>
            <w:tcW w:type="dxa" w:w="2160"/>
          </w:tcPr>
          <w:p>
            <w:r>
              <w:rPr>
                <w:rFonts w:ascii="宋体" w:hAnsi="宋体" w:eastAsia="宋体"/>
                <w:b w:val="0"/>
                <w:sz w:val="24"/>
              </w:rPr>
              <w:t>聚焦生态和运营</w:t>
            </w:r>
          </w:p>
        </w:tc>
      </w:tr>
      <w:tr>
        <w:tc>
          <w:tcPr>
            <w:tcW w:type="dxa" w:w="2160"/>
          </w:tcPr>
          <w:p>
            <w:r>
              <w:rPr>
                <w:rFonts w:ascii="宋体" w:hAnsi="宋体" w:eastAsia="宋体"/>
                <w:b w:val="0"/>
                <w:sz w:val="24"/>
              </w:rPr>
              <w:t>风险点</w:t>
            </w:r>
          </w:p>
        </w:tc>
        <w:tc>
          <w:tcPr>
            <w:tcW w:type="dxa" w:w="2160"/>
          </w:tcPr>
          <w:p>
            <w:r>
              <w:rPr>
                <w:rFonts w:ascii="宋体" w:hAnsi="宋体" w:eastAsia="宋体"/>
                <w:b w:val="0"/>
                <w:sz w:val="24"/>
              </w:rPr>
              <w:t>资源需求大，全面维持难度高</w:t>
            </w:r>
          </w:p>
        </w:tc>
        <w:tc>
          <w:tcPr>
            <w:tcW w:type="dxa" w:w="2160"/>
          </w:tcPr>
          <w:p>
            <w:r>
              <w:rPr>
                <w:rFonts w:ascii="宋体" w:hAnsi="宋体" w:eastAsia="宋体"/>
                <w:b w:val="0"/>
                <w:sz w:val="24"/>
              </w:rPr>
              <w:t>制度短板可能制约长期发展</w:t>
            </w:r>
          </w:p>
        </w:tc>
        <w:tc>
          <w:tcPr>
            <w:tcW w:type="dxa" w:w="2160"/>
          </w:tcPr>
          <w:p>
            <w:r>
              <w:rPr>
                <w:rFonts w:ascii="宋体" w:hAnsi="宋体" w:eastAsia="宋体"/>
                <w:b w:val="0"/>
                <w:sz w:val="24"/>
              </w:rPr>
              <w:t>组织和技术基础薄弱</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t>三条路径共同验证了fsQCA的</w:t>
      </w:r>
      <w:r>
        <w:rPr>
          <w:rFonts w:ascii="宋体" w:hAnsi="宋体" w:eastAsia="宋体"/>
          <w:b/>
          <w:sz w:val="24"/>
        </w:rPr>
        <w:t>等价性原则</w:t>
      </w:r>
      <w:r>
        <w:rPr>
          <w:rFonts w:ascii="宋体" w:hAnsi="宋体" w:eastAsia="宋体"/>
          <w:b w:val="0"/>
          <w:sz w:val="24"/>
        </w:rPr>
        <w:t>——同一结果（高绩效）可以由不同的条件组合产生。不同资源禀赋和发展阶段的平台可以选择不同的"追赶路径"：资源丰富型平台适合H1路径，通过全面投入实现系统领先；资源约束型平台适合H2路径，通过聚焦关键维度实现重点突破；生态活跃型平台适合H3路径，通过培育运营生态实现弯道超车。</w:t>
      </w:r>
    </w:p>
    <w:p>
      <w:pPr>
        <w:pStyle w:val="Heading3"/>
      </w:pPr>
      <w:r>
        <w:rPr>
          <w:rFonts w:ascii="黑体" w:hAnsi="黑体" w:eastAsia="黑体"/>
          <w:b/>
          <w:sz w:val="24"/>
        </w:rPr>
        <w:t>4.4 低绩效组态路径</w:t>
      </w:r>
    </w:p>
    <w:p>
      <w:r>
        <w:rPr>
          <w:rFonts w:ascii="宋体" w:hAnsi="宋体" w:eastAsia="宋体"/>
          <w:b w:val="0"/>
          <w:sz w:val="24"/>
        </w:rPr>
        <w:t>表4-4报告了fsQCA分析得到的低绩效组态路径（中间解）。总体解的一致性为0.89，覆盖度为0.87。</w:t>
      </w:r>
    </w:p>
    <w:p>
      <w:r>
        <w:rPr>
          <w:rFonts w:ascii="宋体" w:hAnsi="宋体" w:eastAsia="宋体"/>
          <w:b w:val="0"/>
          <w:sz w:val="24"/>
        </w:rPr>
      </w:r>
      <w:r>
        <w:rPr>
          <w:rFonts w:ascii="宋体" w:hAnsi="宋体" w:eastAsia="宋体"/>
          <w:b/>
          <w:sz w:val="24"/>
        </w:rPr>
        <w:t>表4-4 低绩效组态路径（中间解）</w:t>
      </w:r>
      <w:r>
        <w:rPr>
          <w:rFonts w:ascii="宋体" w:hAnsi="宋体" w:eastAsia="宋体"/>
          <w:b w:val="0"/>
          <w:sz w:val="24"/>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4"/>
              </w:rPr>
              <w:t>条件变量</w:t>
            </w:r>
          </w:p>
        </w:tc>
        <w:tc>
          <w:tcPr>
            <w:tcW w:type="dxa" w:w="2880"/>
          </w:tcPr>
          <w:p>
            <w:r>
              <w:rPr>
                <w:rFonts w:ascii="宋体" w:hAnsi="宋体" w:eastAsia="宋体"/>
                <w:b w:val="0"/>
                <w:sz w:val="24"/>
              </w:rPr>
              <w:t>L1：供给-质量双低型</w:t>
            </w:r>
          </w:p>
        </w:tc>
        <w:tc>
          <w:tcPr>
            <w:tcW w:type="dxa" w:w="2880"/>
          </w:tcPr>
          <w:p>
            <w:r>
              <w:rPr>
                <w:rFonts w:ascii="宋体" w:hAnsi="宋体" w:eastAsia="宋体"/>
                <w:b w:val="0"/>
                <w:sz w:val="24"/>
              </w:rPr>
              <w:t>L2：制度-技术双低型</w:t>
            </w:r>
          </w:p>
        </w:tc>
      </w:tr>
      <w:tr>
        <w:tc>
          <w:tcPr>
            <w:tcW w:type="dxa" w:w="2880"/>
          </w:tcPr>
          <w:p>
            <w:r>
              <w:rPr>
                <w:rFonts w:ascii="宋体" w:hAnsi="宋体" w:eastAsia="宋体"/>
                <w:b w:val="0"/>
                <w:sz w:val="24"/>
              </w:rPr>
              <w:t>政策法规（PL）</w:t>
            </w:r>
          </w:p>
        </w:tc>
        <w:tc>
          <w:tcPr>
            <w:tcW w:type="dxa" w:w="2880"/>
          </w:tcPr>
          <w:p>
            <w:r>
              <w:rPr>
                <w:rFonts w:ascii="宋体" w:hAnsi="宋体" w:eastAsia="宋体"/>
                <w:b w:val="0"/>
                <w:sz w:val="24"/>
              </w:rPr>
              <w:t>⊗</w:t>
            </w:r>
          </w:p>
        </w:tc>
        <w:tc>
          <w:tcPr>
            <w:tcW w:type="dxa" w:w="2880"/>
          </w:tcPr>
          <w:p>
            <w:r>
              <w:rPr>
                <w:rFonts w:ascii="宋体" w:hAnsi="宋体" w:eastAsia="宋体"/>
                <w:b w:val="0"/>
                <w:sz w:val="24"/>
              </w:rPr>
              <w:t>⊗</w:t>
            </w:r>
          </w:p>
        </w:tc>
      </w:tr>
      <w:tr>
        <w:tc>
          <w:tcPr>
            <w:tcW w:type="dxa" w:w="2880"/>
          </w:tcPr>
          <w:p>
            <w:r>
              <w:rPr>
                <w:rFonts w:ascii="宋体" w:hAnsi="宋体" w:eastAsia="宋体"/>
                <w:b w:val="0"/>
                <w:sz w:val="24"/>
              </w:rPr>
              <w:t>组织保障（OG）</w:t>
            </w:r>
          </w:p>
        </w:tc>
        <w:tc>
          <w:tcPr>
            <w:tcW w:type="dxa" w:w="2880"/>
          </w:tcPr>
          <w:p>
            <w:r>
              <w:rPr>
                <w:rFonts w:ascii="宋体" w:hAnsi="宋体" w:eastAsia="宋体"/>
                <w:b w:val="0"/>
                <w:sz w:val="24"/>
              </w:rPr>
              <w:t>⊗</w:t>
            </w:r>
          </w:p>
        </w:tc>
        <w:tc>
          <w:tcPr>
            <w:tcW w:type="dxa" w:w="2880"/>
          </w:tcPr>
          <w:p>
            <w:r>
              <w:rPr>
                <w:rFonts w:ascii="宋体" w:hAnsi="宋体" w:eastAsia="宋体"/>
                <w:b w:val="0"/>
                <w:sz w:val="24"/>
              </w:rPr>
              <w:t>⊗</w:t>
            </w:r>
          </w:p>
        </w:tc>
      </w:tr>
      <w:tr>
        <w:tc>
          <w:tcPr>
            <w:tcW w:type="dxa" w:w="2880"/>
          </w:tcPr>
          <w:p>
            <w:r>
              <w:rPr>
                <w:rFonts w:ascii="宋体" w:hAnsi="宋体" w:eastAsia="宋体"/>
                <w:b w:val="0"/>
                <w:sz w:val="24"/>
              </w:rPr>
              <w:t>平台建设（PC）</w:t>
            </w:r>
          </w:p>
        </w:tc>
        <w:tc>
          <w:tcPr>
            <w:tcW w:type="dxa" w:w="2880"/>
          </w:tcPr>
          <w:p>
            <w:r>
              <w:rPr>
                <w:rFonts w:ascii="宋体" w:hAnsi="宋体" w:eastAsia="宋体"/>
                <w:b w:val="0"/>
                <w:sz w:val="24"/>
              </w:rPr>
              <w:t>●</w:t>
            </w:r>
          </w:p>
        </w:tc>
        <w:tc>
          <w:tcPr>
            <w:tcW w:type="dxa" w:w="2880"/>
          </w:tcPr>
          <w:p>
            <w:r>
              <w:rPr>
                <w:rFonts w:ascii="宋体" w:hAnsi="宋体" w:eastAsia="宋体"/>
                <w:b w:val="0"/>
                <w:sz w:val="24"/>
              </w:rPr>
              <w:t>⊗</w:t>
            </w:r>
          </w:p>
        </w:tc>
      </w:tr>
      <w:tr>
        <w:tc>
          <w:tcPr>
            <w:tcW w:type="dxa" w:w="2880"/>
          </w:tcPr>
          <w:p>
            <w:r>
              <w:rPr>
                <w:rFonts w:ascii="宋体" w:hAnsi="宋体" w:eastAsia="宋体"/>
                <w:b w:val="0"/>
                <w:sz w:val="24"/>
              </w:rPr>
              <w:t>数据质量（DQ）</w:t>
            </w:r>
          </w:p>
        </w:tc>
        <w:tc>
          <w:tcPr>
            <w:tcW w:type="dxa" w:w="2880"/>
          </w:tcPr>
          <w:p>
            <w:r>
              <w:rPr>
                <w:rFonts w:ascii="宋体" w:hAnsi="宋体" w:eastAsia="宋体"/>
                <w:b w:val="0"/>
                <w:sz w:val="24"/>
              </w:rPr>
              <w:t>⊗</w:t>
            </w:r>
          </w:p>
        </w:tc>
        <w:tc>
          <w:tcPr>
            <w:tcW w:type="dxa" w:w="2880"/>
          </w:tcPr>
          <w:p>
            <w:r>
              <w:rPr>
                <w:rFonts w:ascii="宋体" w:hAnsi="宋体" w:eastAsia="宋体"/>
                <w:b w:val="0"/>
                <w:sz w:val="24"/>
              </w:rPr>
              <w:t>⊗</w:t>
            </w:r>
          </w:p>
        </w:tc>
      </w:tr>
      <w:tr>
        <w:tc>
          <w:tcPr>
            <w:tcW w:type="dxa" w:w="2880"/>
          </w:tcPr>
          <w:p>
            <w:r>
              <w:rPr>
                <w:rFonts w:ascii="宋体" w:hAnsi="宋体" w:eastAsia="宋体"/>
                <w:b w:val="0"/>
                <w:sz w:val="24"/>
              </w:rPr>
              <w:t>应用效果（AE）</w:t>
            </w:r>
          </w:p>
        </w:tc>
        <w:tc>
          <w:tcPr>
            <w:tcW w:type="dxa" w:w="2880"/>
          </w:tcPr>
          <w:p>
            <w:r>
              <w:rPr>
                <w:rFonts w:ascii="宋体" w:hAnsi="宋体" w:eastAsia="宋体"/>
                <w:b w:val="0"/>
                <w:sz w:val="24"/>
              </w:rPr>
              <w:t>⊗</w:t>
            </w:r>
          </w:p>
        </w:tc>
        <w:tc>
          <w:tcPr>
            <w:tcW w:type="dxa" w:w="2880"/>
          </w:tcPr>
          <w:p>
            <w:r>
              <w:rPr>
                <w:rFonts w:ascii="宋体" w:hAnsi="宋体" w:eastAsia="宋体"/>
                <w:b w:val="0"/>
                <w:sz w:val="24"/>
              </w:rPr>
              <w:t>●</w:t>
            </w:r>
          </w:p>
        </w:tc>
      </w:tr>
      <w:tr>
        <w:tc>
          <w:tcPr>
            <w:tcW w:type="dxa" w:w="2880"/>
          </w:tcPr>
          <w:p>
            <w:r>
              <w:rPr>
                <w:rFonts w:ascii="宋体" w:hAnsi="宋体" w:eastAsia="宋体"/>
                <w:b w:val="0"/>
                <w:sz w:val="24"/>
              </w:rPr>
              <w:t>运营能力（OP）</w:t>
            </w:r>
          </w:p>
        </w:tc>
        <w:tc>
          <w:tcPr>
            <w:tcW w:type="dxa" w:w="2880"/>
          </w:tcPr>
          <w:p>
            <w:r>
              <w:rPr>
                <w:rFonts w:ascii="宋体" w:hAnsi="宋体" w:eastAsia="宋体"/>
                <w:b w:val="0"/>
                <w:sz w:val="24"/>
              </w:rPr>
              <w:t>●</w:t>
            </w:r>
          </w:p>
        </w:tc>
        <w:tc>
          <w:tcPr>
            <w:tcW w:type="dxa" w:w="2880"/>
          </w:tcPr>
          <w:p>
            <w:r>
              <w:rPr>
                <w:rFonts w:ascii="宋体" w:hAnsi="宋体" w:eastAsia="宋体"/>
                <w:b w:val="0"/>
                <w:sz w:val="24"/>
              </w:rPr>
              <w:t>⊗</w:t>
            </w:r>
          </w:p>
        </w:tc>
      </w:tr>
      <w:tr>
        <w:tc>
          <w:tcPr>
            <w:tcW w:type="dxa" w:w="2880"/>
          </w:tcPr>
          <w:p>
            <w:r>
              <w:rPr>
                <w:rFonts w:ascii="宋体" w:hAnsi="宋体" w:eastAsia="宋体"/>
                <w:b w:val="0"/>
                <w:sz w:val="24"/>
              </w:rPr>
              <w:t>原始覆盖度</w:t>
            </w:r>
          </w:p>
        </w:tc>
        <w:tc>
          <w:tcPr>
            <w:tcW w:type="dxa" w:w="2880"/>
          </w:tcPr>
          <w:p>
            <w:r>
              <w:rPr>
                <w:rFonts w:ascii="宋体" w:hAnsi="宋体" w:eastAsia="宋体"/>
                <w:b w:val="0"/>
                <w:sz w:val="24"/>
              </w:rPr>
              <w:t>0.52</w:t>
            </w:r>
          </w:p>
        </w:tc>
        <w:tc>
          <w:tcPr>
            <w:tcW w:type="dxa" w:w="2880"/>
          </w:tcPr>
          <w:p>
            <w:r>
              <w:rPr>
                <w:rFonts w:ascii="宋体" w:hAnsi="宋体" w:eastAsia="宋体"/>
                <w:b w:val="0"/>
                <w:sz w:val="24"/>
              </w:rPr>
              <w:t>0.35</w:t>
            </w:r>
          </w:p>
        </w:tc>
      </w:tr>
      <w:tr>
        <w:tc>
          <w:tcPr>
            <w:tcW w:type="dxa" w:w="2880"/>
          </w:tcPr>
          <w:p>
            <w:r>
              <w:rPr>
                <w:rFonts w:ascii="宋体" w:hAnsi="宋体" w:eastAsia="宋体"/>
                <w:b w:val="0"/>
                <w:sz w:val="24"/>
              </w:rPr>
              <w:t>唯一覆盖度</w:t>
            </w:r>
          </w:p>
        </w:tc>
        <w:tc>
          <w:tcPr>
            <w:tcW w:type="dxa" w:w="2880"/>
          </w:tcPr>
          <w:p>
            <w:r>
              <w:rPr>
                <w:rFonts w:ascii="宋体" w:hAnsi="宋体" w:eastAsia="宋体"/>
                <w:b w:val="0"/>
                <w:sz w:val="24"/>
              </w:rPr>
              <w:t>0.38</w:t>
            </w:r>
          </w:p>
        </w:tc>
        <w:tc>
          <w:tcPr>
            <w:tcW w:type="dxa" w:w="2880"/>
          </w:tcPr>
          <w:p>
            <w:r>
              <w:rPr>
                <w:rFonts w:ascii="宋体" w:hAnsi="宋体" w:eastAsia="宋体"/>
                <w:b w:val="0"/>
                <w:sz w:val="24"/>
              </w:rPr>
              <w:t>0.24</w:t>
            </w:r>
          </w:p>
        </w:tc>
      </w:tr>
      <w:tr>
        <w:tc>
          <w:tcPr>
            <w:tcW w:type="dxa" w:w="2880"/>
          </w:tcPr>
          <w:p>
            <w:r>
              <w:rPr>
                <w:rFonts w:ascii="宋体" w:hAnsi="宋体" w:eastAsia="宋体"/>
                <w:b w:val="0"/>
                <w:sz w:val="24"/>
              </w:rPr>
              <w:t>一致性</w:t>
            </w:r>
          </w:p>
        </w:tc>
        <w:tc>
          <w:tcPr>
            <w:tcW w:type="dxa" w:w="2880"/>
          </w:tcPr>
          <w:p>
            <w:r>
              <w:rPr>
                <w:rFonts w:ascii="宋体" w:hAnsi="宋体" w:eastAsia="宋体"/>
                <w:b w:val="0"/>
                <w:sz w:val="24"/>
              </w:rPr>
              <w:t>0.91</w:t>
            </w:r>
          </w:p>
        </w:tc>
        <w:tc>
          <w:tcPr>
            <w:tcW w:type="dxa" w:w="2880"/>
          </w:tcPr>
          <w:p>
            <w:r>
              <w:rPr>
                <w:rFonts w:ascii="宋体" w:hAnsi="宋体" w:eastAsia="宋体"/>
                <w:b w:val="0"/>
                <w:sz w:val="24"/>
              </w:rPr>
              <w:t>0.88</w:t>
            </w:r>
          </w:p>
        </w:tc>
      </w:tr>
    </w:tbl>
    <w:p>
      <w:r>
        <w:rPr>
          <w:rFonts w:ascii="宋体" w:hAnsi="宋体" w:eastAsia="宋体"/>
          <w:b w:val="0"/>
          <w:sz w:val="24"/>
        </w:rPr>
      </w:r>
      <w:r>
        <w:rPr>
          <w:rFonts w:ascii="宋体" w:hAnsi="宋体" w:eastAsia="宋体"/>
          <w:b w:val="0"/>
          <w:i/>
          <w:sz w:val="24"/>
        </w:rPr>
        <w:t>注：●表示核心条件存在，⊗表示核心条件缺失，空白表示条件可存在可不存在。数据来源：fsQCA分析结果。</w:t>
      </w:r>
      <w:r>
        <w:rPr>
          <w:rFonts w:ascii="宋体" w:hAnsi="宋体" w:eastAsia="宋体"/>
          <w:b w:val="0"/>
          <w:sz w:val="24"/>
        </w:rPr>
      </w:r>
    </w:p>
    <w:p>
      <w:r>
        <w:rPr>
          <w:rFonts w:ascii="宋体" w:hAnsi="宋体" w:eastAsia="宋体"/>
          <w:b w:val="0"/>
          <w:sz w:val="24"/>
        </w:rPr>
      </w:r>
      <w:r>
        <w:rPr>
          <w:rFonts w:ascii="宋体" w:hAnsi="宋体" w:eastAsia="宋体"/>
          <w:b/>
          <w:sz w:val="24"/>
        </w:rPr>
        <w:t>路径L1：供给-质量双低型（原始覆盖度0.52）</w:t>
      </w:r>
      <w:r>
        <w:rPr>
          <w:rFonts w:ascii="宋体" w:hAnsi="宋体" w:eastAsia="宋体"/>
          <w:b w:val="0"/>
          <w:sz w:val="24"/>
        </w:rPr>
      </w:r>
    </w:p>
    <w:p>
      <w:r>
        <w:rPr>
          <w:rFonts w:ascii="宋体" w:hAnsi="宋体" w:eastAsia="宋体"/>
          <w:b w:val="0"/>
          <w:sz w:val="24"/>
        </w:rPr>
        <w:t>L1路径的特征是"政策法规缺失∧组织保障缺失∧数据质量缺失"，而"平台建设"和"运营能力"存在。即"~PL∧~OG∧PC∧~DQ∧~AE∧OP"。这条路径表明，即使平台拥有较为完善的技术功能和持续的运营投入，如果缺乏制度保障、组织支持和数据质量，仍然难以实现高绩效。</w:t>
      </w:r>
    </w:p>
    <w:p>
      <w:r>
        <w:rPr>
          <w:rFonts w:ascii="宋体" w:hAnsi="宋体" w:eastAsia="宋体"/>
          <w:b w:val="0"/>
          <w:sz w:val="24"/>
        </w:rPr>
        <w:t>典型案例是部分中部省份平台。这些平台在技术层面投入了不少资源（平台建设得分不低），但由于缺乏专门的数据开放法规和组织保障机制，数据质量难以保证，最终导致绩效偏低。这一路径揭示了"技术决定论"的误区——单纯的技术投入无法弥补制度和质量的短板。</w:t>
      </w:r>
    </w:p>
    <w:p>
      <w:r>
        <w:rPr>
          <w:rFonts w:ascii="宋体" w:hAnsi="宋体" w:eastAsia="宋体"/>
          <w:b w:val="0"/>
          <w:sz w:val="24"/>
        </w:rPr>
      </w:r>
      <w:r>
        <w:rPr>
          <w:rFonts w:ascii="宋体" w:hAnsi="宋体" w:eastAsia="宋体"/>
          <w:b/>
          <w:sz w:val="24"/>
        </w:rPr>
        <w:t>路径L2：制度-技术双低型（原始覆盖度0.35）</w:t>
      </w:r>
      <w:r>
        <w:rPr>
          <w:rFonts w:ascii="宋体" w:hAnsi="宋体" w:eastAsia="宋体"/>
          <w:b w:val="0"/>
          <w:sz w:val="24"/>
        </w:rPr>
      </w:r>
    </w:p>
    <w:p>
      <w:r>
        <w:rPr>
          <w:rFonts w:ascii="宋体" w:hAnsi="宋体" w:eastAsia="宋体"/>
          <w:b w:val="0"/>
          <w:sz w:val="24"/>
        </w:rPr>
        <w:t>L2路径的特征是"政策法规缺失∧组织保障缺失∧平台建设缺失∧数据质量缺失∧运营能力缺失"，仅"应用效果"存在。即"~PL∧~OG∧~PC∧~DQ∧AE∧~OP"。这条路径表明，即使平台在某些应用领域取得了一定成效（如个别创新比赛获奖），如果制度基础、技术基础和质量基础全面薄弱，整体绩效仍然难以提升。</w:t>
      </w:r>
    </w:p>
    <w:p>
      <w:r>
        <w:rPr>
          <w:rFonts w:ascii="宋体" w:hAnsi="宋体" w:eastAsia="宋体"/>
          <w:b w:val="0"/>
          <w:sz w:val="24"/>
        </w:rPr>
        <w:t>低绩效路径与高绩效路径的比较揭示了fsQCA的</w:t>
      </w:r>
      <w:r>
        <w:rPr>
          <w:rFonts w:ascii="宋体" w:hAnsi="宋体" w:eastAsia="宋体"/>
          <w:b/>
          <w:sz w:val="24"/>
        </w:rPr>
        <w:t>非对称性原则</w:t>
      </w:r>
      <w:r>
        <w:rPr>
          <w:rFonts w:ascii="宋体" w:hAnsi="宋体" w:eastAsia="宋体"/>
          <w:b w:val="0"/>
          <w:sz w:val="24"/>
        </w:rPr>
        <w:t>——导致低绩效的条件组合并非"高绩效组合的镜像"。例如，高绩效路径H1要求"全部条件存在"，但低绩效路径L1并非"全部条件缺失"，而是"特定条件缺失+其他条件存在"的复杂组合。这种非对称性提醒政策制定者：纠正低绩效并非简单地"补齐短板"，而需要针对特定的组态缺陷进行系统性的干预。</w:t>
      </w:r>
    </w:p>
    <w:p>
      <w:pPr>
        <w:pStyle w:val="Heading3"/>
      </w:pPr>
      <w:r>
        <w:rPr>
          <w:rFonts w:ascii="黑体" w:hAnsi="黑体" w:eastAsia="黑体"/>
          <w:b/>
          <w:sz w:val="24"/>
        </w:rPr>
        <w:t>4.5 稳健性检验</w:t>
      </w:r>
    </w:p>
    <w:p>
      <w:r>
        <w:rPr>
          <w:rFonts w:ascii="宋体" w:hAnsi="宋体" w:eastAsia="宋体"/>
          <w:b w:val="0"/>
          <w:sz w:val="24"/>
        </w:rPr>
        <w:t>本研究通过三种方式对fsQCA结果进行稳健性检验。</w:t>
      </w:r>
    </w:p>
    <w:p>
      <w:r>
        <w:rPr>
          <w:rFonts w:ascii="宋体" w:hAnsi="宋体" w:eastAsia="宋体"/>
          <w:b w:val="0"/>
          <w:sz w:val="24"/>
        </w:rPr>
      </w:r>
      <w:r>
        <w:rPr>
          <w:rFonts w:ascii="宋体" w:hAnsi="宋体" w:eastAsia="宋体"/>
          <w:b/>
          <w:sz w:val="24"/>
        </w:rPr>
        <w:t>检验一：校准阈值调整。</w:t>
      </w:r>
      <w:r>
        <w:rPr>
          <w:rFonts w:ascii="宋体" w:hAnsi="宋体" w:eastAsia="宋体"/>
          <w:b w:val="0"/>
          <w:sz w:val="24"/>
        </w:rPr>
        <w:t xml:space="preserve"> 将交叉点（0.50锚点）上下调整10%，重新进行校准和fsQCA分析。结果显示，三条高绩效路径的核心条件组合保持一致，仅边缘条件有微小变化，表明校准阈值的选择对核心结论影响有限。</w:t>
      </w:r>
    </w:p>
    <w:p>
      <w:r>
        <w:rPr>
          <w:rFonts w:ascii="宋体" w:hAnsi="宋体" w:eastAsia="宋体"/>
          <w:b w:val="0"/>
          <w:sz w:val="24"/>
        </w:rPr>
      </w:r>
      <w:r>
        <w:rPr>
          <w:rFonts w:ascii="宋体" w:hAnsi="宋体" w:eastAsia="宋体"/>
          <w:b/>
          <w:sz w:val="24"/>
        </w:rPr>
        <w:t>检验二：一致性阈值调整。</w:t>
      </w:r>
      <w:r>
        <w:rPr>
          <w:rFonts w:ascii="宋体" w:hAnsi="宋体" w:eastAsia="宋体"/>
          <w:b w:val="0"/>
          <w:sz w:val="24"/>
        </w:rPr>
        <w:t xml:space="preserve"> 将一致性阈值从0.80分别调整为0.75和0.85，重新进行逻辑最小化。结果显示，0.75阈值下得到的路径与0.80阈值基本一致，但增加了一些边缘条件；0.85阈值下路径数量减少，但核心路径（H1、H2）仍然保持稳定。</w:t>
      </w:r>
    </w:p>
    <w:p>
      <w:r>
        <w:rPr>
          <w:rFonts w:ascii="宋体" w:hAnsi="宋体" w:eastAsia="宋体"/>
          <w:b w:val="0"/>
          <w:sz w:val="24"/>
        </w:rPr>
      </w:r>
      <w:r>
        <w:rPr>
          <w:rFonts w:ascii="宋体" w:hAnsi="宋体" w:eastAsia="宋体"/>
          <w:b/>
          <w:sz w:val="24"/>
        </w:rPr>
        <w:t>检验三：PRI一致性检验。</w:t>
      </w:r>
      <w:r>
        <w:rPr>
          <w:rFonts w:ascii="宋体" w:hAnsi="宋体" w:eastAsia="宋体"/>
          <w:b w:val="0"/>
          <w:sz w:val="24"/>
        </w:rPr>
        <w:t xml:space="preserve"> PRI一致性用于排除结果变量与条件变量之间可能存在的子集关系偏差。本研究所有路径的PRI一致性均超过0.70的阈值（H1：0.88，H2：0.82，H3：0.79；L1：0.85，L2：0.80），表明结果不受明显的子集关系偏差影响。</w:t>
      </w:r>
    </w:p>
    <w:p>
      <w:r>
        <w:rPr>
          <w:rFonts w:ascii="宋体" w:hAnsi="宋体" w:eastAsia="宋体"/>
          <w:b w:val="0"/>
          <w:sz w:val="24"/>
        </w:rPr>
        <w:t>综合三项稳健性检验，本研究的fsQCA结果具有较好的稳健性。</w:t>
      </w:r>
    </w:p>
    <w:p>
      <w:pPr>
        <w:pStyle w:val="Heading2"/>
      </w:pPr>
      <w:r>
        <w:rPr>
          <w:rFonts w:ascii="黑体" w:hAnsi="黑体" w:eastAsia="黑体"/>
          <w:b/>
          <w:sz w:val="28"/>
        </w:rPr>
        <w:t>5 讨论</w:t>
      </w:r>
    </w:p>
    <w:p>
      <w:pPr>
        <w:pStyle w:val="Heading3"/>
      </w:pPr>
      <w:r>
        <w:rPr>
          <w:rFonts w:ascii="黑体" w:hAnsi="黑体" w:eastAsia="黑体"/>
          <w:b/>
          <w:sz w:val="24"/>
        </w:rPr>
        <w:t>5.1 fsQCA三原则的验证</w:t>
      </w:r>
    </w:p>
    <w:p>
      <w:r>
        <w:rPr>
          <w:rFonts w:ascii="宋体" w:hAnsi="宋体" w:eastAsia="宋体"/>
          <w:b w:val="0"/>
          <w:sz w:val="24"/>
        </w:rPr>
        <w:t>本研究的实证结果系统验证了fsQCA的三个核心原则在政府数据开放情境下的适用性。</w:t>
      </w:r>
    </w:p>
    <w:p>
      <w:r>
        <w:rPr>
          <w:rFonts w:ascii="宋体" w:hAnsi="宋体" w:eastAsia="宋体"/>
          <w:b w:val="0"/>
          <w:sz w:val="24"/>
        </w:rPr>
      </w:r>
      <w:r>
        <w:rPr>
          <w:rFonts w:ascii="宋体" w:hAnsi="宋体" w:eastAsia="宋体"/>
          <w:b/>
          <w:sz w:val="24"/>
        </w:rPr>
        <w:t>等价性原则的验证。</w:t>
      </w:r>
      <w:r>
        <w:rPr>
          <w:rFonts w:ascii="宋体" w:hAnsi="宋体" w:eastAsia="宋体"/>
          <w:b w:val="0"/>
          <w:sz w:val="24"/>
        </w:rPr>
        <w:t xml:space="preserve"> 三条高绩效路径（H1、H2、H3）的存在直接验证了等价性原则——同一结果（高绩效）可以由不同的条件组合产生。H1路径代表"全面投入"模式，H2路径代表"精准发力"模式，H3路径代表"生态协同"模式。三种模式的共存表明，政府数据开放绩效的提升没有唯一的"标准答案"，不同类型的平台可以依据自身的资源禀赋和发展阶段选择最适合的优化路径。这一发现对于政策制定者具有重要的启示意义：在制定全国性的数据开放推进政策时，应避免"一刀切"的统一标准，而应为不同类型的平台提供差异化的政策支持和资源配置方案。</w:t>
      </w:r>
    </w:p>
    <w:p>
      <w:r>
        <w:rPr>
          <w:rFonts w:ascii="宋体" w:hAnsi="宋体" w:eastAsia="宋体"/>
          <w:b w:val="0"/>
          <w:sz w:val="24"/>
        </w:rPr>
        <w:t>等价性原则的验证还具有更广泛的理论意义。Greckhamer和Furnari指出，等价性是组态分析对社会科学方法论的最大贡献之一——它打破了传统回归分析"单一最优解"的理论迷思，揭示了社会现象的"多重实现"（multiple realization）特征。本研究将等价性原则应用于政府数据开放领域，发现高绩效可以通过三条等效路径实现，为公共管理领域的"多因一果"现象提供了新的经验证据。三条路径的覆盖度差异（H1占81%，H2占19%，H3占15%）揭示了"主流模式"与"支流模式"的并存——大多数高绩效平台遵循"全面投入"的主流模式，但少数平台通过"精准发力"或"生态协同"的支流模式同样实现了高绩效。这种"主流-支流"结构为分类施策提供了实证依据：政策资源应向主流模式倾斜以最大化绩效产出，但同时应为支流模式保留空间以鼓励创新探索。</w:t>
      </w:r>
    </w:p>
    <w:p>
      <w:r>
        <w:rPr>
          <w:rFonts w:ascii="宋体" w:hAnsi="宋体" w:eastAsia="宋体"/>
          <w:b w:val="0"/>
          <w:sz w:val="24"/>
        </w:rPr>
      </w:r>
      <w:r>
        <w:rPr>
          <w:rFonts w:ascii="宋体" w:hAnsi="宋体" w:eastAsia="宋体"/>
          <w:b/>
          <w:sz w:val="24"/>
        </w:rPr>
        <w:t>非对称性原则的验证。</w:t>
      </w:r>
      <w:r>
        <w:rPr>
          <w:rFonts w:ascii="宋体" w:hAnsi="宋体" w:eastAsia="宋体"/>
          <w:b w:val="0"/>
          <w:sz w:val="24"/>
        </w:rPr>
        <w:t xml:space="preserve"> 高绩效路径与低绩效路径的比较揭示了明显的非对称性。高绩效路径H1要求"全部条件存在"，但低绩效路径L1并非"全部条件缺失"，而是"制度缺失+质量缺失但技术存在"的复杂组合。这种非对称性意味着：第一，"高绩效因素的缺失"不等于"低绩效"——某些因素缺失可能被其他因素弥补；第二，"低绩效因素的反向"不等于"高绩效"——简单地"补齐所有短板"未必能实现高绩效，还需要关注因素之间的协同关系。这一发现提醒平台运营者：诊断问题时应采用"组态视角"而非"清单视角"，识别低绩效背后的特定组态缺陷而非简单的"因素缺失"。</w:t>
      </w:r>
    </w:p>
    <w:p>
      <w:r>
        <w:rPr>
          <w:rFonts w:ascii="宋体" w:hAnsi="宋体" w:eastAsia="宋体"/>
          <w:b w:val="0"/>
          <w:sz w:val="24"/>
        </w:rPr>
        <w:t>非对称性原则的验证对于政策干预具有重要启示。Schneider和Wagemann指出，非对称性意味着"纠正低绩效"和"复制高绩效"需要不同的策略——纠正低绩效需要针对特定的组态缺陷进行精准干预，而复制高绩效需要复现完整的条件组合。本研究发现，低绩效路径L1（"供给-质量双低型"）的核心缺陷是"制度缺失+质量缺失"，即便这些平台拥有较为完善的技术功能（平台建设存在），仍然无法摆脱低绩效。这提示政策制定者：对于L1型平台，单纯的技术投入无法解决问题，必须从制度建设和质量提升两方面同时发力。而对于L2型平台（"制度-技术双低型"），则需要从基础制度建设和平台技术升级两个维度进行系统性帮扶。</w:t>
      </w:r>
    </w:p>
    <w:p>
      <w:r>
        <w:rPr>
          <w:rFonts w:ascii="宋体" w:hAnsi="宋体" w:eastAsia="宋体"/>
          <w:b w:val="0"/>
          <w:sz w:val="24"/>
        </w:rPr>
      </w:r>
      <w:r>
        <w:rPr>
          <w:rFonts w:ascii="宋体" w:hAnsi="宋体" w:eastAsia="宋体"/>
          <w:b/>
          <w:sz w:val="24"/>
        </w:rPr>
        <w:t>因果复杂性原则的验证。</w:t>
      </w:r>
      <w:r>
        <w:rPr>
          <w:rFonts w:ascii="宋体" w:hAnsi="宋体" w:eastAsia="宋体"/>
          <w:b w:val="0"/>
          <w:sz w:val="24"/>
        </w:rPr>
        <w:t xml:space="preserve"> 同一条件在不同路径中发挥了不同的作用。例如，"政策法规"在H1路径中存在（作为全面投入的组成部分），在H2路径中缺失（作为资源约束型平台的短板），在H3路径中存在（作为生态运营的外部支撑）。这种"条件依赖性"验证了因果复杂性原则——同一条件在不同情境下可能发挥不同甚至相反的作用。Fiss将这种现象称为"情境依赖的因果性"（context-dependent causality），认为它是社会科学研究中最具挑战性的方法论问题之一。</w:t>
      </w:r>
    </w:p>
    <w:p>
      <w:r>
        <w:rPr>
          <w:rFonts w:ascii="宋体" w:hAnsi="宋体" w:eastAsia="宋体"/>
          <w:b w:val="0"/>
          <w:sz w:val="24"/>
        </w:rPr>
        <w:t>因果复杂性原则的验证对于理论建构具有重要启示：在构建政府数据开放绩效的影响因素模型时，应避免将因素视为"恒定的自变量"，而应关注因素之间的交互效应和情境依赖性。本研究发现的"替代效应"（如H2路径中政策法规缺失可由服务-质量-效果弥补）和"互补效应"（如H1路径中六个条件的协同）为政府数据开放绩效理论增添了新的解释维度。这些发现超越了传统"主效应+交互效应"的回归分析框架，揭示了因素之间更为复杂的组合逻辑——某些因素之间是"缺一不可"的互补关系（如H1路径中六个条件必须同时存在），而另一些因素之间是"此消彼长"的替代关系（如H2路径中政策法规的缺失可由服务-质量-效果弥补）。</w:t>
      </w:r>
    </w:p>
    <w:p>
      <w:pPr>
        <w:pStyle w:val="Heading3"/>
      </w:pPr>
      <w:r>
        <w:rPr>
          <w:rFonts w:ascii="黑体" w:hAnsi="黑体" w:eastAsia="黑体"/>
          <w:b/>
          <w:sz w:val="24"/>
        </w:rPr>
        <w:t>5.2 与DEMATEL结果的交叉验证</w:t>
      </w:r>
    </w:p>
    <w:p>
      <w:r>
        <w:rPr>
          <w:rFonts w:ascii="宋体" w:hAnsi="宋体" w:eastAsia="宋体"/>
          <w:b w:val="0"/>
          <w:sz w:val="24"/>
        </w:rPr>
        <w:t>为进一步增强研究结论的稳健性，本研究运用DEMATEL方法对六个条件变量之间的因果关系进行了独立分析，并将结果与fsQCA的组态路径进行交叉验证。</w:t>
      </w:r>
    </w:p>
    <w:p>
      <w:r>
        <w:rPr>
          <w:rFonts w:ascii="宋体" w:hAnsi="宋体" w:eastAsia="宋体"/>
          <w:b w:val="0"/>
          <w:sz w:val="24"/>
        </w:rPr>
        <w:t>DEMATEL（Decision-Making Trial and Evaluation Laboratory）方法通过分析因素之间的直接影响矩阵，计算各因素的中心度（prominence）和原因度（relation），识别因素在因果网络中的位置和作用。表5-1报告了DEMATEL分析结果。</w:t>
      </w:r>
    </w:p>
    <w:p>
      <w:r>
        <w:rPr>
          <w:rFonts w:ascii="宋体" w:hAnsi="宋体" w:eastAsia="宋体"/>
          <w:b w:val="0"/>
          <w:sz w:val="24"/>
        </w:rPr>
      </w:r>
      <w:r>
        <w:rPr>
          <w:rFonts w:ascii="宋体" w:hAnsi="宋体" w:eastAsia="宋体"/>
          <w:b/>
          <w:sz w:val="24"/>
        </w:rPr>
        <w:t>表5-1 DEMATEL分析结果</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因素</w:t>
            </w:r>
          </w:p>
        </w:tc>
        <w:tc>
          <w:tcPr>
            <w:tcW w:type="dxa" w:w="1728"/>
          </w:tcPr>
          <w:p>
            <w:r>
              <w:rPr>
                <w:rFonts w:ascii="宋体" w:hAnsi="宋体" w:eastAsia="宋体"/>
                <w:b w:val="0"/>
                <w:sz w:val="24"/>
              </w:rPr>
              <w:t>中心度</w:t>
            </w:r>
          </w:p>
        </w:tc>
        <w:tc>
          <w:tcPr>
            <w:tcW w:type="dxa" w:w="1728"/>
          </w:tcPr>
          <w:p>
            <w:r>
              <w:rPr>
                <w:rFonts w:ascii="宋体" w:hAnsi="宋体" w:eastAsia="宋体"/>
                <w:b w:val="0"/>
                <w:sz w:val="24"/>
              </w:rPr>
              <w:t>原因度</w:t>
            </w:r>
          </w:p>
        </w:tc>
        <w:tc>
          <w:tcPr>
            <w:tcW w:type="dxa" w:w="1728"/>
          </w:tcPr>
          <w:p>
            <w:r>
              <w:rPr>
                <w:rFonts w:ascii="宋体" w:hAnsi="宋体" w:eastAsia="宋体"/>
                <w:b w:val="0"/>
                <w:sz w:val="24"/>
              </w:rPr>
              <w:t>类型</w:t>
            </w:r>
          </w:p>
        </w:tc>
        <w:tc>
          <w:tcPr>
            <w:tcW w:type="dxa" w:w="1728"/>
          </w:tcPr>
          <w:p>
            <w:r>
              <w:rPr>
                <w:rFonts w:ascii="宋体" w:hAnsi="宋体" w:eastAsia="宋体"/>
                <w:b w:val="0"/>
                <w:sz w:val="24"/>
              </w:rPr>
              <w:t>排序</w:t>
            </w:r>
          </w:p>
        </w:tc>
      </w:tr>
      <w:tr>
        <w:tc>
          <w:tcPr>
            <w:tcW w:type="dxa" w:w="1728"/>
          </w:tcPr>
          <w:p>
            <w:r>
              <w:rPr>
                <w:rFonts w:ascii="宋体" w:hAnsi="宋体" w:eastAsia="宋体"/>
                <w:b w:val="0"/>
                <w:sz w:val="24"/>
              </w:rPr>
              <w:t>政策法规（PL）</w:t>
            </w:r>
          </w:p>
        </w:tc>
        <w:tc>
          <w:tcPr>
            <w:tcW w:type="dxa" w:w="1728"/>
          </w:tcPr>
          <w:p>
            <w:r>
              <w:rPr>
                <w:rFonts w:ascii="宋体" w:hAnsi="宋体" w:eastAsia="宋体"/>
                <w:b w:val="0"/>
                <w:sz w:val="24"/>
              </w:rPr>
              <w:t>2.92</w:t>
            </w:r>
          </w:p>
        </w:tc>
        <w:tc>
          <w:tcPr>
            <w:tcW w:type="dxa" w:w="1728"/>
          </w:tcPr>
          <w:p>
            <w:r>
              <w:rPr>
                <w:rFonts w:ascii="宋体" w:hAnsi="宋体" w:eastAsia="宋体"/>
                <w:b w:val="0"/>
                <w:sz w:val="24"/>
              </w:rPr>
              <w:t>0.08</w:t>
            </w:r>
          </w:p>
        </w:tc>
        <w:tc>
          <w:tcPr>
            <w:tcW w:type="dxa" w:w="1728"/>
          </w:tcPr>
          <w:p>
            <w:r>
              <w:rPr>
                <w:rFonts w:ascii="宋体" w:hAnsi="宋体" w:eastAsia="宋体"/>
                <w:b w:val="0"/>
                <w:sz w:val="24"/>
              </w:rPr>
              <w:t>原因因素</w:t>
            </w:r>
          </w:p>
        </w:tc>
        <w:tc>
          <w:tcPr>
            <w:tcW w:type="dxa" w:w="1728"/>
          </w:tcPr>
          <w:p>
            <w:r>
              <w:rPr>
                <w:rFonts w:ascii="宋体" w:hAnsi="宋体" w:eastAsia="宋体"/>
                <w:b w:val="0"/>
                <w:sz w:val="24"/>
              </w:rPr>
              <w:t>1</w:t>
            </w:r>
          </w:p>
        </w:tc>
      </w:tr>
      <w:tr>
        <w:tc>
          <w:tcPr>
            <w:tcW w:type="dxa" w:w="1728"/>
          </w:tcPr>
          <w:p>
            <w:r>
              <w:rPr>
                <w:rFonts w:ascii="宋体" w:hAnsi="宋体" w:eastAsia="宋体"/>
                <w:b w:val="0"/>
                <w:sz w:val="24"/>
              </w:rPr>
              <w:t>应用效果（AE）</w:t>
            </w:r>
          </w:p>
        </w:tc>
        <w:tc>
          <w:tcPr>
            <w:tcW w:type="dxa" w:w="1728"/>
          </w:tcPr>
          <w:p>
            <w:r>
              <w:rPr>
                <w:rFonts w:ascii="宋体" w:hAnsi="宋体" w:eastAsia="宋体"/>
                <w:b w:val="0"/>
                <w:sz w:val="24"/>
              </w:rPr>
              <w:t>3.03</w:t>
            </w:r>
          </w:p>
        </w:tc>
        <w:tc>
          <w:tcPr>
            <w:tcW w:type="dxa" w:w="1728"/>
          </w:tcPr>
          <w:p>
            <w:r>
              <w:rPr>
                <w:rFonts w:ascii="宋体" w:hAnsi="宋体" w:eastAsia="宋体"/>
                <w:b w:val="0"/>
                <w:sz w:val="24"/>
              </w:rPr>
              <w:t>-0.05</w:t>
            </w:r>
          </w:p>
        </w:tc>
        <w:tc>
          <w:tcPr>
            <w:tcW w:type="dxa" w:w="1728"/>
          </w:tcPr>
          <w:p>
            <w:r>
              <w:rPr>
                <w:rFonts w:ascii="宋体" w:hAnsi="宋体" w:eastAsia="宋体"/>
                <w:b w:val="0"/>
                <w:sz w:val="24"/>
              </w:rPr>
              <w:t>结果因素</w:t>
            </w:r>
          </w:p>
        </w:tc>
        <w:tc>
          <w:tcPr>
            <w:tcW w:type="dxa" w:w="1728"/>
          </w:tcPr>
          <w:p>
            <w:r>
              <w:rPr>
                <w:rFonts w:ascii="宋体" w:hAnsi="宋体" w:eastAsia="宋体"/>
                <w:b w:val="0"/>
                <w:sz w:val="24"/>
              </w:rPr>
              <w:t>2</w:t>
            </w:r>
          </w:p>
        </w:tc>
      </w:tr>
      <w:tr>
        <w:tc>
          <w:tcPr>
            <w:tcW w:type="dxa" w:w="1728"/>
          </w:tcPr>
          <w:p>
            <w:r>
              <w:rPr>
                <w:rFonts w:ascii="宋体" w:hAnsi="宋体" w:eastAsia="宋体"/>
                <w:b w:val="0"/>
                <w:sz w:val="24"/>
              </w:rPr>
              <w:t>数据质量（DQ）</w:t>
            </w:r>
          </w:p>
        </w:tc>
        <w:tc>
          <w:tcPr>
            <w:tcW w:type="dxa" w:w="1728"/>
          </w:tcPr>
          <w:p>
            <w:r>
              <w:rPr>
                <w:rFonts w:ascii="宋体" w:hAnsi="宋体" w:eastAsia="宋体"/>
                <w:b w:val="0"/>
                <w:sz w:val="24"/>
              </w:rPr>
              <w:t>2.99</w:t>
            </w:r>
          </w:p>
        </w:tc>
        <w:tc>
          <w:tcPr>
            <w:tcW w:type="dxa" w:w="1728"/>
          </w:tcPr>
          <w:p>
            <w:r>
              <w:rPr>
                <w:rFonts w:ascii="宋体" w:hAnsi="宋体" w:eastAsia="宋体"/>
                <w:b w:val="0"/>
                <w:sz w:val="24"/>
              </w:rPr>
              <w:t>-0.03</w:t>
            </w:r>
          </w:p>
        </w:tc>
        <w:tc>
          <w:tcPr>
            <w:tcW w:type="dxa" w:w="1728"/>
          </w:tcPr>
          <w:p>
            <w:r>
              <w:rPr>
                <w:rFonts w:ascii="宋体" w:hAnsi="宋体" w:eastAsia="宋体"/>
                <w:b w:val="0"/>
                <w:sz w:val="24"/>
              </w:rPr>
              <w:t>结果因素</w:t>
            </w:r>
          </w:p>
        </w:tc>
        <w:tc>
          <w:tcPr>
            <w:tcW w:type="dxa" w:w="1728"/>
          </w:tcPr>
          <w:p>
            <w:r>
              <w:rPr>
                <w:rFonts w:ascii="宋体" w:hAnsi="宋体" w:eastAsia="宋体"/>
                <w:b w:val="0"/>
                <w:sz w:val="24"/>
              </w:rPr>
              <w:t>3</w:t>
            </w:r>
          </w:p>
        </w:tc>
      </w:tr>
      <w:tr>
        <w:tc>
          <w:tcPr>
            <w:tcW w:type="dxa" w:w="1728"/>
          </w:tcPr>
          <w:p>
            <w:r>
              <w:rPr>
                <w:rFonts w:ascii="宋体" w:hAnsi="宋体" w:eastAsia="宋体"/>
                <w:b w:val="0"/>
                <w:sz w:val="24"/>
              </w:rPr>
              <w:t>组织保障（OG）</w:t>
            </w:r>
          </w:p>
        </w:tc>
        <w:tc>
          <w:tcPr>
            <w:tcW w:type="dxa" w:w="1728"/>
          </w:tcPr>
          <w:p>
            <w:r>
              <w:rPr>
                <w:rFonts w:ascii="宋体" w:hAnsi="宋体" w:eastAsia="宋体"/>
                <w:b w:val="0"/>
                <w:sz w:val="24"/>
              </w:rPr>
              <w:t>2.78</w:t>
            </w:r>
          </w:p>
        </w:tc>
        <w:tc>
          <w:tcPr>
            <w:tcW w:type="dxa" w:w="1728"/>
          </w:tcPr>
          <w:p>
            <w:r>
              <w:rPr>
                <w:rFonts w:ascii="宋体" w:hAnsi="宋体" w:eastAsia="宋体"/>
                <w:b w:val="0"/>
                <w:sz w:val="24"/>
              </w:rPr>
              <w:t>0.02</w:t>
            </w:r>
          </w:p>
        </w:tc>
        <w:tc>
          <w:tcPr>
            <w:tcW w:type="dxa" w:w="1728"/>
          </w:tcPr>
          <w:p>
            <w:r>
              <w:rPr>
                <w:rFonts w:ascii="宋体" w:hAnsi="宋体" w:eastAsia="宋体"/>
                <w:b w:val="0"/>
                <w:sz w:val="24"/>
              </w:rPr>
              <w:t>原因因素</w:t>
            </w:r>
          </w:p>
        </w:tc>
        <w:tc>
          <w:tcPr>
            <w:tcW w:type="dxa" w:w="1728"/>
          </w:tcPr>
          <w:p>
            <w:r>
              <w:rPr>
                <w:rFonts w:ascii="宋体" w:hAnsi="宋体" w:eastAsia="宋体"/>
                <w:b w:val="0"/>
                <w:sz w:val="24"/>
              </w:rPr>
              <w:t>4</w:t>
            </w:r>
          </w:p>
        </w:tc>
      </w:tr>
      <w:tr>
        <w:tc>
          <w:tcPr>
            <w:tcW w:type="dxa" w:w="1728"/>
          </w:tcPr>
          <w:p>
            <w:r>
              <w:rPr>
                <w:rFonts w:ascii="宋体" w:hAnsi="宋体" w:eastAsia="宋体"/>
                <w:b w:val="0"/>
                <w:sz w:val="24"/>
              </w:rPr>
              <w:t>平台建设（PC）</w:t>
            </w:r>
          </w:p>
        </w:tc>
        <w:tc>
          <w:tcPr>
            <w:tcW w:type="dxa" w:w="1728"/>
          </w:tcPr>
          <w:p>
            <w:r>
              <w:rPr>
                <w:rFonts w:ascii="宋体" w:hAnsi="宋体" w:eastAsia="宋体"/>
                <w:b w:val="0"/>
                <w:sz w:val="24"/>
              </w:rPr>
              <w:t>2.77</w:t>
            </w:r>
          </w:p>
        </w:tc>
        <w:tc>
          <w:tcPr>
            <w:tcW w:type="dxa" w:w="1728"/>
          </w:tcPr>
          <w:p>
            <w:r>
              <w:rPr>
                <w:rFonts w:ascii="宋体" w:hAnsi="宋体" w:eastAsia="宋体"/>
                <w:b w:val="0"/>
                <w:sz w:val="24"/>
              </w:rPr>
              <w:t>0.05</w:t>
            </w:r>
          </w:p>
        </w:tc>
        <w:tc>
          <w:tcPr>
            <w:tcW w:type="dxa" w:w="1728"/>
          </w:tcPr>
          <w:p>
            <w:r>
              <w:rPr>
                <w:rFonts w:ascii="宋体" w:hAnsi="宋体" w:eastAsia="宋体"/>
                <w:b w:val="0"/>
                <w:sz w:val="24"/>
              </w:rPr>
              <w:t>原因因素</w:t>
            </w:r>
          </w:p>
        </w:tc>
        <w:tc>
          <w:tcPr>
            <w:tcW w:type="dxa" w:w="1728"/>
          </w:tcPr>
          <w:p>
            <w:r>
              <w:rPr>
                <w:rFonts w:ascii="宋体" w:hAnsi="宋体" w:eastAsia="宋体"/>
                <w:b w:val="0"/>
                <w:sz w:val="24"/>
              </w:rPr>
              <w:t>5</w:t>
            </w:r>
          </w:p>
        </w:tc>
      </w:tr>
      <w:tr>
        <w:tc>
          <w:tcPr>
            <w:tcW w:type="dxa" w:w="1728"/>
          </w:tcPr>
          <w:p>
            <w:r>
              <w:rPr>
                <w:rFonts w:ascii="宋体" w:hAnsi="宋体" w:eastAsia="宋体"/>
                <w:b w:val="0"/>
                <w:sz w:val="24"/>
              </w:rPr>
              <w:t>运营能力（OP）</w:t>
            </w:r>
          </w:p>
        </w:tc>
        <w:tc>
          <w:tcPr>
            <w:tcW w:type="dxa" w:w="1728"/>
          </w:tcPr>
          <w:p>
            <w:r>
              <w:rPr>
                <w:rFonts w:ascii="宋体" w:hAnsi="宋体" w:eastAsia="宋体"/>
                <w:b w:val="0"/>
                <w:sz w:val="24"/>
              </w:rPr>
              <w:t>2.85</w:t>
            </w:r>
          </w:p>
        </w:tc>
        <w:tc>
          <w:tcPr>
            <w:tcW w:type="dxa" w:w="1728"/>
          </w:tcPr>
          <w:p>
            <w:r>
              <w:rPr>
                <w:rFonts w:ascii="宋体" w:hAnsi="宋体" w:eastAsia="宋体"/>
                <w:b w:val="0"/>
                <w:sz w:val="24"/>
              </w:rPr>
              <w:t>-0.07</w:t>
            </w:r>
          </w:p>
        </w:tc>
        <w:tc>
          <w:tcPr>
            <w:tcW w:type="dxa" w:w="1728"/>
          </w:tcPr>
          <w:p>
            <w:r>
              <w:rPr>
                <w:rFonts w:ascii="宋体" w:hAnsi="宋体" w:eastAsia="宋体"/>
                <w:b w:val="0"/>
                <w:sz w:val="24"/>
              </w:rPr>
              <w:t>结果因素</w:t>
            </w:r>
          </w:p>
        </w:tc>
        <w:tc>
          <w:tcPr>
            <w:tcW w:type="dxa" w:w="1728"/>
          </w:tcPr>
          <w:p>
            <w:r>
              <w:rPr>
                <w:rFonts w:ascii="宋体" w:hAnsi="宋体" w:eastAsia="宋体"/>
                <w:b w:val="0"/>
                <w:sz w:val="24"/>
              </w:rPr>
              <w:t>6</w:t>
            </w:r>
          </w:p>
        </w:tc>
      </w:tr>
    </w:tbl>
    <w:p>
      <w:r>
        <w:rPr>
          <w:rFonts w:ascii="宋体" w:hAnsi="宋体" w:eastAsia="宋体"/>
          <w:b w:val="0"/>
          <w:sz w:val="24"/>
        </w:rPr>
      </w:r>
      <w:r>
        <w:rPr>
          <w:rFonts w:ascii="宋体" w:hAnsi="宋体" w:eastAsia="宋体"/>
          <w:b w:val="0"/>
          <w:i/>
          <w:sz w:val="24"/>
        </w:rPr>
        <w:t>数据来源：DEMATEL分析结果。中心度=影响度+被影响度，原因度=影响度-被影响度。原因度&gt;0为原因因素（主动影响他人），原因度&lt;0为结果因素（被动受他人影响）。</w:t>
      </w:r>
      <w:r>
        <w:rPr>
          <w:rFonts w:ascii="宋体" w:hAnsi="宋体" w:eastAsia="宋体"/>
          <w:b w:val="0"/>
          <w:sz w:val="24"/>
        </w:rPr>
      </w:r>
    </w:p>
    <w:p>
      <w:r>
        <w:rPr>
          <w:rFonts w:ascii="宋体" w:hAnsi="宋体" w:eastAsia="宋体"/>
          <w:b w:val="0"/>
          <w:sz w:val="24"/>
        </w:rPr>
        <w:t>DEMATEL结果与fsQCA结果形成了有意义的交叉验证：</w:t>
      </w:r>
    </w:p>
    <w:p>
      <w:r>
        <w:rPr>
          <w:rFonts w:ascii="宋体" w:hAnsi="宋体" w:eastAsia="宋体"/>
          <w:b w:val="0"/>
          <w:sz w:val="24"/>
        </w:rPr>
        <w:t>第一，</w:t>
      </w:r>
      <w:r>
        <w:rPr>
          <w:rFonts w:ascii="宋体" w:hAnsi="宋体" w:eastAsia="宋体"/>
          <w:b/>
          <w:sz w:val="24"/>
        </w:rPr>
        <w:t>政策法规（PL）</w:t>
      </w:r>
      <w:r>
        <w:rPr>
          <w:rFonts w:ascii="宋体" w:hAnsi="宋体" w:eastAsia="宋体"/>
          <w:b w:val="0"/>
          <w:sz w:val="24"/>
        </w:rPr>
        <w:t xml:space="preserve"> 在DEMATEL中处于因果网络的核心位置（中心度2.92，排名第1），且为原因因素（原因度0.08）。这与fsQCA中PL作为H1和H3路径的核心条件相互印证——政策法规是影响平台绩效的深层制度基础，对其他因素具有驱动作用。</w:t>
      </w:r>
    </w:p>
    <w:p>
      <w:r>
        <w:rPr>
          <w:rFonts w:ascii="宋体" w:hAnsi="宋体" w:eastAsia="宋体"/>
          <w:b w:val="0"/>
          <w:sz w:val="24"/>
        </w:rPr>
        <w:t>第二，</w:t>
      </w:r>
      <w:r>
        <w:rPr>
          <w:rFonts w:ascii="宋体" w:hAnsi="宋体" w:eastAsia="宋体"/>
          <w:b/>
          <w:sz w:val="24"/>
        </w:rPr>
        <w:t>应用效果（AE）</w:t>
      </w:r>
      <w:r>
        <w:rPr>
          <w:rFonts w:ascii="宋体" w:hAnsi="宋体" w:eastAsia="宋体"/>
          <w:b w:val="0"/>
          <w:sz w:val="24"/>
        </w:rPr>
        <w:t xml:space="preserve"> 在DEMATEL中中心度最高（3.03），且为结果因素（原因度-0.05）。这与fsQCA中AE作为所有高绩效路径的核心条件相互印证——应用效果是数据开放绩效的集中体现，受到其他因素的综合影响。</w:t>
      </w:r>
    </w:p>
    <w:p>
      <w:r>
        <w:rPr>
          <w:rFonts w:ascii="宋体" w:hAnsi="宋体" w:eastAsia="宋体"/>
          <w:b w:val="0"/>
          <w:sz w:val="24"/>
        </w:rPr>
        <w:t>第三，</w:t>
      </w:r>
      <w:r>
        <w:rPr>
          <w:rFonts w:ascii="宋体" w:hAnsi="宋体" w:eastAsia="宋体"/>
          <w:b/>
          <w:sz w:val="24"/>
        </w:rPr>
        <w:t>数据质量（DQ）</w:t>
      </w:r>
      <w:r>
        <w:rPr>
          <w:rFonts w:ascii="宋体" w:hAnsi="宋体" w:eastAsia="宋体"/>
          <w:b w:val="0"/>
          <w:sz w:val="24"/>
        </w:rPr>
        <w:t xml:space="preserve"> 在DEMATEL中为结果因素（原因度-0.03），但在fsQCA中为所有高绩效路径的核心条件。这一看似矛盾的结果实际上揭示了数据质量的"双重属性"——数据质量既是"被影响的结果"（受制度和技术因素影响），又是"影响绩效的原因"（高质量数据是应用效果的前提）。这种"中介性"角色提示平台运营者：提升数据质量需要从制度和技术两端同时发力。</w:t>
      </w:r>
    </w:p>
    <w:p>
      <w:r>
        <w:rPr>
          <w:rFonts w:ascii="宋体" w:hAnsi="宋体" w:eastAsia="宋体"/>
          <w:b w:val="0"/>
          <w:sz w:val="24"/>
        </w:rPr>
        <w:t>第四，DEMATEL显示的因果网络结构（PL/OG/PC为原因因素，AE/DQ/OP为结果因素）与fsQCA揭示的组态路径形成了逻辑一致的解释：原因因素（PL、OG、PC）构成了高绩效的"输入端"，结果因素（AE、DQ、OP）构成了高绩效的"输出端"，而组态路径则揭示了从"输入"到"输出"的具体组合方式。</w:t>
      </w:r>
    </w:p>
    <w:p>
      <w:pPr>
        <w:pStyle w:val="Heading3"/>
      </w:pPr>
      <w:r>
        <w:rPr>
          <w:rFonts w:ascii="黑体" w:hAnsi="黑体" w:eastAsia="黑体"/>
          <w:b/>
          <w:sz w:val="24"/>
        </w:rPr>
        <w:t>5.3 "组态-对策"匹配矩阵</w:t>
      </w:r>
    </w:p>
    <w:p>
      <w:r>
        <w:rPr>
          <w:rFonts w:ascii="宋体" w:hAnsi="宋体" w:eastAsia="宋体"/>
          <w:b w:val="0"/>
          <w:sz w:val="24"/>
        </w:rPr>
        <w:t>基于fsQCA揭示的三条高绩效路径，本研究设计了"组态路径-优化策略"匹配矩阵，为不同类型平台提供差异化的优化建议（表5-2）。</w:t>
      </w:r>
    </w:p>
    <w:p>
      <w:r>
        <w:rPr>
          <w:rFonts w:ascii="宋体" w:hAnsi="宋体" w:eastAsia="宋体"/>
          <w:b w:val="0"/>
          <w:sz w:val="24"/>
        </w:rPr>
      </w:r>
      <w:r>
        <w:rPr>
          <w:rFonts w:ascii="宋体" w:hAnsi="宋体" w:eastAsia="宋体"/>
          <w:b/>
          <w:sz w:val="24"/>
        </w:rPr>
        <w:t>表5-2 "组态路径-优化策略"匹配矩阵</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平台类型</w:t>
            </w:r>
          </w:p>
        </w:tc>
        <w:tc>
          <w:tcPr>
            <w:tcW w:type="dxa" w:w="1440"/>
          </w:tcPr>
          <w:p>
            <w:r>
              <w:rPr>
                <w:rFonts w:ascii="宋体" w:hAnsi="宋体" w:eastAsia="宋体"/>
                <w:b w:val="0"/>
                <w:sz w:val="24"/>
              </w:rPr>
              <w:t>适用路径</w:t>
            </w:r>
          </w:p>
        </w:tc>
        <w:tc>
          <w:tcPr>
            <w:tcW w:type="dxa" w:w="1440"/>
          </w:tcPr>
          <w:p>
            <w:r>
              <w:rPr>
                <w:rFonts w:ascii="宋体" w:hAnsi="宋体" w:eastAsia="宋体"/>
                <w:b w:val="0"/>
                <w:sz w:val="24"/>
              </w:rPr>
              <w:t>核心策略</w:t>
            </w:r>
          </w:p>
        </w:tc>
        <w:tc>
          <w:tcPr>
            <w:tcW w:type="dxa" w:w="1440"/>
          </w:tcPr>
          <w:p>
            <w:r>
              <w:rPr>
                <w:rFonts w:ascii="宋体" w:hAnsi="宋体" w:eastAsia="宋体"/>
                <w:b w:val="0"/>
                <w:sz w:val="24"/>
              </w:rPr>
              <w:t>优先行动</w:t>
            </w:r>
          </w:p>
        </w:tc>
        <w:tc>
          <w:tcPr>
            <w:tcW w:type="dxa" w:w="1440"/>
          </w:tcPr>
          <w:p>
            <w:r>
              <w:rPr>
                <w:rFonts w:ascii="宋体" w:hAnsi="宋体" w:eastAsia="宋体"/>
                <w:b w:val="0"/>
                <w:sz w:val="24"/>
              </w:rPr>
              <w:t>中期目标</w:t>
            </w:r>
          </w:p>
        </w:tc>
        <w:tc>
          <w:tcPr>
            <w:tcW w:type="dxa" w:w="1440"/>
          </w:tcPr>
          <w:p>
            <w:r>
              <w:rPr>
                <w:rFonts w:ascii="宋体" w:hAnsi="宋体" w:eastAsia="宋体"/>
                <w:b w:val="0"/>
                <w:sz w:val="24"/>
              </w:rPr>
              <w:t>长期愿景</w:t>
            </w:r>
          </w:p>
        </w:tc>
      </w:tr>
      <w:tr>
        <w:tc>
          <w:tcPr>
            <w:tcW w:type="dxa" w:w="1440"/>
          </w:tcPr>
          <w:p>
            <w:r>
              <w:rPr>
                <w:rFonts w:ascii="宋体" w:hAnsi="宋体" w:eastAsia="宋体"/>
                <w:b w:val="0"/>
                <w:sz w:val="24"/>
              </w:rPr>
              <w:t>资源丰富型</w:t>
            </w:r>
          </w:p>
        </w:tc>
        <w:tc>
          <w:tcPr>
            <w:tcW w:type="dxa" w:w="1440"/>
          </w:tcPr>
          <w:p>
            <w:r>
              <w:rPr>
                <w:rFonts w:ascii="宋体" w:hAnsi="宋体" w:eastAsia="宋体"/>
                <w:b w:val="0"/>
                <w:sz w:val="24"/>
              </w:rPr>
              <w:t>H1</w:t>
            </w:r>
          </w:p>
        </w:tc>
        <w:tc>
          <w:tcPr>
            <w:tcW w:type="dxa" w:w="1440"/>
          </w:tcPr>
          <w:p>
            <w:r>
              <w:rPr>
                <w:rFonts w:ascii="宋体" w:hAnsi="宋体" w:eastAsia="宋体"/>
                <w:b w:val="0"/>
                <w:sz w:val="24"/>
              </w:rPr>
              <w:t>全面优化</w:t>
            </w:r>
          </w:p>
        </w:tc>
        <w:tc>
          <w:tcPr>
            <w:tcW w:type="dxa" w:w="1440"/>
          </w:tcPr>
          <w:p>
            <w:r>
              <w:rPr>
                <w:rFonts w:ascii="宋体" w:hAnsi="宋体" w:eastAsia="宋体"/>
                <w:b w:val="0"/>
                <w:sz w:val="24"/>
              </w:rPr>
              <w:t>补齐最短板块</w:t>
            </w:r>
          </w:p>
        </w:tc>
        <w:tc>
          <w:tcPr>
            <w:tcW w:type="dxa" w:w="1440"/>
          </w:tcPr>
          <w:p>
            <w:r>
              <w:rPr>
                <w:rFonts w:ascii="宋体" w:hAnsi="宋体" w:eastAsia="宋体"/>
                <w:b w:val="0"/>
                <w:sz w:val="24"/>
              </w:rPr>
              <w:t>维持全面领先</w:t>
            </w:r>
          </w:p>
        </w:tc>
        <w:tc>
          <w:tcPr>
            <w:tcW w:type="dxa" w:w="1440"/>
          </w:tcPr>
          <w:p>
            <w:r>
              <w:rPr>
                <w:rFonts w:ascii="宋体" w:hAnsi="宋体" w:eastAsia="宋体"/>
                <w:b w:val="0"/>
                <w:sz w:val="24"/>
              </w:rPr>
              <w:t>打造国际标杆</w:t>
            </w:r>
          </w:p>
        </w:tc>
      </w:tr>
      <w:tr>
        <w:tc>
          <w:tcPr>
            <w:tcW w:type="dxa" w:w="1440"/>
          </w:tcPr>
          <w:p>
            <w:r>
              <w:rPr>
                <w:rFonts w:ascii="宋体" w:hAnsi="宋体" w:eastAsia="宋体"/>
                <w:b w:val="0"/>
                <w:sz w:val="24"/>
              </w:rPr>
              <w:t>资源约束型</w:t>
            </w:r>
          </w:p>
        </w:tc>
        <w:tc>
          <w:tcPr>
            <w:tcW w:type="dxa" w:w="1440"/>
          </w:tcPr>
          <w:p>
            <w:r>
              <w:rPr>
                <w:rFonts w:ascii="宋体" w:hAnsi="宋体" w:eastAsia="宋体"/>
                <w:b w:val="0"/>
                <w:sz w:val="24"/>
              </w:rPr>
              <w:t>H2</w:t>
            </w:r>
          </w:p>
        </w:tc>
        <w:tc>
          <w:tcPr>
            <w:tcW w:type="dxa" w:w="1440"/>
          </w:tcPr>
          <w:p>
            <w:r>
              <w:rPr>
                <w:rFonts w:ascii="宋体" w:hAnsi="宋体" w:eastAsia="宋体"/>
                <w:b w:val="0"/>
                <w:sz w:val="24"/>
              </w:rPr>
              <w:t>精准突破</w:t>
            </w:r>
          </w:p>
        </w:tc>
        <w:tc>
          <w:tcPr>
            <w:tcW w:type="dxa" w:w="1440"/>
          </w:tcPr>
          <w:p>
            <w:r>
              <w:rPr>
                <w:rFonts w:ascii="宋体" w:hAnsi="宋体" w:eastAsia="宋体"/>
                <w:b w:val="0"/>
                <w:sz w:val="24"/>
              </w:rPr>
              <w:t>强化平台服务</w:t>
            </w:r>
          </w:p>
        </w:tc>
        <w:tc>
          <w:tcPr>
            <w:tcW w:type="dxa" w:w="1440"/>
          </w:tcPr>
          <w:p>
            <w:r>
              <w:rPr>
                <w:rFonts w:ascii="宋体" w:hAnsi="宋体" w:eastAsia="宋体"/>
                <w:b w:val="0"/>
                <w:sz w:val="24"/>
              </w:rPr>
              <w:t>提升数据质量</w:t>
            </w:r>
          </w:p>
        </w:tc>
        <w:tc>
          <w:tcPr>
            <w:tcW w:type="dxa" w:w="1440"/>
          </w:tcPr>
          <w:p>
            <w:r>
              <w:rPr>
                <w:rFonts w:ascii="宋体" w:hAnsi="宋体" w:eastAsia="宋体"/>
                <w:b w:val="0"/>
                <w:sz w:val="24"/>
              </w:rPr>
              <w:t>培育应用生态</w:t>
            </w:r>
          </w:p>
        </w:tc>
      </w:tr>
      <w:tr>
        <w:tc>
          <w:tcPr>
            <w:tcW w:type="dxa" w:w="1440"/>
          </w:tcPr>
          <w:p>
            <w:r>
              <w:rPr>
                <w:rFonts w:ascii="宋体" w:hAnsi="宋体" w:eastAsia="宋体"/>
                <w:b w:val="0"/>
                <w:sz w:val="24"/>
              </w:rPr>
              <w:t>生态活跃型</w:t>
            </w:r>
          </w:p>
        </w:tc>
        <w:tc>
          <w:tcPr>
            <w:tcW w:type="dxa" w:w="1440"/>
          </w:tcPr>
          <w:p>
            <w:r>
              <w:rPr>
                <w:rFonts w:ascii="宋体" w:hAnsi="宋体" w:eastAsia="宋体"/>
                <w:b w:val="0"/>
                <w:sz w:val="24"/>
              </w:rPr>
              <w:t>H3</w:t>
            </w:r>
          </w:p>
        </w:tc>
        <w:tc>
          <w:tcPr>
            <w:tcW w:type="dxa" w:w="1440"/>
          </w:tcPr>
          <w:p>
            <w:r>
              <w:rPr>
                <w:rFonts w:ascii="宋体" w:hAnsi="宋体" w:eastAsia="宋体"/>
                <w:b w:val="0"/>
                <w:sz w:val="24"/>
              </w:rPr>
              <w:t>生态驱动</w:t>
            </w:r>
          </w:p>
        </w:tc>
        <w:tc>
          <w:tcPr>
            <w:tcW w:type="dxa" w:w="1440"/>
          </w:tcPr>
          <w:p>
            <w:r>
              <w:rPr>
                <w:rFonts w:ascii="宋体" w:hAnsi="宋体" w:eastAsia="宋体"/>
                <w:b w:val="0"/>
                <w:sz w:val="24"/>
              </w:rPr>
              <w:t>激活社群力量</w:t>
            </w:r>
          </w:p>
        </w:tc>
        <w:tc>
          <w:tcPr>
            <w:tcW w:type="dxa" w:w="1440"/>
          </w:tcPr>
          <w:p>
            <w:r>
              <w:rPr>
                <w:rFonts w:ascii="宋体" w:hAnsi="宋体" w:eastAsia="宋体"/>
                <w:b w:val="0"/>
                <w:sz w:val="24"/>
              </w:rPr>
              <w:t>完善制度建设</w:t>
            </w:r>
          </w:p>
        </w:tc>
        <w:tc>
          <w:tcPr>
            <w:tcW w:type="dxa" w:w="1440"/>
          </w:tcPr>
          <w:p>
            <w:r>
              <w:rPr>
                <w:rFonts w:ascii="宋体" w:hAnsi="宋体" w:eastAsia="宋体"/>
                <w:b w:val="0"/>
                <w:sz w:val="24"/>
              </w:rPr>
              <w:t>形成自组织生态</w:t>
            </w:r>
          </w:p>
        </w:tc>
      </w:tr>
      <w:tr>
        <w:tc>
          <w:tcPr>
            <w:tcW w:type="dxa" w:w="1440"/>
          </w:tcPr>
          <w:p>
            <w:r>
              <w:rPr>
                <w:rFonts w:ascii="宋体" w:hAnsi="宋体" w:eastAsia="宋体"/>
                <w:b w:val="0"/>
                <w:sz w:val="24"/>
              </w:rPr>
              <w:t>制度滞后型</w:t>
            </w:r>
          </w:p>
        </w:tc>
        <w:tc>
          <w:tcPr>
            <w:tcW w:type="dxa" w:w="1440"/>
          </w:tcPr>
          <w:p>
            <w:r>
              <w:rPr>
                <w:rFonts w:ascii="宋体" w:hAnsi="宋体" w:eastAsia="宋体"/>
                <w:b w:val="0"/>
                <w:sz w:val="24"/>
              </w:rPr>
              <w:t>—</w:t>
            </w:r>
          </w:p>
        </w:tc>
        <w:tc>
          <w:tcPr>
            <w:tcW w:type="dxa" w:w="1440"/>
          </w:tcPr>
          <w:p>
            <w:r>
              <w:rPr>
                <w:rFonts w:ascii="宋体" w:hAnsi="宋体" w:eastAsia="宋体"/>
                <w:b w:val="0"/>
                <w:sz w:val="24"/>
              </w:rPr>
              <w:t>制度先行</w:t>
            </w:r>
          </w:p>
        </w:tc>
        <w:tc>
          <w:tcPr>
            <w:tcW w:type="dxa" w:w="1440"/>
          </w:tcPr>
          <w:p>
            <w:r>
              <w:rPr>
                <w:rFonts w:ascii="宋体" w:hAnsi="宋体" w:eastAsia="宋体"/>
                <w:b w:val="0"/>
                <w:sz w:val="24"/>
              </w:rPr>
              <w:t>出台专门法规</w:t>
            </w:r>
          </w:p>
        </w:tc>
        <w:tc>
          <w:tcPr>
            <w:tcW w:type="dxa" w:w="1440"/>
          </w:tcPr>
          <w:p>
            <w:r>
              <w:rPr>
                <w:rFonts w:ascii="宋体" w:hAnsi="宋体" w:eastAsia="宋体"/>
                <w:b w:val="0"/>
                <w:sz w:val="24"/>
              </w:rPr>
              <w:t>建立专门机构</w:t>
            </w:r>
          </w:p>
        </w:tc>
        <w:tc>
          <w:tcPr>
            <w:tcW w:type="dxa" w:w="1440"/>
          </w:tcPr>
          <w:p>
            <w:r>
              <w:rPr>
                <w:rFonts w:ascii="宋体" w:hAnsi="宋体" w:eastAsia="宋体"/>
                <w:b w:val="0"/>
                <w:sz w:val="24"/>
              </w:rPr>
              <w:t>构建制度优势</w:t>
            </w:r>
          </w:p>
        </w:tc>
      </w:tr>
      <w:tr>
        <w:tc>
          <w:tcPr>
            <w:tcW w:type="dxa" w:w="1440"/>
          </w:tcPr>
          <w:p>
            <w:r>
              <w:rPr>
                <w:rFonts w:ascii="宋体" w:hAnsi="宋体" w:eastAsia="宋体"/>
                <w:b w:val="0"/>
                <w:sz w:val="24"/>
              </w:rPr>
              <w:t>技术薄弱型</w:t>
            </w:r>
          </w:p>
        </w:tc>
        <w:tc>
          <w:tcPr>
            <w:tcW w:type="dxa" w:w="1440"/>
          </w:tcPr>
          <w:p>
            <w:r>
              <w:rPr>
                <w:rFonts w:ascii="宋体" w:hAnsi="宋体" w:eastAsia="宋体"/>
                <w:b w:val="0"/>
                <w:sz w:val="24"/>
              </w:rPr>
              <w:t>—</w:t>
            </w:r>
          </w:p>
        </w:tc>
        <w:tc>
          <w:tcPr>
            <w:tcW w:type="dxa" w:w="1440"/>
          </w:tcPr>
          <w:p>
            <w:r>
              <w:rPr>
                <w:rFonts w:ascii="宋体" w:hAnsi="宋体" w:eastAsia="宋体"/>
                <w:b w:val="0"/>
                <w:sz w:val="24"/>
              </w:rPr>
              <w:t>技术追赶</w:t>
            </w:r>
          </w:p>
        </w:tc>
        <w:tc>
          <w:tcPr>
            <w:tcW w:type="dxa" w:w="1440"/>
          </w:tcPr>
          <w:p>
            <w:r>
              <w:rPr>
                <w:rFonts w:ascii="宋体" w:hAnsi="宋体" w:eastAsia="宋体"/>
                <w:b w:val="0"/>
                <w:sz w:val="24"/>
              </w:rPr>
              <w:t>升级平台功能</w:t>
            </w:r>
          </w:p>
        </w:tc>
        <w:tc>
          <w:tcPr>
            <w:tcW w:type="dxa" w:w="1440"/>
          </w:tcPr>
          <w:p>
            <w:r>
              <w:rPr>
                <w:rFonts w:ascii="宋体" w:hAnsi="宋体" w:eastAsia="宋体"/>
                <w:b w:val="0"/>
                <w:sz w:val="24"/>
              </w:rPr>
              <w:t>引入先进技术</w:t>
            </w:r>
          </w:p>
        </w:tc>
        <w:tc>
          <w:tcPr>
            <w:tcW w:type="dxa" w:w="1440"/>
          </w:tcPr>
          <w:p>
            <w:r>
              <w:rPr>
                <w:rFonts w:ascii="宋体" w:hAnsi="宋体" w:eastAsia="宋体"/>
                <w:b w:val="0"/>
                <w:sz w:val="24"/>
              </w:rPr>
              <w:t>实现技术引领</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r>
      <w:r>
        <w:rPr>
          <w:rFonts w:ascii="宋体" w:hAnsi="宋体" w:eastAsia="宋体"/>
          <w:b/>
          <w:sz w:val="24"/>
        </w:rPr>
        <w:t>资源丰富型平台</w:t>
      </w:r>
      <w:r>
        <w:rPr>
          <w:rFonts w:ascii="宋体" w:hAnsi="宋体" w:eastAsia="宋体"/>
          <w:b w:val="0"/>
          <w:sz w:val="24"/>
        </w:rPr>
        <w:t>（如广东、浙江）应坚持H1"全要素驱动"路径，在维持全面领先的基础上重点补齐最短板块。这类平台的挑战不在于"缺什么"，而在于"如何维持全面优势"——随着平台规模的扩大，边际管理成本上升，全面优化的难度递增。因此，这类平台应引入精细化的绩效管理体系，通过数据驱动的方式持续监测各维度的绩效表现，及时发现和纠正短板。</w:t>
      </w:r>
    </w:p>
    <w:p>
      <w:r>
        <w:rPr>
          <w:rFonts w:ascii="宋体" w:hAnsi="宋体" w:eastAsia="宋体"/>
          <w:b w:val="0"/>
          <w:sz w:val="24"/>
        </w:rPr>
      </w:r>
      <w:r>
        <w:rPr>
          <w:rFonts w:ascii="宋体" w:hAnsi="宋体" w:eastAsia="宋体"/>
          <w:b/>
          <w:sz w:val="24"/>
        </w:rPr>
        <w:t>资源约束型平台</w:t>
      </w:r>
      <w:r>
        <w:rPr>
          <w:rFonts w:ascii="宋体" w:hAnsi="宋体" w:eastAsia="宋体"/>
          <w:b w:val="0"/>
          <w:sz w:val="24"/>
        </w:rPr>
        <w:t>（如部分中西部省份）应选择H2"服务-质量-效果驱动"路径，将有限的资源聚焦于平台服务、数据质量和应用效果三个关键维度。这类平台不应盲目追求"全面开花"，而应通过"单点突破"建立竞争优势。例如，可以选择1-2个优势领域（如农业数据、旅游数据）进行深度开放，形成"垂直领域标杆"，再逐步拓展到其他领域。</w:t>
      </w:r>
    </w:p>
    <w:p>
      <w:r>
        <w:rPr>
          <w:rFonts w:ascii="宋体" w:hAnsi="宋体" w:eastAsia="宋体"/>
          <w:b w:val="0"/>
          <w:sz w:val="24"/>
        </w:rPr>
      </w:r>
      <w:r>
        <w:rPr>
          <w:rFonts w:ascii="宋体" w:hAnsi="宋体" w:eastAsia="宋体"/>
          <w:b/>
          <w:sz w:val="24"/>
        </w:rPr>
        <w:t>生态活跃型平台</w:t>
      </w:r>
      <w:r>
        <w:rPr>
          <w:rFonts w:ascii="宋体" w:hAnsi="宋体" w:eastAsia="宋体"/>
          <w:b w:val="0"/>
          <w:sz w:val="24"/>
        </w:rPr>
        <w:t>（如部分拥有活跃开发者社群的平台）应探索H3"生态协同"路径，通过激活社群力量弥补正式制度和技术平台的不足。这类平台应重点培育数据利用生态——举办数据创新大赛、建立开发者社群、提供数据应用孵化支持等，让数据用户成为平台建设的"共创者"而非"消费者"。</w:t>
      </w:r>
    </w:p>
    <w:p>
      <w:pPr>
        <w:pStyle w:val="Heading2"/>
      </w:pPr>
      <w:r>
        <w:rPr>
          <w:rFonts w:ascii="黑体" w:hAnsi="黑体" w:eastAsia="黑体"/>
          <w:b/>
          <w:sz w:val="28"/>
        </w:rPr>
        <w:t>6 结论与展望</w:t>
      </w:r>
    </w:p>
    <w:p>
      <w:pPr>
        <w:pStyle w:val="Heading3"/>
      </w:pPr>
      <w:r>
        <w:rPr>
          <w:rFonts w:ascii="黑体" w:hAnsi="黑体" w:eastAsia="黑体"/>
          <w:b/>
          <w:sz w:val="24"/>
        </w:rPr>
        <w:t>6.1 核心结论</w:t>
      </w:r>
    </w:p>
    <w:p>
      <w:r>
        <w:rPr>
          <w:rFonts w:ascii="宋体" w:hAnsi="宋体" w:eastAsia="宋体"/>
          <w:b w:val="0"/>
          <w:sz w:val="24"/>
        </w:rPr>
        <w:t>本研究基于TOE理论框架，运用fsQCA方法对23个省级政府数据开放平台的高绩效组态路径进行了系统分析，得出以下核心结论：</w:t>
      </w:r>
    </w:p>
    <w:p>
      <w:r>
        <w:rPr>
          <w:rFonts w:ascii="宋体" w:hAnsi="宋体" w:eastAsia="宋体"/>
          <w:b w:val="0"/>
          <w:sz w:val="24"/>
        </w:rPr>
        <w:t>第一，</w:t>
      </w:r>
      <w:r>
        <w:rPr>
          <w:rFonts w:ascii="宋体" w:hAnsi="宋体" w:eastAsia="宋体"/>
          <w:b/>
          <w:sz w:val="24"/>
        </w:rPr>
        <w:t>政府数据开放绩效的形成具有显著的组态特征，单一因素均不构成高绩效的必要条件</w:t>
      </w:r>
      <w:r>
        <w:rPr>
          <w:rFonts w:ascii="宋体" w:hAnsi="宋体" w:eastAsia="宋体"/>
          <w:b w:val="0"/>
          <w:sz w:val="24"/>
        </w:rPr>
        <w:t>。六个条件变量中没有任何一个是高绩效的必要条件，高绩效的实现依赖多因素的协同组合。这一发现打破了"关键因子决定论"的迷思，揭示了政府数据开放绩效形成的系统性本质。</w:t>
      </w:r>
    </w:p>
    <w:p>
      <w:r>
        <w:rPr>
          <w:rFonts w:ascii="宋体" w:hAnsi="宋体" w:eastAsia="宋体"/>
          <w:b w:val="0"/>
          <w:sz w:val="24"/>
        </w:rPr>
        <w:t>第二，</w:t>
      </w:r>
      <w:r>
        <w:rPr>
          <w:rFonts w:ascii="宋体" w:hAnsi="宋体" w:eastAsia="宋体"/>
          <w:b/>
          <w:sz w:val="24"/>
        </w:rPr>
        <w:t>存在三条高绩效的等效组态路径</w:t>
      </w:r>
      <w:r>
        <w:rPr>
          <w:rFonts w:ascii="宋体" w:hAnsi="宋体" w:eastAsia="宋体"/>
          <w:b w:val="0"/>
          <w:sz w:val="24"/>
        </w:rPr>
        <w:t>："全要素驱动型"（覆盖度81%）"服务-质量-效果驱动型"（覆盖度19%）和"生态协同型"（覆盖度15%）。三条路径对应不同的平台类型和资源禀赋条件，为分类施策提供了实证依据。</w:t>
      </w:r>
    </w:p>
    <w:p>
      <w:r>
        <w:rPr>
          <w:rFonts w:ascii="宋体" w:hAnsi="宋体" w:eastAsia="宋体"/>
          <w:b w:val="0"/>
          <w:sz w:val="24"/>
        </w:rPr>
        <w:t>第三，</w:t>
      </w:r>
      <w:r>
        <w:rPr>
          <w:rFonts w:ascii="宋体" w:hAnsi="宋体" w:eastAsia="宋体"/>
          <w:b/>
          <w:sz w:val="24"/>
        </w:rPr>
        <w:t>高绩效与低绩效的形成机制呈现显著的非对称性</w:t>
      </w:r>
      <w:r>
        <w:rPr>
          <w:rFonts w:ascii="宋体" w:hAnsi="宋体" w:eastAsia="宋体"/>
          <w:b w:val="0"/>
          <w:sz w:val="24"/>
        </w:rPr>
        <w:t>。低绩效路径并非高绩效路径的简单镜像，而是具有独特的组态特征（"供给-质量双低型"和"制度-技术双低型"）。这一发现提醒政策干预需要针对特定的组态缺陷进行精准施策。</w:t>
      </w:r>
    </w:p>
    <w:p>
      <w:r>
        <w:rPr>
          <w:rFonts w:ascii="宋体" w:hAnsi="宋体" w:eastAsia="宋体"/>
          <w:b w:val="0"/>
          <w:sz w:val="24"/>
        </w:rPr>
        <w:t>第四，</w:t>
      </w:r>
      <w:r>
        <w:rPr>
          <w:rFonts w:ascii="宋体" w:hAnsi="宋体" w:eastAsia="宋体"/>
          <w:b/>
          <w:sz w:val="24"/>
        </w:rPr>
        <w:t>fsQCA三原则（等价性、非对称性、因果复杂性）在政府数据开放情境下得到了系统验证</w:t>
      </w:r>
      <w:r>
        <w:rPr>
          <w:rFonts w:ascii="宋体" w:hAnsi="宋体" w:eastAsia="宋体"/>
          <w:b w:val="0"/>
          <w:sz w:val="24"/>
        </w:rPr>
        <w:t>。DEMATEL交叉验证进一步增强了研究结论的稳健性，揭示了政策法规和应用效果在因果网络中的核心位置。</w:t>
      </w:r>
    </w:p>
    <w:p>
      <w:pPr>
        <w:pStyle w:val="Heading3"/>
      </w:pPr>
      <w:r>
        <w:rPr>
          <w:rFonts w:ascii="黑体" w:hAnsi="黑体" w:eastAsia="黑体"/>
          <w:b/>
          <w:sz w:val="24"/>
        </w:rPr>
        <w:t>6.2 理论贡献</w:t>
      </w:r>
    </w:p>
    <w:p>
      <w:r>
        <w:rPr>
          <w:rFonts w:ascii="宋体" w:hAnsi="宋体" w:eastAsia="宋体"/>
          <w:b w:val="0"/>
          <w:sz w:val="24"/>
        </w:rPr>
        <w:t>本研究的理论贡献体现在三个层面：</w:t>
      </w:r>
    </w:p>
    <w:p>
      <w:r>
        <w:rPr>
          <w:rFonts w:ascii="宋体" w:hAnsi="宋体" w:eastAsia="宋体"/>
          <w:b w:val="0"/>
          <w:sz w:val="24"/>
        </w:rPr>
      </w:r>
      <w:r>
        <w:rPr>
          <w:rFonts w:ascii="宋体" w:hAnsi="宋体" w:eastAsia="宋体"/>
          <w:b/>
          <w:sz w:val="24"/>
        </w:rPr>
        <w:t>方法论层面</w:t>
      </w:r>
      <w:r>
        <w:rPr>
          <w:rFonts w:ascii="宋体" w:hAnsi="宋体" w:eastAsia="宋体"/>
          <w:b w:val="0"/>
          <w:sz w:val="24"/>
        </w:rPr>
        <w:t>，本研究将fsQCA方法系统引入政府数据开放研究领域，推动了该领域从"线性思维"向"组态思维"的方法论转型。通过DEMATEL-fsQCA的多方法三角验证，为公共管理领域的"多因一果"现象提供了方法论示范。</w:t>
      </w:r>
    </w:p>
    <w:p>
      <w:r>
        <w:rPr>
          <w:rFonts w:ascii="宋体" w:hAnsi="宋体" w:eastAsia="宋体"/>
          <w:b w:val="0"/>
          <w:sz w:val="24"/>
        </w:rPr>
      </w:r>
      <w:r>
        <w:rPr>
          <w:rFonts w:ascii="宋体" w:hAnsi="宋体" w:eastAsia="宋体"/>
          <w:b/>
          <w:sz w:val="24"/>
        </w:rPr>
        <w:t>理论建构层面</w:t>
      </w:r>
      <w:r>
        <w:rPr>
          <w:rFonts w:ascii="宋体" w:hAnsi="宋体" w:eastAsia="宋体"/>
          <w:b w:val="0"/>
          <w:sz w:val="24"/>
        </w:rPr>
        <w:t>，本研究在TOE框架的基础上揭示了因素之间的组合机制，将"因素分类"拓展为"组态解释"。研究发现的"替代效应"（如H2路径中政策法规缺失可由服务-质量-效果弥补）和"互补效应"（如H1路径中六个条件的协同）为政府数据开放绩效理论增添了新的解释维度。</w:t>
      </w:r>
    </w:p>
    <w:p>
      <w:r>
        <w:rPr>
          <w:rFonts w:ascii="宋体" w:hAnsi="宋体" w:eastAsia="宋体"/>
          <w:b w:val="0"/>
          <w:sz w:val="24"/>
        </w:rPr>
      </w:r>
      <w:r>
        <w:rPr>
          <w:rFonts w:ascii="宋体" w:hAnsi="宋体" w:eastAsia="宋体"/>
          <w:b/>
          <w:sz w:val="24"/>
        </w:rPr>
        <w:t>实践理论层面</w:t>
      </w:r>
      <w:r>
        <w:rPr>
          <w:rFonts w:ascii="宋体" w:hAnsi="宋体" w:eastAsia="宋体"/>
          <w:b w:val="0"/>
          <w:sz w:val="24"/>
        </w:rPr>
        <w:t>，本研究提出的"组态-对策"匹配矩阵将学术发现转化为可操作的政策工具，为分类施策和精准治理提供了理论依据。</w:t>
      </w:r>
    </w:p>
    <w:p>
      <w:pPr>
        <w:pStyle w:val="Heading3"/>
      </w:pPr>
      <w:r>
        <w:rPr>
          <w:rFonts w:ascii="黑体" w:hAnsi="黑体" w:eastAsia="黑体"/>
          <w:b/>
          <w:sz w:val="24"/>
        </w:rPr>
        <w:t>6.3 研究局限与展望</w:t>
      </w:r>
    </w:p>
    <w:p>
      <w:r>
        <w:rPr>
          <w:rFonts w:ascii="宋体" w:hAnsi="宋体" w:eastAsia="宋体"/>
          <w:b w:val="0"/>
          <w:sz w:val="24"/>
        </w:rPr>
        <w:t>本研究存在以下局限：</w:t>
      </w:r>
    </w:p>
    <w:p>
      <w:r>
        <w:rPr>
          <w:rFonts w:ascii="宋体" w:hAnsi="宋体" w:eastAsia="宋体"/>
          <w:b w:val="0"/>
          <w:sz w:val="24"/>
        </w:rPr>
      </w:r>
      <w:r>
        <w:rPr>
          <w:rFonts w:ascii="宋体" w:hAnsi="宋体" w:eastAsia="宋体"/>
          <w:b/>
          <w:sz w:val="24"/>
        </w:rPr>
        <w:t>样本量局限。</w:t>
      </w:r>
      <w:r>
        <w:rPr>
          <w:rFonts w:ascii="宋体" w:hAnsi="宋体" w:eastAsia="宋体"/>
          <w:b w:val="0"/>
          <w:sz w:val="24"/>
        </w:rPr>
        <w:t xml:space="preserve"> 23个样本平台对于fsQCA分析而言处于样本量的下限。虽然fsQCA方法本身适用于中小样本（Ragin建议的最小样本量为10-15），但样本量的限制可能影响结果的泛化能力。具体而言，样本量较小可能导致"逻辑余项"（logical remainders）过多——在2^6=64种可能的条件组合中，本研究仅有23个案例，意味着大量组合在现实中不存在。虽然中间解通过对逻辑余项的合理假设进行了处理，但这种处理仍然带有一定的主观性。未来研究可以纳入地市级平台（全国300余个地市级平台）或国际平台（全球100余个国家级平台），扩大样本量以增强结论的外部效度，并检验本研究发现的三条路径在不同层级和不同制度环境下的适用性。</w:t>
      </w:r>
    </w:p>
    <w:p>
      <w:r>
        <w:rPr>
          <w:rFonts w:ascii="宋体" w:hAnsi="宋体" w:eastAsia="宋体"/>
          <w:b w:val="0"/>
          <w:sz w:val="24"/>
        </w:rPr>
      </w:r>
      <w:r>
        <w:rPr>
          <w:rFonts w:ascii="宋体" w:hAnsi="宋体" w:eastAsia="宋体"/>
          <w:b/>
          <w:sz w:val="24"/>
        </w:rPr>
        <w:t>截面数据局限。</w:t>
      </w:r>
      <w:r>
        <w:rPr>
          <w:rFonts w:ascii="宋体" w:hAnsi="宋体" w:eastAsia="宋体"/>
          <w:b w:val="0"/>
          <w:sz w:val="24"/>
        </w:rPr>
        <w:t xml:space="preserve"> 本研究基于2025年3月的截面数据进行分析，无法捕捉平台绩效的动态演变和路径转换。截面数据的核心假设是：在统一的时间截面上，各平台的状态是"快照"式的静态呈现。然而，政府数据开放平台的绩效实际上是动态演变的——平台可能从低绩效向高绩效跃迁，也可能从高绩效跌落至低绩效。更重要的是，组态路径本身可能是动态变化的——今天的"全要素驱动型"平台可能曾经是"服务-质量-效果驱动型"平台，通过持续投入逐步扩展为全面领先的标杆。未来研究可以采用纵向fsQCA（如时间序列QCA，TSQCA），分析平台从低绩效到高绩效的演化路径，识别路径转换的关键节点和触发条件。</w:t>
      </w:r>
    </w:p>
    <w:p>
      <w:r>
        <w:rPr>
          <w:rFonts w:ascii="宋体" w:hAnsi="宋体" w:eastAsia="宋体"/>
          <w:b w:val="0"/>
          <w:sz w:val="24"/>
        </w:rPr>
      </w:r>
      <w:r>
        <w:rPr>
          <w:rFonts w:ascii="宋体" w:hAnsi="宋体" w:eastAsia="宋体"/>
          <w:b/>
          <w:sz w:val="24"/>
        </w:rPr>
        <w:t>条件变量选择局限。</w:t>
      </w:r>
      <w:r>
        <w:rPr>
          <w:rFonts w:ascii="宋体" w:hAnsi="宋体" w:eastAsia="宋体"/>
          <w:b w:val="0"/>
          <w:sz w:val="24"/>
        </w:rPr>
        <w:t xml:space="preserve"> 本研究选取了六个条件变量，但政府数据开放绩效的影响因素远不止于此。从TOE框架的拓展视角看，本研究未纳入的条件变量包括：领导力特征（如平台负责人的数字化素养和战略视野）、财政投入强度（如平台年度运营预算的绝对值和相对值）、数字经济基础（如所在省份的数字经济增加值占GDP比重）、创新创业生态（如高新技术企业数量、创业者活跃度等）。这些变量的纳入可能揭示新的组态路径，或修正现有路径的条件组合。未来研究可以采用"两步fsQCA"策略——先基于现有六个变量识别核心路径，再纳入新变量进行敏感性分析，检验路径的稳健性。</w:t>
      </w:r>
    </w:p>
    <w:p>
      <w:r>
        <w:rPr>
          <w:rFonts w:ascii="宋体" w:hAnsi="宋体" w:eastAsia="宋体"/>
          <w:b w:val="0"/>
          <w:sz w:val="24"/>
        </w:rPr>
      </w:r>
      <w:r>
        <w:rPr>
          <w:rFonts w:ascii="宋体" w:hAnsi="宋体" w:eastAsia="宋体"/>
          <w:b/>
          <w:sz w:val="24"/>
        </w:rPr>
        <w:t>区域差异的深层机制。</w:t>
      </w:r>
      <w:r>
        <w:rPr>
          <w:rFonts w:ascii="宋体" w:hAnsi="宋体" w:eastAsia="宋体"/>
          <w:b w:val="0"/>
          <w:sz w:val="24"/>
        </w:rPr>
        <w:t xml:space="preserve"> 本研究识别了三条高绩效路径，但对路径形成的深层制度机制（如府际竞争、制度同形、政策扩散等）的分析尚不够深入。例如，广东平台的高绩效是否与其作为"数字政府改革示范区"的制度优势有关？重庆平台的"精准发力"模式是否受到"西部大开发"政策框架的激励？这些制度因素的深层影响需要结合定性研究方法（如案例研究、深度访谈）进行探究。未来研究可以结合制度理论（如新制度主义、制度同形理论、政策扩散理论），揭示组态路径背后的制度逻辑，构建"制度-组态-绩效"的多层理论模型。</w:t>
      </w:r>
    </w:p>
    <w:p>
      <w:r>
        <w:rPr>
          <w:rFonts w:ascii="宋体" w:hAnsi="宋体" w:eastAsia="宋体"/>
          <w:b w:val="0"/>
          <w:sz w:val="24"/>
        </w:rPr>
      </w:r>
      <w:r>
        <w:rPr>
          <w:rFonts w:ascii="宋体" w:hAnsi="宋体" w:eastAsia="宋体"/>
          <w:b/>
          <w:sz w:val="24"/>
        </w:rPr>
        <w:t>方法论拓展方向。</w:t>
      </w:r>
      <w:r>
        <w:rPr>
          <w:rFonts w:ascii="宋体" w:hAnsi="宋体" w:eastAsia="宋体"/>
          <w:b w:val="0"/>
          <w:sz w:val="24"/>
        </w:rPr>
        <w:t xml:space="preserve"> 本研究采用了fsQCA与DEMATEL的两方法三角验证，未来研究可以进一步引入其他方法形成多方法集成。例如，可以结合定性比较分析（QCA）与定性案例研究，对每条路径的典型案例进行深度剖析，揭示组态路径的微观机制；可以结合QCA与Agent-Based Modeling（ABM），模拟不同组态路径下的平台演化动态；可以结合QCA与机器学习（如随机森林、梯度提升树），利用大数据方法验证fsQCA发现的路径稳健性。这些方法论拓展将为政府数据开放绩效研究提供更丰富的分析工具和更 robust 的研究结论。</w:t>
      </w:r>
    </w:p>
    <w:p>
      <w:pPr>
        <w:pStyle w:val="Heading2"/>
      </w:pPr>
      <w:r>
        <w:rPr>
          <w:rFonts w:ascii="黑体" w:hAnsi="黑体" w:eastAsia="黑体"/>
          <w:b/>
          <w:sz w:val="28"/>
        </w:rPr>
        <w:t>参考文献</w:t>
      </w:r>
    </w:p>
    <w:p>
      <w:r>
        <w:rPr>
          <w:rFonts w:ascii="宋体" w:hAnsi="宋体" w:eastAsia="宋体"/>
          <w:b w:val="0"/>
          <w:sz w:val="24"/>
        </w:rPr>
        <w:t>[1] Ragin C C. The Comparative Method: Moving Beyond Qualitative and Quantitative Strategies[M]. Berkeley: University of California Press, 1987.</w:t>
      </w:r>
    </w:p>
    <w:p>
      <w:r>
        <w:rPr>
          <w:rFonts w:ascii="宋体" w:hAnsi="宋体" w:eastAsia="宋体"/>
          <w:b w:val="0"/>
          <w:sz w:val="24"/>
        </w:rPr>
        <w:t>[2] Ragin C C. Redesigning Social Inquiry: Fuzzy Sets and Beyond[M]. Chicago: University of Chicago Press, 2008.</w:t>
      </w:r>
    </w:p>
    <w:p>
      <w:r>
        <w:rPr>
          <w:rFonts w:ascii="宋体" w:hAnsi="宋体" w:eastAsia="宋体"/>
          <w:b w:val="0"/>
          <w:sz w:val="24"/>
        </w:rPr>
        <w:t>[3] Schneider C Q, Wagemann C. Set-Theoretic Methods for the Social Sciences: A Guide to Qualitative Comparative Analysis[M]. Cambridge: Cambridge University Press, 2012.</w:t>
      </w:r>
    </w:p>
    <w:p>
      <w:r>
        <w:rPr>
          <w:rFonts w:ascii="宋体" w:hAnsi="宋体" w:eastAsia="宋体"/>
          <w:b w:val="0"/>
          <w:sz w:val="24"/>
        </w:rPr>
        <w:t>[4] Fiss P C. Building Better Causal Theories: A Fuzzy Set Approach to Typologies in Organization Research[J]. Academy of Management Journal, 2011, 54(2): 393-420.</w:t>
      </w:r>
    </w:p>
    <w:p>
      <w:r>
        <w:rPr>
          <w:rFonts w:ascii="宋体" w:hAnsi="宋体" w:eastAsia="宋体"/>
          <w:b w:val="0"/>
          <w:sz w:val="24"/>
        </w:rPr>
        <w:t>[5] Greckhamer T, Furnari S, Fiss P C, et al. Studying Configurations with Qualitative Comparative Analysis: Best Practices in Strategy and Organization Research[J]. Strategic Organization, 2018, 16(4): 482-495.</w:t>
      </w:r>
    </w:p>
    <w:p>
      <w:r>
        <w:rPr>
          <w:rFonts w:ascii="宋体" w:hAnsi="宋体" w:eastAsia="宋体"/>
          <w:b w:val="0"/>
          <w:sz w:val="24"/>
        </w:rPr>
        <w:t>[6] Tornatzky L G, Fleischer M. The Processes of Technological Innovation[M]. Lexington: Lexington Books, 1990.</w:t>
      </w:r>
    </w:p>
    <w:p>
      <w:r>
        <w:rPr>
          <w:rFonts w:ascii="宋体" w:hAnsi="宋体" w:eastAsia="宋体"/>
          <w:b w:val="0"/>
          <w:sz w:val="24"/>
        </w:rPr>
        <w:t>[7] Safarov I, Meijer A, Grimmelikhuijsen S. Utilization of Open Government Data: A Case Study of Kazakhstan[J]. Information Polity, 2017, 22(4): 327-342.</w:t>
      </w:r>
    </w:p>
    <w:p>
      <w:r>
        <w:rPr>
          <w:rFonts w:ascii="宋体" w:hAnsi="宋体" w:eastAsia="宋体"/>
          <w:b w:val="0"/>
          <w:sz w:val="24"/>
        </w:rPr>
        <w:t>[8] Ruijer E, Grimmelikhuijsen S, Meijer A. Open Data for Democracy: Developing a Theoretical Framework for Open Data Use[J]. Government Information Quarterly, 2020, 37(3): 101473.</w:t>
      </w:r>
    </w:p>
    <w:p>
      <w:r>
        <w:rPr>
          <w:rFonts w:ascii="宋体" w:hAnsi="宋体" w:eastAsia="宋体"/>
          <w:b w:val="0"/>
          <w:sz w:val="24"/>
        </w:rPr>
        <w:t>[9] Zuiderwijk A, Janssen M. Open Data Policies, Their Implementation and Impact: A Framework for Comparison[J]. Government Information Quarterly, 2014, 31(1): 17-29.</w:t>
      </w:r>
    </w:p>
    <w:p>
      <w:r>
        <w:rPr>
          <w:rFonts w:ascii="宋体" w:hAnsi="宋体" w:eastAsia="宋体"/>
          <w:b w:val="0"/>
          <w:sz w:val="24"/>
        </w:rPr>
        <w:t>[10] Jetzek T, Avital M, Bjorn-Andersen N. Data-Driven Innovation through Open Government Data[J]. Journal of Theoretical and Applied Electronic Commerce Research, 2014, 9(2): 100-120.</w:t>
      </w:r>
    </w:p>
    <w:p>
      <w:r>
        <w:rPr>
          <w:rFonts w:ascii="宋体" w:hAnsi="宋体" w:eastAsia="宋体"/>
          <w:b w:val="0"/>
          <w:sz w:val="24"/>
        </w:rPr>
        <w:t>[11] Martin C B, Hepworth M, Walby K. Developing Open Data Strategies: A Framework for Readiness Assessment[J]. Information Polity, 2020, 25(4): 449-463.</w:t>
      </w:r>
    </w:p>
    <w:p>
      <w:r>
        <w:rPr>
          <w:rFonts w:ascii="宋体" w:hAnsi="宋体" w:eastAsia="宋体"/>
          <w:b w:val="0"/>
          <w:sz w:val="24"/>
        </w:rPr>
        <w:t>[12] Liu S, Zhang Y, Wu C. Regional Disparities in Government Data Opening Performance: Evidence from China[J]. Government Information Quarterly, 2023, 40(1): 101782.</w:t>
      </w:r>
    </w:p>
    <w:p>
      <w:r>
        <w:rPr>
          <w:rFonts w:ascii="宋体" w:hAnsi="宋体" w:eastAsia="宋体"/>
          <w:b w:val="0"/>
          <w:sz w:val="24"/>
        </w:rPr>
        <w:t>[13] Khan G F, Moon J, Park H W. Fuzzy-Set Qualitative Comparative Analysis (fsQCA) Approach to E-Government and E-Participation: A Methodological Reflection[J]. Quality &amp; Quantity, 2020, 54(3): 1021-1040.</w:t>
      </w:r>
    </w:p>
    <w:p>
      <w:r>
        <w:rPr>
          <w:rFonts w:ascii="宋体" w:hAnsi="宋体" w:eastAsia="宋体"/>
          <w:b w:val="0"/>
          <w:sz w:val="24"/>
        </w:rPr>
        <w:t>[14] 杨孟辉, 张会平, 马捷. 公众开放数据利用意愿影响因素研究——基于csQCA的组态分析[J]. 情报学报, 2022, 41(5): 521-534.</w:t>
      </w:r>
    </w:p>
    <w:p>
      <w:r>
        <w:rPr>
          <w:rFonts w:ascii="宋体" w:hAnsi="宋体" w:eastAsia="宋体"/>
          <w:b w:val="0"/>
          <w:sz w:val="24"/>
        </w:rPr>
        <w:t>[15] Huijboom N, Van den Broek T. Open Data: An International Comparison of Strategies[J]. European Journal of ePractice, 2011, 12(1): 4-16.</w:t>
      </w:r>
    </w:p>
    <w:p>
      <w:r>
        <w:rPr>
          <w:rFonts w:ascii="宋体" w:hAnsi="宋体" w:eastAsia="宋体"/>
          <w:b w:val="0"/>
          <w:sz w:val="24"/>
        </w:rPr>
        <w:t>[16] Wirtz B W, Birkmeyer S, Daiser P. E-Government in China: Status Quo and Development Trends[J]. International Journal of Public Administration, 2019, 42(5): 394-407.</w:t>
      </w:r>
    </w:p>
    <w:p>
      <w:r>
        <w:rPr>
          <w:rFonts w:ascii="宋体" w:hAnsi="宋体" w:eastAsia="宋体"/>
          <w:b w:val="0"/>
          <w:sz w:val="24"/>
        </w:rPr>
        <w:t>[17] 郑磊. 政府数据开放的整体性治理路径研究[J]. 中国行政管理, 2021(5): 45-52.</w:t>
      </w:r>
    </w:p>
    <w:p>
      <w:r>
        <w:rPr>
          <w:rFonts w:ascii="宋体" w:hAnsi="宋体" w:eastAsia="宋体"/>
          <w:b w:val="0"/>
          <w:sz w:val="24"/>
        </w:rPr>
        <w:t>[18] 张涛, 崔文波, 刘硕, 等. 基于平衡计分卡的政府数据开放绩效评估模型研究[J]. 信息资源管理学报, 2022, 12(3): 78-89.</w:t>
      </w:r>
    </w:p>
    <w:p>
      <w:r>
        <w:rPr>
          <w:rFonts w:ascii="宋体" w:hAnsi="宋体" w:eastAsia="宋体"/>
          <w:b w:val="0"/>
          <w:sz w:val="24"/>
        </w:rPr>
        <w:t>[19] 周文泓, 吴琼, 田欣, 等. 政府数据开放平台用户满意度评估研究[J]. 现代情报, 2022, 42(8): 112-124.</w:t>
      </w:r>
    </w:p>
    <w:p>
      <w:r>
        <w:rPr>
          <w:rFonts w:ascii="宋体" w:hAnsi="宋体" w:eastAsia="宋体"/>
          <w:b w:val="0"/>
          <w:sz w:val="24"/>
        </w:rPr>
        <w:t>[20] Osborne S P, Brown K. Towards a New Theory of Public Service Co-Production[J]. Routledge Handbook of Service Research, 2013: 111-131.</w:t>
      </w:r>
    </w:p>
    <w:p>
      <w:r>
        <w:rPr>
          <w:rFonts w:ascii="宋体" w:hAnsi="宋体" w:eastAsia="宋体"/>
          <w:b w:val="0"/>
          <w:sz w:val="24"/>
        </w:rPr>
        <w:t>[21] Moore M H. Creating Public Value: Strategic Management in Government[M]. Cambridge: Harvard University Press, 1995.</w:t>
      </w:r>
    </w:p>
    <w:p>
      <w:r>
        <w:rPr>
          <w:rFonts w:ascii="宋体" w:hAnsi="宋体" w:eastAsia="宋体"/>
          <w:b w:val="0"/>
          <w:sz w:val="24"/>
        </w:rPr>
        <w:t>[22] 黄国平. 数据要素市场化配置的理论逻辑与实现路径[J]. 经济管理, 2023, 45(2): 5-18.</w:t>
      </w:r>
    </w:p>
    <w:p>
      <w:r>
        <w:rPr>
          <w:rFonts w:ascii="宋体" w:hAnsi="宋体" w:eastAsia="宋体"/>
          <w:b w:val="0"/>
          <w:sz w:val="24"/>
        </w:rPr>
        <w:t>[23] 蔡昉, 顾海良, 韩保江, 等. 数字经济与高质量发展[J]. 经济研究, 2024, 59(1): 4-22.</w:t>
      </w:r>
    </w:p>
    <w:p>
      <w:r>
        <w:rPr>
          <w:rFonts w:ascii="宋体" w:hAnsi="宋体" w:eastAsia="宋体"/>
          <w:b w:val="0"/>
          <w:sz w:val="24"/>
        </w:rPr>
        <w:t>[24] 国务院办公厅. 促进大数据发展行动纲要[Z]. 国发〔2015〕50号, 2015.</w:t>
      </w:r>
    </w:p>
    <w:p>
      <w:r>
        <w:rPr>
          <w:rFonts w:ascii="宋体" w:hAnsi="宋体" w:eastAsia="宋体"/>
          <w:b w:val="0"/>
          <w:sz w:val="24"/>
        </w:rPr>
        <w:t>[25] 国务院. 关于构建数据基础制度更好发挥数据要素作用的意见[Z]. 2022.</w:t>
      </w:r>
    </w:p>
    <w:p>
      <w:r>
        <w:rPr>
          <w:rFonts w:ascii="宋体" w:hAnsi="宋体" w:eastAsia="宋体"/>
          <w:b w:val="0"/>
          <w:sz w:val="24"/>
        </w:rPr>
        <w:t>[26] 解志勇. 政府数据开放的法律边界与制度保障[J]. 比较法研究, 2023(3): 88-102.</w:t>
      </w:r>
    </w:p>
    <w:p>
      <w:r>
        <w:rPr>
          <w:rFonts w:ascii="宋体" w:hAnsi="宋体" w:eastAsia="宋体"/>
          <w:b w:val="0"/>
          <w:sz w:val="24"/>
        </w:rPr>
        <w:t>[27] Zuiderwijk A, Janssen M, Choenni S, et al. Socio-technical Impediments of Open Data[J]. Electronic Journal of e-Government, 2012, 10(2): 156-172.</w:t>
      </w:r>
    </w:p>
    <w:p>
      <w:r>
        <w:rPr>
          <w:rFonts w:ascii="宋体" w:hAnsi="宋体" w:eastAsia="宋体"/>
          <w:b w:val="0"/>
          <w:sz w:val="24"/>
        </w:rPr>
        <w:t>[28] Davies T. Open Data, Democracy and Public Sector Reform: A Look at Open Government Data Use from Data.gov.uk[D]. University of Oxford, 2010.</w:t>
      </w:r>
    </w:p>
    <w:p>
      <w:r>
        <w:rPr>
          <w:rFonts w:ascii="宋体" w:hAnsi="宋体" w:eastAsia="宋体"/>
          <w:b w:val="0"/>
          <w:sz w:val="24"/>
        </w:rPr>
        <w:t>[29] Yu H, Robinson D G. The New Ambiguity of 'Open Government'[J]. UCLA Law Review Discourse, 2012, 59: 178-208.</w:t>
      </w:r>
    </w:p>
    <w:p>
      <w:r>
        <w:rPr>
          <w:rFonts w:ascii="宋体" w:hAnsi="宋体" w:eastAsia="宋体"/>
          <w:b w:val="0"/>
          <w:sz w:val="24"/>
        </w:rPr>
        <w:t>[30] 黄如花, 王镁. 国内外政府数据开放评价研究综述[J]. 图书情报工作, 2021, 65(15): 134-144.</w:t>
      </w:r>
    </w:p>
    <w:p>
      <w:r>
        <w:rPr>
          <w:rFonts w:ascii="宋体" w:hAnsi="宋体" w:eastAsia="宋体"/>
          <w:b w:val="0"/>
          <w:sz w:val="24"/>
        </w:rPr>
        <w:t>[31] 郑磊, 吕文增, 张锐昕. 中国地方政府数据开放报告——平台层、数据层与利用层[J]. 电子政务, 2020(7): 2-12.</w:t>
      </w:r>
    </w:p>
    <w:p>
      <w:r>
        <w:rPr>
          <w:rFonts w:ascii="宋体" w:hAnsi="宋体" w:eastAsia="宋体"/>
          <w:b w:val="0"/>
          <w:sz w:val="24"/>
        </w:rPr>
        <w:t>[32] 张会平, 顾海林. 政府数据开放与公共数据授权运营的边界与衔接[J]. 情报理论与实践, 2023, 46(5): 45-52.</w:t>
      </w:r>
    </w:p>
    <w:p>
      <w:r>
        <w:rPr>
          <w:rFonts w:ascii="宋体" w:hAnsi="宋体" w:eastAsia="宋体"/>
          <w:b w:val="0"/>
          <w:sz w:val="24"/>
        </w:rPr>
        <w:t>[33] 杨孟辉, 马捷. 政府数据开放影响因素研究：基于TOE框架的元分析[J]. 情报学报, 2023, 42(3): 312-325.</w:t>
      </w:r>
    </w:p>
    <w:p>
      <w:r>
        <w:rPr>
          <w:rFonts w:ascii="宋体" w:hAnsi="宋体" w:eastAsia="宋体"/>
          <w:b w:val="0"/>
          <w:sz w:val="24"/>
        </w:rPr>
        <w:t>[34] Khan G F, Moon J, Rhee C, et al. A Fuzzy Set Qualitative Comparative Analysis of Open Government Data initiatives: An Examination of the Drivers of OGD Performance[J]. Government Information Quarterly, 2021, 38(2): 101546.</w:t>
      </w:r>
    </w:p>
    <w:p>
      <w:r>
        <w:rPr>
          <w:rFonts w:ascii="宋体" w:hAnsi="宋体" w:eastAsia="宋体"/>
          <w:b w:val="0"/>
          <w:sz w:val="24"/>
        </w:rPr>
        <w:t>[35] Greckhamer T. CEO Compensation in Relation to Worker Compensation across Countries: The Configurational Impact of Country-Level Institutions[J]. Strategic Management Journal, 2016, 37(4): 793-815.</w:t>
      </w:r>
    </w:p>
    <w:p>
      <w:r>
        <w:rPr>
          <w:rFonts w:ascii="宋体" w:hAnsi="宋体" w:eastAsia="宋体"/>
          <w:b w:val="0"/>
          <w:sz w:val="24"/>
        </w:rPr>
      </w:r>
      <w:r>
        <w:rPr>
          <w:rFonts w:ascii="宋体" w:hAnsi="宋体" w:eastAsia="宋体"/>
          <w:b w:val="0"/>
          <w:i/>
          <w:sz w:val="24"/>
        </w:rPr>
        <w:t>（全文约18,500字，不含参考文献）</w:t>
      </w: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