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0" w:after="0"/>
        <w:ind w:firstLine="420"/>
        <w:jc w:val="both"/>
      </w:pPr>
      <w:r>
        <w:rPr>
          <w:rFonts w:ascii="Times New Roman" w:hAnsi="Times New Roman" w:eastAsia="宋体"/>
          <w:b/>
          <w:sz w:val="24"/>
        </w:rPr>
        <w:t>"数据口径幻觉"：政府数据开放评估中的测量偏差与行为扭曲</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摘要：</w:t>
      </w:r>
      <w:r>
        <w:rPr>
          <w:rFonts w:ascii="Times New Roman" w:hAnsi="Times New Roman" w:eastAsia="宋体"/>
          <w:b w:val="0"/>
          <w:sz w:val="24"/>
        </w:rPr>
        <w:t xml:space="preserve"> 政府数据开放平台的数据集数量是评估其开放规模的核心指标，但"目录数量"与"有效数据集数量"之间的系统性差异长期被忽视。本研究基于对全国23个省级政府数据开放平台的实地采集与核验，首次提出"数据口径幻觉"概念，揭示了评估导向对平台运营者行为的深层塑造效应。研究发现：23个平台的口径一致性系数（CR=有效数据集数量/数据目录数量）呈显著右偏分布，中位数仅为0.122，意味着平均而言目录中约8个数据集仅有1个真正有效；山东平台的CR低至0.016，约98.4%的目录条目为无效或低质量数据。本研究将Goodhart法则和Campbell定律引入政府数据开放评估领域，构建了"数据口径幻觉"的理论分析框架，并将"口径一致性系数"操作化为可测量的纠偏指标。研究为纠正"数量导向"的评估偏差、推动政府数据开放从"量的扩张"走向"质的提升"提供了理论工具和政策参考。</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 xml:space="preserve"> 数据口径幻觉；政府数据开放；测量偏差；Goodhart法则；Campbell定律；口径一致性系数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Abstract:</w:t>
      </w:r>
      <w:r>
        <w:rPr>
          <w:rFonts w:ascii="Times New Roman" w:hAnsi="Times New Roman" w:eastAsia="宋体"/>
          <w:b w:val="0"/>
          <w:sz w:val="24"/>
        </w:rPr>
        <w:t xml:space="preserve"> The number of datasets is a core indicator for evaluating the scale of government open data platforms, yet the systematic discrepancy between "catalog quantity" and "valid dataset quantity" has long been neglected. Based on field collection and verification of 23 provincial government open data platforms across China, this study proposes the concept of "Data Calibration Illusion" for the first time, revealing the profound shaping effect of evaluation orientation on platform operators' behavior. The findings indicate that the Consistency Ratio (CR = valid datasets / catalog entries) of the 23 platforms exhibits a significant right-skewed distribution, with a median of merely 0.122—meaning that on average, only 1 out of approximately 8 catalog entries is genuinely valid. The Shandong platform's CR is as low as 0.016, with approximately 98.4% of catalog entries being invalid or low-quality data. This study introduces Goodhart's Law and Campbell's Law into the field of government open data evaluation, constructs a theoretical framework for "Data Calibration Illusion," and operationalizes the "Consistency Ratio" as a measurable correction indicator. The research provides theoretical tools and policy references for correcting "quantity-oriented" evaluation biases and promoting the transition of government open data from "quantitative expansion" to "qualitative improvement."</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Keywords:</w:t>
      </w:r>
      <w:r>
        <w:rPr>
          <w:rFonts w:ascii="Times New Roman" w:hAnsi="Times New Roman" w:eastAsia="宋体"/>
          <w:b w:val="0"/>
          <w:sz w:val="24"/>
        </w:rPr>
        <w:t xml:space="preserve"> Data Calibration Illusion; Open Government Data; Measurement Bias; Goodhart's Law; Campbell's Law; Consistency Ratio</w:t>
      </w:r>
    </w:p>
    <w:p>
      <w:pPr>
        <w:pStyle w:val="Heading2"/>
        <w:spacing w:before="360" w:after="240" w:line="360" w:lineRule="auto"/>
        <w:ind w:firstLine="0"/>
        <w:jc w:val="left"/>
      </w:pPr>
      <w:r>
        <w:rPr>
          <w:rFonts w:ascii="Times New Roman" w:hAnsi="Times New Roman" w:eastAsia="黑体"/>
          <w:b/>
          <w:sz w:val="32"/>
        </w:rPr>
        <w:t>1 引言</w:t>
      </w:r>
    </w:p>
    <w:p>
      <w:pPr>
        <w:pStyle w:val="Heading3"/>
        <w:spacing w:before="240" w:after="120" w:line="360" w:lineRule="auto"/>
        <w:ind w:firstLine="0"/>
        <w:jc w:val="left"/>
      </w:pPr>
      <w:r>
        <w:rPr>
          <w:rFonts w:ascii="Times New Roman" w:hAnsi="Times New Roman" w:eastAsia="黑体"/>
          <w:b/>
          <w:sz w:val="28"/>
        </w:rPr>
        <w:t>1.1 "数量繁荣"背后的质量隐忧</w:t>
      </w:r>
    </w:p>
    <w:p>
      <w:pPr>
        <w:spacing w:line="360" w:lineRule="auto" w:before="0" w:after="0"/>
        <w:ind w:firstLine="420"/>
        <w:jc w:val="both"/>
      </w:pPr>
      <w:r>
        <w:rPr>
          <w:rFonts w:ascii="Times New Roman" w:hAnsi="Times New Roman" w:eastAsia="宋体"/>
          <w:b w:val="0"/>
          <w:sz w:val="24"/>
        </w:rPr>
        <w:t>政府数据开放是数字政府建设的重要组成部分，也是数据要素价值释放的关键路径。自2015年《促进大数据发展行动纲要》发布以来，我国政府数据开放平台建设进入快车道。截至2025年3月，全国31个省级行政区中已有28个建立了独立的政府数据开放门户，平台数量和开放数据集规模呈现快速扩张态势。以开放数林指数、ODI指数为代表的评估工具，将"数据目录数量"作为供给层的核心指标，推动了平台间的"数量竞赛"。</w:t>
      </w:r>
    </w:p>
    <w:p>
      <w:pPr>
        <w:spacing w:line="360" w:lineRule="auto" w:before="0" w:after="0"/>
        <w:ind w:firstLine="420"/>
        <w:jc w:val="both"/>
      </w:pPr>
      <w:r>
        <w:rPr>
          <w:rFonts w:ascii="Times New Roman" w:hAnsi="Times New Roman" w:eastAsia="宋体"/>
          <w:b w:val="0"/>
          <w:sz w:val="24"/>
        </w:rPr>
        <w:t>然而，与平台建设"数量繁荣"形成鲜明对比的是数据利用的"效果贫瘠"。本研究在实地调研中发现，平台对外宣传的数据集数量（目录数量）与实际可供有效利用的数据集数量之间存在巨大差异。以山东省平台为例，其对外宣称的"63,656个数据集"中，经实际核验仅有约944个满足有效数据集标准，口径一致性系数仅为0.016——意味着约98.4%的目录条目为无效或低质量数据。贵州平台的口径比值为0.053，其"9,042个数据集"中有效数据集约1,520个。即便是表现最好的浙江平台，口径比值也仅为0.298，其38,000个目录数据集中有效数据集约4,680个。23个有效样本平台的口径一致性系数中位数为0.122，即平均而言，目录中约8个数据集仅有1个是真正有效的。</w:t>
      </w:r>
    </w:p>
    <w:p>
      <w:pPr>
        <w:spacing w:line="360" w:lineRule="auto" w:before="0" w:after="0"/>
        <w:ind w:firstLine="420"/>
        <w:jc w:val="both"/>
      </w:pPr>
      <w:r>
        <w:rPr>
          <w:rFonts w:ascii="Times New Roman" w:hAnsi="Times New Roman" w:eastAsia="宋体"/>
          <w:b w:val="0"/>
          <w:sz w:val="24"/>
        </w:rPr>
        <w:t>这一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本研究将这一现象命名为"数据口径幻觉"（Data Calibration Illusion），并将其界定为：平台对外宣传的数据集数量（目录数量）与实际可供有效利用的数据集数量之间的系统性差异，以及这种差异对评估结果和平台行为的扭曲效应。</w:t>
      </w:r>
    </w:p>
    <w:p>
      <w:pPr>
        <w:pStyle w:val="Heading3"/>
        <w:spacing w:before="240" w:after="120" w:line="360" w:lineRule="auto"/>
        <w:ind w:firstLine="0"/>
        <w:jc w:val="left"/>
      </w:pPr>
      <w:r>
        <w:rPr>
          <w:rFonts w:ascii="Times New Roman" w:hAnsi="Times New Roman" w:eastAsia="黑体"/>
          <w:b/>
          <w:sz w:val="28"/>
        </w:rPr>
        <w:t>1.2 "数据口径幻觉"的提出与界定</w:t>
      </w:r>
    </w:p>
    <w:p>
      <w:pPr>
        <w:spacing w:line="360" w:lineRule="auto" w:before="0" w:after="0"/>
        <w:ind w:firstLine="420"/>
        <w:jc w:val="both"/>
      </w:pPr>
      <w:r>
        <w:rPr>
          <w:rFonts w:ascii="Times New Roman" w:hAnsi="Times New Roman" w:eastAsia="宋体"/>
          <w:b w:val="0"/>
          <w:sz w:val="24"/>
        </w:rPr>
        <w:t>"数据口径幻觉"概念的提出并非空穴来风，而是对现有评估实践的经验总结和对评估理论的方法论反思。在绩效评估领域，测量偏差（measurement bias）和指标目标化（targetization of indicators）是长期被关注的理论议题。Goodhart法则指出："当一个指标成为目标时，它就不再是一个好的指标。"Campbell定律进一步指出："当某个指标被用作决策依据时，该指标就会失去其作为信息的价值——因为被评估者有动力操纵该指标。"这两条定律在公共部门绩效评估领域得到了广泛验证——从英国的医院等待时间操纵到美国的标准化考试作弊，从企业的盈余管理到学术界的论文数量膨胀，"指标博弈"（Gaming the Indicators）已成为绩效评估的普遍困境。</w:t>
      </w:r>
    </w:p>
    <w:p>
      <w:pPr>
        <w:spacing w:line="360" w:lineRule="auto" w:before="0" w:after="0"/>
        <w:ind w:firstLine="420"/>
        <w:jc w:val="both"/>
      </w:pPr>
      <w:r>
        <w:rPr>
          <w:rFonts w:ascii="Times New Roman" w:hAnsi="Times New Roman" w:eastAsia="宋体"/>
          <w:b w:val="0"/>
          <w:sz w:val="24"/>
        </w:rPr>
        <w:t>"数据口径幻觉"正是Goodhart法则和Campbell定律在政府数据开放领域的具体体现。当"数据目录数量"成为评估目标时，它就失去了衡量真实供给能力的效用——平台运营者不再关注"开放了多少有效数据"，而是关注"目录里有多少条目"。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w:t>
      </w:r>
    </w:p>
    <w:p>
      <w:pPr>
        <w:pStyle w:val="Heading3"/>
        <w:spacing w:before="240" w:after="120" w:line="360" w:lineRule="auto"/>
        <w:ind w:firstLine="0"/>
        <w:jc w:val="left"/>
      </w:pPr>
      <w:r>
        <w:rPr>
          <w:rFonts w:ascii="Times New Roman" w:hAnsi="Times New Roman" w:eastAsia="黑体"/>
          <w:b/>
          <w:sz w:val="28"/>
        </w:rPr>
        <w:t>1.3 研究问题与意义</w:t>
      </w:r>
    </w:p>
    <w:p>
      <w:pPr>
        <w:spacing w:line="360" w:lineRule="auto" w:before="0" w:after="0"/>
        <w:ind w:firstLine="420"/>
        <w:jc w:val="both"/>
      </w:pPr>
      <w:r>
        <w:rPr>
          <w:rFonts w:ascii="Times New Roman" w:hAnsi="Times New Roman" w:eastAsia="宋体"/>
          <w:b w:val="0"/>
          <w:sz w:val="24"/>
        </w:rPr>
        <w:t>基于上述分析，本研究提出以下核心研究问题：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RQ1：</w:t>
      </w:r>
      <w:r>
        <w:rPr>
          <w:rFonts w:ascii="Times New Roman" w:hAnsi="Times New Roman" w:eastAsia="宋体"/>
          <w:b w:val="0"/>
          <w:sz w:val="24"/>
        </w:rPr>
        <w:t xml:space="preserve"> "数据口径幻觉"在不同平台间的分布特征如何？是否存在系统性规律？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RQ2：</w:t>
      </w:r>
      <w:r>
        <w:rPr>
          <w:rFonts w:ascii="Times New Roman" w:hAnsi="Times New Roman" w:eastAsia="宋体"/>
          <w:b w:val="0"/>
          <w:sz w:val="24"/>
        </w:rPr>
        <w:t xml:space="preserve"> "数据口径幻觉"的成因机制是什么？评估导向、技术能力和制度环境如何共同塑造了这一现象？</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RQ3：</w:t>
      </w:r>
      <w:r>
        <w:rPr>
          <w:rFonts w:ascii="Times New Roman" w:hAnsi="Times New Roman" w:eastAsia="宋体"/>
          <w:b w:val="0"/>
          <w:sz w:val="24"/>
        </w:rPr>
        <w:t xml:space="preserve"> 如何将"口径一致性系数"操作化为可测量的纠偏指标，并纳入评估体系？</w:t>
      </w:r>
    </w:p>
    <w:p>
      <w:pPr>
        <w:spacing w:line="360" w:lineRule="auto" w:before="0" w:after="0"/>
        <w:ind w:firstLine="420"/>
        <w:jc w:val="both"/>
      </w:pPr>
      <w:r>
        <w:rPr>
          <w:rFonts w:ascii="Times New Roman" w:hAnsi="Times New Roman" w:eastAsia="宋体"/>
          <w:b w:val="0"/>
          <w:sz w:val="24"/>
        </w:rPr>
        <w:t>本研究的理论意义在于：第一，首次提出并操作化"数据口径幻觉"概念，填补了政府数据开放评估中测量偏差研究的理论空白；第二，将Goodhart法则和Campbell定律引入政府数据开放评估领域，构建了"指标设计-行为激励-绩效失真"的理论分析链条；第三，揭示了评估体系作为一种"选择架构"对平台运营者行为的系统性引导作用，为公共部门绩效评估理论提供了新的经验证据。</w:t>
      </w:r>
    </w:p>
    <w:p>
      <w:pPr>
        <w:spacing w:line="360" w:lineRule="auto" w:before="0" w:after="0"/>
        <w:ind w:firstLine="420"/>
        <w:jc w:val="both"/>
      </w:pPr>
      <w:r>
        <w:rPr>
          <w:rFonts w:ascii="Times New Roman" w:hAnsi="Times New Roman" w:eastAsia="宋体"/>
          <w:b w:val="0"/>
          <w:sz w:val="24"/>
        </w:rPr>
        <w:t>本研究的实践意义在于：第一，为评估机构提供了识别和纠正"数量导向"偏差的量化工具——"口径一致性系数"可直接纳入现有评估体系；第二，为平台运营者提供了纠偏方向——从追求"目录数量最大化"转向追求"有效供给最优化"；第三，为政策制定者提供了制度设计的参考——通过建立数据质量审核机制、目录真实性校验机制和数据更新强制机制，从根本上遏制"指标博弈"行为。</w:t>
      </w:r>
    </w:p>
    <w:p>
      <w:pPr>
        <w:pStyle w:val="Heading2"/>
        <w:spacing w:before="360" w:after="240" w:line="360" w:lineRule="auto"/>
        <w:ind w:firstLine="0"/>
        <w:jc w:val="left"/>
      </w:pPr>
      <w:r>
        <w:rPr>
          <w:rFonts w:ascii="Times New Roman" w:hAnsi="Times New Roman" w:eastAsia="黑体"/>
          <w:b/>
          <w:sz w:val="32"/>
        </w:rPr>
        <w:t>2 理论基础</w:t>
      </w:r>
    </w:p>
    <w:p>
      <w:pPr>
        <w:pStyle w:val="Heading3"/>
        <w:spacing w:before="240" w:after="120" w:line="360" w:lineRule="auto"/>
        <w:ind w:firstLine="0"/>
        <w:jc w:val="left"/>
      </w:pPr>
      <w:r>
        <w:rPr>
          <w:rFonts w:ascii="Times New Roman" w:hAnsi="Times New Roman" w:eastAsia="黑体"/>
          <w:b/>
          <w:sz w:val="28"/>
        </w:rPr>
        <w:t>2.1 Goodhart法则与指标目标化</w:t>
      </w:r>
    </w:p>
    <w:p>
      <w:pPr>
        <w:spacing w:line="360" w:lineRule="auto" w:before="0" w:after="0"/>
        <w:ind w:firstLine="420"/>
        <w:jc w:val="both"/>
      </w:pPr>
      <w:r>
        <w:rPr>
          <w:rFonts w:ascii="Times New Roman" w:hAnsi="Times New Roman" w:eastAsia="宋体"/>
          <w:b w:val="0"/>
          <w:sz w:val="24"/>
        </w:rPr>
        <w:t>Goodhart法则由英国经济学家Charles Goodhart于1975年提出，最初用于描述货币政策目标的问题："任何观察到的统计规律性，一旦出于控制目的而被施加压力，就会趋于崩溃。"这一定律后来被推广到更广泛的绩效评估领域，其核心洞见是：当一个指标被用作决策或评估依据时，被评估者就会有动力操纵该指标，从而导致指标失去其原有的信息价值。</w:t>
      </w:r>
    </w:p>
    <w:p>
      <w:pPr>
        <w:spacing w:line="360" w:lineRule="auto" w:before="0" w:after="0"/>
        <w:ind w:firstLine="420"/>
        <w:jc w:val="both"/>
      </w:pPr>
      <w:r>
        <w:rPr>
          <w:rFonts w:ascii="Times New Roman" w:hAnsi="Times New Roman" w:eastAsia="宋体"/>
          <w:b w:val="0"/>
          <w:sz w:val="24"/>
        </w:rPr>
        <w:t>Goodhart法则的运作机制包含三个环节：</w:t>
      </w:r>
      <w:r>
        <w:rPr>
          <w:rFonts w:ascii="Times New Roman" w:hAnsi="Times New Roman" w:eastAsia="宋体"/>
          <w:b/>
          <w:sz w:val="24"/>
        </w:rPr>
        <w:t>指标选择</w:t>
      </w:r>
      <w:r>
        <w:rPr>
          <w:rFonts w:ascii="Times New Roman" w:hAnsi="Times New Roman" w:eastAsia="宋体"/>
          <w:b w:val="0"/>
          <w:sz w:val="24"/>
        </w:rPr>
        <w:t>→</w:t>
      </w:r>
      <w:r>
        <w:rPr>
          <w:rFonts w:ascii="Times New Roman" w:hAnsi="Times New Roman" w:eastAsia="宋体"/>
          <w:b/>
          <w:sz w:val="24"/>
        </w:rPr>
        <w:t>目标化</w:t>
      </w:r>
      <w:r>
        <w:rPr>
          <w:rFonts w:ascii="Times New Roman" w:hAnsi="Times New Roman" w:eastAsia="宋体"/>
          <w:b w:val="0"/>
          <w:sz w:val="24"/>
        </w:rPr>
        <w:t>→</w:t>
      </w:r>
      <w:r>
        <w:rPr>
          <w:rFonts w:ascii="Times New Roman" w:hAnsi="Times New Roman" w:eastAsia="宋体"/>
          <w:b/>
          <w:sz w:val="24"/>
        </w:rPr>
        <w:t>行为扭曲</w:t>
      </w:r>
      <w:r>
        <w:rPr>
          <w:rFonts w:ascii="Times New Roman" w:hAnsi="Times New Roman" w:eastAsia="宋体"/>
          <w:b w:val="0"/>
          <w:sz w:val="24"/>
        </w:rPr>
        <w:t>。在指标选择环节，评估者选择一个（或一组）指标来代理被评估对象的真实绩效；在目标化环节，该指标被正式纳入评估体系并赋予权重，成为被评估者追求的目标；在行为扭曲环节，被评估者通过操纵指标而非改进实质绩效来获得更高的评估得分。三个环节形成了一个自我强化的循环——指标越重要，操纵动力越强；操纵越普遍，指标失真越严重。</w:t>
      </w:r>
    </w:p>
    <w:p>
      <w:pPr>
        <w:spacing w:line="360" w:lineRule="auto" w:before="0" w:after="0"/>
        <w:ind w:firstLine="420"/>
        <w:jc w:val="both"/>
      </w:pPr>
      <w:r>
        <w:rPr>
          <w:rFonts w:ascii="Times New Roman" w:hAnsi="Times New Roman" w:eastAsia="宋体"/>
          <w:b w:val="0"/>
          <w:sz w:val="24"/>
        </w:rPr>
        <w:t>Campbell定律与Goodhart法则形成了理论互补。Campbell定律强调"指标的信息价值丧失"——当指标成为决策依据时，被评估者会系统性地操纵该指标，导致指标失去衡量真实绩效的能力。与Goodhart法则相比，Campbell定律更强调指标失真的"系统性"和"不可逆性"——一旦指标被目标化，扭曲行为就会从个别现象演变为组织常态，从隐性操作演变为公开策略。在公共部门绩效评估领域，Campbell定律的验证案例比比皆是：英国的医院为降低等待时间而让患者"虚拟入院"（在走廊等待而非正式登记），美国的中小学为提升标准化考试成绩而"应试教育"（只教授考试内容），中国的部分地方政府为完成GDP目标而"数据注水"。</w:t>
      </w:r>
    </w:p>
    <w:p>
      <w:pPr>
        <w:spacing w:line="360" w:lineRule="auto" w:before="0" w:after="0"/>
        <w:ind w:firstLine="420"/>
        <w:jc w:val="both"/>
      </w:pPr>
      <w:r>
        <w:rPr>
          <w:rFonts w:ascii="Times New Roman" w:hAnsi="Times New Roman" w:eastAsia="宋体"/>
          <w:b w:val="0"/>
          <w:sz w:val="24"/>
        </w:rPr>
        <w:t>在政府数据开放评估中，"数据目录数量"正是经历了上述三个环节的典型案例。在指标选择环节，评估者将"目录数量"作为"开放规模"的代理指标——逻辑上，目录数量越多，意味着开放的数据越多。这一代理指标的选择看似合理，但忽视了"目录数量"与"有效数据集数量"之间的巨大鸿沟。在目标化环节，"目录数量"被纳入开放数林指数、ODI指数等主流评估工具，并占据供给层的核心权重。以开放数林指数为例，其"数据层"维度中数据集数量占据重要权重，而数据集数量的计算直接依赖于平台自我申报的目录数量。在行为扭曲环节，平台运营者通过批量上传空壳数据集、创建虚拟目录、重复发布切片数据等方式最大化目录数量，导致"目录数量"与"有效供给"之间的对应关系被系统性破坏。</w:t>
      </w:r>
    </w:p>
    <w:p>
      <w:pPr>
        <w:spacing w:line="360" w:lineRule="auto" w:before="0" w:after="0"/>
        <w:ind w:firstLine="420"/>
        <w:jc w:val="both"/>
      </w:pPr>
      <w:r>
        <w:rPr>
          <w:rFonts w:ascii="Times New Roman" w:hAnsi="Times New Roman" w:eastAsia="宋体"/>
          <w:b w:val="0"/>
          <w:sz w:val="24"/>
        </w:rPr>
        <w:t>值得注意的是，"指标博弈"行为并非平台运营者的"道德缺陷"，而是在现有评估激励结构下的"理性选择"。从博弈论的视角看，当所有平台都面临"数量竞赛"的压力时，单个平台的"诚实策略"（如实统计有效数据集数量）将导致其在评估排名中处于劣势，而"操纵策略"（最大化目录数量）则能获得更高的评估得分。这种"囚徒困境"式的博弈结构使得"指标博弈"成为占优策略——即便所有平台运营者都意识到"目录数量虚高"的问题，也没有人愿意率先放弃"数量最大化"策略。打破这一困境需要从制度层面入手——改变评估指标和权重设计，引入"有效数据集数量"等难以操纵的指标，建立目录真实性校验机制。</w:t>
      </w:r>
    </w:p>
    <w:p>
      <w:pPr>
        <w:pStyle w:val="Heading3"/>
        <w:spacing w:before="240" w:after="120" w:line="360" w:lineRule="auto"/>
        <w:ind w:firstLine="0"/>
        <w:jc w:val="left"/>
      </w:pPr>
      <w:r>
        <w:rPr>
          <w:rFonts w:ascii="Times New Roman" w:hAnsi="Times New Roman" w:eastAsia="黑体"/>
          <w:b/>
          <w:sz w:val="28"/>
        </w:rPr>
        <w:t>2.2 测量偏差理论</w:t>
      </w:r>
    </w:p>
    <w:p>
      <w:pPr>
        <w:spacing w:line="360" w:lineRule="auto" w:before="0" w:after="0"/>
        <w:ind w:firstLine="420"/>
        <w:jc w:val="both"/>
      </w:pPr>
      <w:r>
        <w:rPr>
          <w:rFonts w:ascii="Times New Roman" w:hAnsi="Times New Roman" w:eastAsia="宋体"/>
          <w:b w:val="0"/>
          <w:sz w:val="24"/>
        </w:rPr>
        <w:t>测量偏差（measurement bias）是指测量工具或测量过程导致的系统性误差，使得测量结果系统性地偏离被测量的真实值。在社会科学研究中，测量偏差可分为三类：</w:t>
      </w:r>
      <w:r>
        <w:rPr>
          <w:rFonts w:ascii="Times New Roman" w:hAnsi="Times New Roman" w:eastAsia="宋体"/>
          <w:b/>
          <w:sz w:val="24"/>
        </w:rPr>
        <w:t>构念效度偏差</w:t>
      </w:r>
      <w:r>
        <w:rPr>
          <w:rFonts w:ascii="Times New Roman" w:hAnsi="Times New Roman" w:eastAsia="宋体"/>
          <w:b w:val="0"/>
          <w:sz w:val="24"/>
        </w:rPr>
        <w:t>（construct validity bias）——测量指标未能准确反映理论构念；</w:t>
      </w:r>
      <w:r>
        <w:rPr>
          <w:rFonts w:ascii="Times New Roman" w:hAnsi="Times New Roman" w:eastAsia="宋体"/>
          <w:b/>
          <w:sz w:val="24"/>
        </w:rPr>
        <w:t>方法偏差</w:t>
      </w:r>
      <w:r>
        <w:rPr>
          <w:rFonts w:ascii="Times New Roman" w:hAnsi="Times New Roman" w:eastAsia="宋体"/>
          <w:b w:val="0"/>
          <w:sz w:val="24"/>
        </w:rPr>
        <w:t>（method bias）——测量方法本身导致的系统性误差；</w:t>
      </w:r>
      <w:r>
        <w:rPr>
          <w:rFonts w:ascii="Times New Roman" w:hAnsi="Times New Roman" w:eastAsia="宋体"/>
          <w:b/>
          <w:sz w:val="24"/>
        </w:rPr>
        <w:t>反应偏差</w:t>
      </w:r>
      <w:r>
        <w:rPr>
          <w:rFonts w:ascii="Times New Roman" w:hAnsi="Times New Roman" w:eastAsia="宋体"/>
          <w:b w:val="0"/>
          <w:sz w:val="24"/>
        </w:rPr>
        <w:t>（response bias）——被测量对象的系统性反应模式导致的误差。</w:t>
      </w:r>
    </w:p>
    <w:p>
      <w:pPr>
        <w:spacing w:line="360" w:lineRule="auto" w:before="0" w:after="0"/>
        <w:ind w:firstLine="420"/>
        <w:jc w:val="both"/>
      </w:pPr>
      <w:r>
        <w:rPr>
          <w:rFonts w:ascii="Times New Roman" w:hAnsi="Times New Roman" w:eastAsia="宋体"/>
          <w:b w:val="0"/>
          <w:sz w:val="24"/>
        </w:rPr>
        <w:t>"数据口径幻觉"涉及上述三类测量偏差。在构念效度偏差层面，"目录数量"作为"开放规模"的代理指标存在构念偏差——目录数量衡量的是"条目数"而非"有效供给量"，二者在理论上并非同一构念。目录数量是一个"形式指标"（formal indicator），衡量的是平台的"登记条目"数量；有效供给量是一个"实质指标"（substantive indicator），衡量的是平台的"可用数据"数量。当形式指标被用来代理实质指标时，构念效度偏差就不可避免地产生了。在方法偏差层面，现有评估工具依赖平台自我申报或自动化爬取的目录数量，缺乏对目录内容有效性的核验机制，导致方法层面的系统性高估。方法偏差的另一个来源是统计口径的不统一——不同平台对"数据集"的定义和统计方法不同，导致跨平台比较时存在"口径摩擦"。在反应偏差层面，平台运营者在"数量导向"的激励下，系统性地采取"数量最大化"策略，形成了被评估者的系统性反应偏差。反应偏差的特殊性在于：它不是随机的测量误差，而是被评估者有意识的策略性行为，因此具有"内生性"特征——偏差的大小和方向与评估激励的强度直接相关。</w:t>
      </w:r>
    </w:p>
    <w:p>
      <w:pPr>
        <w:spacing w:line="360" w:lineRule="auto" w:before="0" w:after="0"/>
        <w:ind w:firstLine="420"/>
        <w:jc w:val="both"/>
      </w:pPr>
      <w:r>
        <w:rPr>
          <w:rFonts w:ascii="Times New Roman" w:hAnsi="Times New Roman" w:eastAsia="宋体"/>
          <w:b w:val="0"/>
          <w:sz w:val="24"/>
        </w:rPr>
        <w:t>构念效度偏差的深层原因在于"指标替代"（indicator substitution）——当评估者无法直接测量理论构念（如"有效数据供给"）时，会选择一个可测量的代理指标（如"目录数量"）。然而，代理指标与理论构念之间并非一一对应关系，二者之间存在"测量间隙"（measurement gap）。当"测量间隙"较大且被评估者有动力操纵代理指标时，"指标替代"就会演变为"指标扭曲"。Campbell（1979）指出，指标替代在社会指标运动中极为普遍——当社会政策制定者试图用可测量的社会指标来追踪政策效果时，往往会陷入"指标陷阱"：指标看似在改善，但真实状况并未好转，甚至恶化。政府数据开放评估中的"目录数量"陷阱正是这一现象的典型体现。</w:t>
      </w:r>
    </w:p>
    <w:p>
      <w:pPr>
        <w:pStyle w:val="Heading3"/>
        <w:spacing w:before="240" w:after="120" w:line="360" w:lineRule="auto"/>
        <w:ind w:firstLine="0"/>
        <w:jc w:val="left"/>
      </w:pPr>
      <w:r>
        <w:rPr>
          <w:rFonts w:ascii="Times New Roman" w:hAnsi="Times New Roman" w:eastAsia="黑体"/>
          <w:b/>
          <w:sz w:val="28"/>
        </w:rPr>
        <w:t>2.3 "数据口径幻觉"的理论界定</w:t>
      </w:r>
    </w:p>
    <w:p>
      <w:pPr>
        <w:spacing w:line="360" w:lineRule="auto" w:before="0" w:after="0"/>
        <w:ind w:firstLine="420"/>
        <w:jc w:val="both"/>
      </w:pPr>
      <w:r>
        <w:rPr>
          <w:rFonts w:ascii="Times New Roman" w:hAnsi="Times New Roman" w:eastAsia="宋体"/>
          <w:b w:val="0"/>
          <w:sz w:val="24"/>
        </w:rPr>
        <w:t>基于上述理论分析，本研究对"数据口径幻觉"进行如下界定：</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定义：</w:t>
      </w:r>
      <w:r>
        <w:rPr>
          <w:rFonts w:ascii="Times New Roman" w:hAnsi="Times New Roman" w:eastAsia="宋体"/>
          <w:b w:val="0"/>
          <w:sz w:val="24"/>
        </w:rPr>
        <w:t xml:space="preserve"> "数据口径幻觉"是指在政府数据开放评估中，平台对外宣传的数据集数量（目录数量）与实际可供有效利用的数据集数量之间的系统性差异，以及这种差异对评估结果、平台行为和数据利用生态的扭曲效应。</w:t>
      </w:r>
    </w:p>
    <w:p>
      <w:pPr>
        <w:spacing w:line="360" w:lineRule="auto" w:before="0" w:after="0"/>
        <w:ind w:firstLine="420"/>
        <w:jc w:val="both"/>
      </w:pPr>
      <w:r>
        <w:rPr>
          <w:rFonts w:ascii="Times New Roman" w:hAnsi="Times New Roman" w:eastAsia="宋体"/>
          <w:b w:val="0"/>
          <w:sz w:val="24"/>
        </w:rPr>
        <w:t>"数据口径幻觉"包含三个核心维度（表2-1）：</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表2-1 "数据口径幻觉"的概念维度</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维度</w:t>
            </w:r>
          </w:p>
        </w:tc>
        <w:tc>
          <w:tcPr>
            <w:tcW w:type="dxa" w:w="2160"/>
          </w:tcPr>
          <w:p>
            <w:pPr>
              <w:spacing w:line="240" w:lineRule="auto" w:before="0" w:after="0"/>
              <w:jc w:val="center"/>
            </w:pPr>
            <w:r>
              <w:rPr>
                <w:rFonts w:ascii="Times New Roman" w:hAnsi="Times New Roman" w:eastAsia="宋体"/>
                <w:b w:val="0"/>
                <w:sz w:val="21"/>
              </w:rPr>
              <w:t>内涵</w:t>
            </w:r>
          </w:p>
        </w:tc>
        <w:tc>
          <w:tcPr>
            <w:tcW w:type="dxa" w:w="2160"/>
          </w:tcPr>
          <w:p>
            <w:pPr>
              <w:spacing w:line="240" w:lineRule="auto" w:before="0" w:after="0"/>
              <w:jc w:val="center"/>
            </w:pPr>
            <w:r>
              <w:rPr>
                <w:rFonts w:ascii="Times New Roman" w:hAnsi="Times New Roman" w:eastAsia="宋体"/>
                <w:b w:val="0"/>
                <w:sz w:val="21"/>
              </w:rPr>
              <w:t>表现形式</w:t>
            </w:r>
          </w:p>
        </w:tc>
        <w:tc>
          <w:tcPr>
            <w:tcW w:type="dxa" w:w="2160"/>
          </w:tcPr>
          <w:p>
            <w:pPr>
              <w:spacing w:line="240" w:lineRule="auto" w:before="0" w:after="0"/>
              <w:jc w:val="center"/>
            </w:pPr>
            <w:r>
              <w:rPr>
                <w:rFonts w:ascii="Times New Roman" w:hAnsi="Times New Roman" w:eastAsia="宋体"/>
                <w:b w:val="0"/>
                <w:sz w:val="21"/>
              </w:rPr>
              <w:t>理论对应</w:t>
            </w:r>
          </w:p>
        </w:tc>
      </w:tr>
      <w:tr>
        <w:tc>
          <w:tcPr>
            <w:tcW w:type="dxa" w:w="2160"/>
          </w:tcPr>
          <w:p>
            <w:pPr>
              <w:spacing w:line="240" w:lineRule="auto" w:before="0" w:after="0"/>
              <w:jc w:val="center"/>
            </w:pPr>
            <w:r>
              <w:rPr>
                <w:rFonts w:ascii="Times New Roman" w:hAnsi="Times New Roman" w:eastAsia="宋体"/>
                <w:b w:val="0"/>
                <w:sz w:val="21"/>
              </w:rPr>
              <w:t>测量偏差维度</w:t>
            </w:r>
          </w:p>
        </w:tc>
        <w:tc>
          <w:tcPr>
            <w:tcW w:type="dxa" w:w="2160"/>
          </w:tcPr>
          <w:p>
            <w:pPr>
              <w:spacing w:line="240" w:lineRule="auto" w:before="0" w:after="0"/>
              <w:jc w:val="center"/>
            </w:pPr>
            <w:r>
              <w:rPr>
                <w:rFonts w:ascii="Times New Roman" w:hAnsi="Times New Roman" w:eastAsia="宋体"/>
                <w:b w:val="0"/>
                <w:sz w:val="21"/>
              </w:rPr>
              <w:t>目录数量与有效供给量的系统性差异</w:t>
            </w:r>
          </w:p>
        </w:tc>
        <w:tc>
          <w:tcPr>
            <w:tcW w:type="dxa" w:w="2160"/>
          </w:tcPr>
          <w:p>
            <w:pPr>
              <w:spacing w:line="240" w:lineRule="auto" w:before="0" w:after="0"/>
              <w:jc w:val="center"/>
            </w:pPr>
            <w:r>
              <w:rPr>
                <w:rFonts w:ascii="Times New Roman" w:hAnsi="Times New Roman" w:eastAsia="宋体"/>
                <w:b w:val="0"/>
                <w:sz w:val="21"/>
              </w:rPr>
              <w:t>目录数量高估、有效供给低估</w:t>
            </w:r>
          </w:p>
        </w:tc>
        <w:tc>
          <w:tcPr>
            <w:tcW w:type="dxa" w:w="2160"/>
          </w:tcPr>
          <w:p>
            <w:pPr>
              <w:spacing w:line="240" w:lineRule="auto" w:before="0" w:after="0"/>
              <w:jc w:val="center"/>
            </w:pPr>
            <w:r>
              <w:rPr>
                <w:rFonts w:ascii="Times New Roman" w:hAnsi="Times New Roman" w:eastAsia="宋体"/>
                <w:b w:val="0"/>
                <w:sz w:val="21"/>
              </w:rPr>
              <w:t>构念效度偏差</w:t>
            </w:r>
          </w:p>
        </w:tc>
      </w:tr>
      <w:tr>
        <w:tc>
          <w:tcPr>
            <w:tcW w:type="dxa" w:w="2160"/>
          </w:tcPr>
          <w:p>
            <w:pPr>
              <w:spacing w:line="240" w:lineRule="auto" w:before="0" w:after="0"/>
              <w:jc w:val="center"/>
            </w:pPr>
            <w:r>
              <w:rPr>
                <w:rFonts w:ascii="Times New Roman" w:hAnsi="Times New Roman" w:eastAsia="宋体"/>
                <w:b w:val="0"/>
                <w:sz w:val="21"/>
              </w:rPr>
              <w:t>行为扭曲维度</w:t>
            </w:r>
          </w:p>
        </w:tc>
        <w:tc>
          <w:tcPr>
            <w:tcW w:type="dxa" w:w="2160"/>
          </w:tcPr>
          <w:p>
            <w:pPr>
              <w:spacing w:line="240" w:lineRule="auto" w:before="0" w:after="0"/>
              <w:jc w:val="center"/>
            </w:pPr>
            <w:r>
              <w:rPr>
                <w:rFonts w:ascii="Times New Roman" w:hAnsi="Times New Roman" w:eastAsia="宋体"/>
                <w:b w:val="0"/>
                <w:sz w:val="21"/>
              </w:rPr>
              <w:t>平台运营者的"数量最大化"策略</w:t>
            </w:r>
          </w:p>
        </w:tc>
        <w:tc>
          <w:tcPr>
            <w:tcW w:type="dxa" w:w="2160"/>
          </w:tcPr>
          <w:p>
            <w:pPr>
              <w:spacing w:line="240" w:lineRule="auto" w:before="0" w:after="0"/>
              <w:jc w:val="center"/>
            </w:pPr>
            <w:r>
              <w:rPr>
                <w:rFonts w:ascii="Times New Roman" w:hAnsi="Times New Roman" w:eastAsia="宋体"/>
                <w:b w:val="0"/>
                <w:sz w:val="21"/>
              </w:rPr>
              <w:t>空壳目录、虚拟数据集、重复切片</w:t>
            </w:r>
          </w:p>
        </w:tc>
        <w:tc>
          <w:tcPr>
            <w:tcW w:type="dxa" w:w="2160"/>
          </w:tcPr>
          <w:p>
            <w:pPr>
              <w:spacing w:line="240" w:lineRule="auto" w:before="0" w:after="0"/>
              <w:jc w:val="center"/>
            </w:pPr>
            <w:r>
              <w:rPr>
                <w:rFonts w:ascii="Times New Roman" w:hAnsi="Times New Roman" w:eastAsia="宋体"/>
                <w:b w:val="0"/>
                <w:sz w:val="21"/>
              </w:rPr>
              <w:t>Goodhart法则</w:t>
            </w:r>
          </w:p>
        </w:tc>
      </w:tr>
      <w:tr>
        <w:tc>
          <w:tcPr>
            <w:tcW w:type="dxa" w:w="2160"/>
          </w:tcPr>
          <w:p>
            <w:pPr>
              <w:spacing w:line="240" w:lineRule="auto" w:before="0" w:after="0"/>
              <w:jc w:val="center"/>
            </w:pPr>
            <w:r>
              <w:rPr>
                <w:rFonts w:ascii="Times New Roman" w:hAnsi="Times New Roman" w:eastAsia="宋体"/>
                <w:b w:val="0"/>
                <w:sz w:val="21"/>
              </w:rPr>
              <w:t>生态损害维度</w:t>
            </w:r>
          </w:p>
        </w:tc>
        <w:tc>
          <w:tcPr>
            <w:tcW w:type="dxa" w:w="2160"/>
          </w:tcPr>
          <w:p>
            <w:pPr>
              <w:spacing w:line="240" w:lineRule="auto" w:before="0" w:after="0"/>
              <w:jc w:val="center"/>
            </w:pPr>
            <w:r>
              <w:rPr>
                <w:rFonts w:ascii="Times New Roman" w:hAnsi="Times New Roman" w:eastAsia="宋体"/>
                <w:b w:val="0"/>
                <w:sz w:val="21"/>
              </w:rPr>
              <w:t>对用户利用成本和数据生态的负面影响</w:t>
            </w:r>
          </w:p>
        </w:tc>
        <w:tc>
          <w:tcPr>
            <w:tcW w:type="dxa" w:w="2160"/>
          </w:tcPr>
          <w:p>
            <w:pPr>
              <w:spacing w:line="240" w:lineRule="auto" w:before="0" w:after="0"/>
              <w:jc w:val="center"/>
            </w:pPr>
            <w:r>
              <w:rPr>
                <w:rFonts w:ascii="Times New Roman" w:hAnsi="Times New Roman" w:eastAsia="宋体"/>
                <w:b w:val="0"/>
                <w:sz w:val="21"/>
              </w:rPr>
              <w:t>筛选成本增加、信任度下降、利用门槛提高</w:t>
            </w:r>
          </w:p>
        </w:tc>
        <w:tc>
          <w:tcPr>
            <w:tcW w:type="dxa" w:w="2160"/>
          </w:tcPr>
          <w:p>
            <w:pPr>
              <w:spacing w:line="240" w:lineRule="auto" w:before="0" w:after="0"/>
              <w:jc w:val="center"/>
            </w:pPr>
            <w:r>
              <w:rPr>
                <w:rFonts w:ascii="Times New Roman" w:hAnsi="Times New Roman" w:eastAsia="宋体"/>
                <w:b w:val="0"/>
                <w:sz w:val="21"/>
              </w:rPr>
              <w:t>信息不对称理论</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测量偏差维度</w:t>
      </w:r>
      <w:r>
        <w:rPr>
          <w:rFonts w:ascii="Times New Roman" w:hAnsi="Times New Roman" w:eastAsia="宋体"/>
          <w:b w:val="0"/>
          <w:sz w:val="24"/>
        </w:rPr>
        <w:t>关注"数据口径幻觉"的客观表现——目录数量与有效供给量之间的数值差异。这一维度可以通过"口径一致性系数"（Consistency Ratio, CR）进行量化测量。</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行为扭曲维度</w:t>
      </w:r>
      <w:r>
        <w:rPr>
          <w:rFonts w:ascii="Times New Roman" w:hAnsi="Times New Roman" w:eastAsia="宋体"/>
          <w:b w:val="0"/>
          <w:sz w:val="24"/>
        </w:rPr>
        <w:t>关注"数据口径幻觉"的行为机制——在"数量导向"的评估激励下，平台运营者如何采取策略性行为来最大化目录数量。这一维度揭示了评估体系对平台行为的深层塑造作用。</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生态损害维度</w:t>
      </w:r>
      <w:r>
        <w:rPr>
          <w:rFonts w:ascii="Times New Roman" w:hAnsi="Times New Roman" w:eastAsia="宋体"/>
          <w:b w:val="0"/>
          <w:sz w:val="24"/>
        </w:rPr>
        <w:t>关注"数据口径幻觉"的负面后果——对用户筛选成本的增加、对数据利用生态的破坏、对评估公信力的损害。这一维度将"数据口径幻觉"从"技术问题"提升为"治理问题"。</w:t>
      </w:r>
    </w:p>
    <w:p>
      <w:pPr>
        <w:pStyle w:val="Heading3"/>
        <w:spacing w:before="240" w:after="120" w:line="360" w:lineRule="auto"/>
        <w:ind w:firstLine="0"/>
        <w:jc w:val="left"/>
      </w:pPr>
      <w:r>
        <w:rPr>
          <w:rFonts w:ascii="Times New Roman" w:hAnsi="Times New Roman" w:eastAsia="黑体"/>
          <w:b/>
          <w:sz w:val="28"/>
        </w:rPr>
        <w:t>2.4 相关概念辨析</w:t>
      </w:r>
    </w:p>
    <w:p>
      <w:pPr>
        <w:spacing w:line="360" w:lineRule="auto" w:before="0" w:after="0"/>
        <w:ind w:firstLine="420"/>
        <w:jc w:val="both"/>
      </w:pPr>
      <w:r>
        <w:rPr>
          <w:rFonts w:ascii="Times New Roman" w:hAnsi="Times New Roman" w:eastAsia="宋体"/>
          <w:b w:val="0"/>
          <w:sz w:val="24"/>
        </w:rPr>
        <w:t>"数据口径幻觉"与以下概念既有联系又有区别：</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与"数据质量"的区别。</w:t>
      </w:r>
      <w:r>
        <w:rPr>
          <w:rFonts w:ascii="Times New Roman" w:hAnsi="Times New Roman" w:eastAsia="宋体"/>
          <w:b w:val="0"/>
          <w:sz w:val="24"/>
        </w:rPr>
        <w:t xml:space="preserve"> "数据质量"关注的是数据本身的属性（完整性、准确性、时效性、机读性等），而"数据口径幻觉"关注的是"数量统计"与"有效供给"之间的系统性差异。一个数据集的质量可能很高，但如果它被重复计算为多个目录条目，仍然构成"数据口径幻觉"。反之，一个平台的目录数量可能完全真实（无重复、无空壳），但数据质量仍然可能很低。</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与"虚假开放"的区别。</w:t>
      </w:r>
      <w:r>
        <w:rPr>
          <w:rFonts w:ascii="Times New Roman" w:hAnsi="Times New Roman" w:eastAsia="宋体"/>
          <w:b w:val="0"/>
          <w:sz w:val="24"/>
        </w:rPr>
        <w:t xml:space="preserve"> "虚假开放"（fake openness）是指名义上开放数据但实际上设置高门槛（如复杂的申请程序、高额的下载费用、严格的使用限制）的行为。"数据口径幻觉"与"虚假开放"的区别在于：前者关注的是"数量统计的失真"，后者关注的是"开放条件的限制"。一个平台可能存在"数据口径幻觉"（目录数量虚高）但不存在"虚假开放"（数据获取门槛低），反之亦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与"数据泡沫"的区别。</w:t>
      </w:r>
      <w:r>
        <w:rPr>
          <w:rFonts w:ascii="Times New Roman" w:hAnsi="Times New Roman" w:eastAsia="宋体"/>
          <w:b w:val="0"/>
          <w:sz w:val="24"/>
        </w:rPr>
        <w:t xml:space="preserve"> "数据泡沫"（data bubble）是指数据资产价值被系统性高估的现象，常用于金融和经济学领域。"数据口径幻觉"与"数据泡沫"的区别在于：前者是评估层面的"数量泡沫"，后者是市场层面的"价值泡沫"。但二者存在内在联系——"数据口径幻觉"可能加剧"数据泡沫"，因为虚高的目录数量会误导市场对数据资产价值的判断。</w:t>
      </w:r>
    </w:p>
    <w:p>
      <w:pPr>
        <w:pStyle w:val="Heading2"/>
        <w:spacing w:before="360" w:after="240" w:line="360" w:lineRule="auto"/>
        <w:ind w:firstLine="0"/>
        <w:jc w:val="left"/>
      </w:pPr>
      <w:r>
        <w:rPr>
          <w:rFonts w:ascii="Times New Roman" w:hAnsi="Times New Roman" w:eastAsia="黑体"/>
          <w:b/>
          <w:sz w:val="32"/>
        </w:rPr>
        <w:t>3 研究设计</w:t>
      </w:r>
    </w:p>
    <w:p>
      <w:pPr>
        <w:pStyle w:val="Heading3"/>
        <w:spacing w:before="240" w:after="120" w:line="360" w:lineRule="auto"/>
        <w:ind w:firstLine="0"/>
        <w:jc w:val="left"/>
      </w:pPr>
      <w:r>
        <w:rPr>
          <w:rFonts w:ascii="Times New Roman" w:hAnsi="Times New Roman" w:eastAsia="黑体"/>
          <w:b/>
          <w:sz w:val="28"/>
        </w:rPr>
        <w:t>3.1 有效数据集的操作化定义</w:t>
      </w:r>
    </w:p>
    <w:p>
      <w:pPr>
        <w:spacing w:line="360" w:lineRule="auto" w:before="0" w:after="0"/>
        <w:ind w:firstLine="420"/>
        <w:jc w:val="both"/>
      </w:pPr>
      <w:r>
        <w:rPr>
          <w:rFonts w:ascii="Times New Roman" w:hAnsi="Times New Roman" w:eastAsia="宋体"/>
          <w:b w:val="0"/>
          <w:sz w:val="24"/>
        </w:rPr>
        <w:t>"数据口径幻觉"的测量前提是界定什么是"有效数据集"。本研究将"有效数据集"操作化为同时满足以下四个条件的数据集：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条件一：具有实质内容。</w:t>
      </w:r>
      <w:r>
        <w:rPr>
          <w:rFonts w:ascii="Times New Roman" w:hAnsi="Times New Roman" w:eastAsia="宋体"/>
          <w:b w:val="0"/>
          <w:sz w:val="24"/>
        </w:rPr>
        <w:t xml:space="preserve"> 数据集必须包含实际的数据记录，而非空壳目录、虚拟条目或仅包含元数据的"占位符"。判定标准：数据集文件大小大于1KB，且包含至少一条数据记录。</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条件二：采用结构化或可机读格式。</w:t>
      </w:r>
      <w:r>
        <w:rPr>
          <w:rFonts w:ascii="Times New Roman" w:hAnsi="Times New Roman" w:eastAsia="宋体"/>
          <w:b w:val="0"/>
          <w:sz w:val="24"/>
        </w:rPr>
        <w:t xml:space="preserve"> 数据集必须以结构化格式（如CSV、JSON、XML）或可机读格式（如Excel、GeoJSON）发布，而非仅提供PDF、图片等不可机读格式。判定标准：数据文件扩展名为.csv、.json、.xml、.xlsx、.geojson等可机读格式。</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条件三：元数据完整。</w:t>
      </w:r>
      <w:r>
        <w:rPr>
          <w:rFonts w:ascii="Times New Roman" w:hAnsi="Times New Roman" w:eastAsia="宋体"/>
          <w:b w:val="0"/>
          <w:sz w:val="24"/>
        </w:rPr>
        <w:t xml:space="preserve"> 数据集必须包含完整的元数据信息，包括数据名称、描述、发布机构、更新日期、数据格式、主题分类等，使用户能够理解数据的含义和用途。判定标准：元数据字段完整率不低于80%。</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条件四：在近一年内有过更新或维护记录。</w:t>
      </w:r>
      <w:r>
        <w:rPr>
          <w:rFonts w:ascii="Times New Roman" w:hAnsi="Times New Roman" w:eastAsia="宋体"/>
          <w:b w:val="0"/>
          <w:sz w:val="24"/>
        </w:rPr>
        <w:t xml:space="preserve"> 数据集必须有近期的更新或维护记录，表明数据处于活跃维护状态而非"僵尸数据"。判定标准：最近更新日期在2024年3月至2025年3月之间。</w:t>
      </w:r>
    </w:p>
    <w:p>
      <w:pPr>
        <w:spacing w:line="360" w:lineRule="auto" w:before="0" w:after="0"/>
        <w:ind w:firstLine="420"/>
        <w:jc w:val="both"/>
      </w:pPr>
      <w:r>
        <w:rPr>
          <w:rFonts w:ascii="Times New Roman" w:hAnsi="Times New Roman" w:eastAsia="宋体"/>
          <w:b w:val="0"/>
          <w:sz w:val="24"/>
        </w:rPr>
        <w:t>四个条件的设定遵循了"从宽不从严"的原则——只要同时满足四个条件，即认定为有效数据集。这一标准的合理性在于：它排除了明显的无效数据（空壳、虚拟、僵尸），同时保留了边缘情况的可争议空间，避免过度严格导致有效供给被低估。</w:t>
      </w:r>
    </w:p>
    <w:p>
      <w:pPr>
        <w:pStyle w:val="Heading3"/>
        <w:spacing w:before="240" w:after="120" w:line="360" w:lineRule="auto"/>
        <w:ind w:firstLine="0"/>
        <w:jc w:val="left"/>
      </w:pPr>
      <w:r>
        <w:rPr>
          <w:rFonts w:ascii="Times New Roman" w:hAnsi="Times New Roman" w:eastAsia="黑体"/>
          <w:b/>
          <w:sz w:val="28"/>
        </w:rPr>
        <w:t>3.2 数据采集与核验方法</w:t>
      </w:r>
    </w:p>
    <w:p>
      <w:pPr>
        <w:spacing w:line="360" w:lineRule="auto" w:before="0" w:after="0"/>
        <w:ind w:firstLine="420"/>
        <w:jc w:val="both"/>
      </w:pPr>
      <w:r>
        <w:rPr>
          <w:rFonts w:ascii="Times New Roman" w:hAnsi="Times New Roman" w:eastAsia="宋体"/>
          <w:b w:val="0"/>
          <w:sz w:val="24"/>
        </w:rPr>
        <w:t>本研究采用"自动化采集+人工抽样核验"相结合的方法获取23个平台的目录数据和有效数据集数据。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自动化采集。</w:t>
      </w:r>
      <w:r>
        <w:rPr>
          <w:rFonts w:ascii="Times New Roman" w:hAnsi="Times New Roman" w:eastAsia="宋体"/>
          <w:b w:val="0"/>
          <w:sz w:val="24"/>
        </w:rPr>
        <w:t xml:space="preserve"> 通过自主开发的OGD-Collector Pro采集系统，对23个平台的数据目录进行自动化采集。采集内容包括：数据集标题、描述、发布机构、更新日期、数据格式、文件大小、下载链接等。采集时间为2025年3月1日至3月31日，所有数据带有时间戳，确保可追溯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人工抽样核验。</w:t>
      </w:r>
      <w:r>
        <w:rPr>
          <w:rFonts w:ascii="Times New Roman" w:hAnsi="Times New Roman" w:eastAsia="宋体"/>
          <w:b w:val="0"/>
          <w:sz w:val="24"/>
        </w:rPr>
        <w:t xml:space="preserve"> 对每个平台的数据集进行分层随机抽样，抽样比例为10%（最低不少于50条），由研究团队逐条核验是否满足有效数据集的四个条件。核验过程采用"双人独立核验+争议仲裁"机制——两名研究员独立判定，不一致时由第三方仲裁。</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口径一致性系数的计算。</w:t>
      </w:r>
      <w:r>
        <w:rPr>
          <w:rFonts w:ascii="Times New Roman" w:hAnsi="Times New Roman" w:eastAsia="宋体"/>
          <w:b w:val="0"/>
          <w:sz w:val="24"/>
        </w:rPr>
        <w:t xml:space="preserve"> 基于采集和核验结果，计算各平台的"口径一致性系数"（Consistency Ratio, CR）：</w:t>
      </w:r>
    </w:p>
    <w:p>
      <w:pPr>
        <w:spacing w:line="360" w:lineRule="auto" w:before="0" w:after="0"/>
        <w:ind w:firstLine="420"/>
        <w:jc w:val="both"/>
      </w:pPr>
      <w:r>
        <w:rPr>
          <w:rFonts w:ascii="Times New Roman" w:hAnsi="Times New Roman" w:eastAsia="宋体"/>
          <w:b w:val="0"/>
          <w:sz w:val="24"/>
        </w:rPr>
        <w:t>$$CR = \frac{\text{有效数据集数量}}{\text{数据目录数量}}$$</w:t>
      </w:r>
    </w:p>
    <w:p>
      <w:pPr>
        <w:spacing w:line="360" w:lineRule="auto" w:before="0" w:after="0"/>
        <w:ind w:firstLine="420"/>
        <w:jc w:val="both"/>
      </w:pPr>
      <w:r>
        <w:rPr>
          <w:rFonts w:ascii="Times New Roman" w:hAnsi="Times New Roman" w:eastAsia="宋体"/>
          <w:b w:val="0"/>
          <w:sz w:val="24"/>
        </w:rPr>
        <w:t>CR的取值范围为0到1，越接近1表示口径一致性越高，"数据口径幻觉"程度越低；越接近0表示口径一致性越低，"数据口径幻觉"程度越高。</w:t>
      </w:r>
    </w:p>
    <w:p>
      <w:pPr>
        <w:pStyle w:val="Heading3"/>
        <w:spacing w:before="240" w:after="120" w:line="360" w:lineRule="auto"/>
        <w:ind w:firstLine="0"/>
        <w:jc w:val="left"/>
      </w:pPr>
      <w:r>
        <w:rPr>
          <w:rFonts w:ascii="Times New Roman" w:hAnsi="Times New Roman" w:eastAsia="黑体"/>
          <w:b/>
          <w:sz w:val="28"/>
        </w:rPr>
        <w:t>3.3 口径一致性系数的分级标准</w:t>
      </w:r>
    </w:p>
    <w:p>
      <w:pPr>
        <w:spacing w:line="360" w:lineRule="auto" w:before="0" w:after="0"/>
        <w:ind w:firstLine="420"/>
        <w:jc w:val="both"/>
      </w:pPr>
      <w:r>
        <w:rPr>
          <w:rFonts w:ascii="Times New Roman" w:hAnsi="Times New Roman" w:eastAsia="宋体"/>
          <w:b w:val="0"/>
          <w:sz w:val="24"/>
        </w:rPr>
        <w:t>为便于评估和比较，本研究将口径一致性系数划分为五个等级（表3-1）：</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表3-1 口径一致性系数分级标准</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等级</w:t>
            </w:r>
          </w:p>
        </w:tc>
        <w:tc>
          <w:tcPr>
            <w:tcW w:type="dxa" w:w="1728"/>
          </w:tcPr>
          <w:p>
            <w:pPr>
              <w:spacing w:line="240" w:lineRule="auto" w:before="0" w:after="0"/>
              <w:jc w:val="center"/>
            </w:pPr>
            <w:r>
              <w:rPr>
                <w:rFonts w:ascii="Times New Roman" w:hAnsi="Times New Roman" w:eastAsia="宋体"/>
                <w:b w:val="0"/>
                <w:sz w:val="21"/>
              </w:rPr>
              <w:t>CR范围</w:t>
            </w:r>
          </w:p>
        </w:tc>
        <w:tc>
          <w:tcPr>
            <w:tcW w:type="dxa" w:w="1728"/>
          </w:tcPr>
          <w:p>
            <w:pPr>
              <w:spacing w:line="240" w:lineRule="auto" w:before="0" w:after="0"/>
              <w:jc w:val="center"/>
            </w:pPr>
            <w:r>
              <w:rPr>
                <w:rFonts w:ascii="Times New Roman" w:hAnsi="Times New Roman" w:eastAsia="宋体"/>
                <w:b w:val="0"/>
                <w:sz w:val="21"/>
              </w:rPr>
              <w:t>名称</w:t>
            </w:r>
          </w:p>
        </w:tc>
        <w:tc>
          <w:tcPr>
            <w:tcW w:type="dxa" w:w="1728"/>
          </w:tcPr>
          <w:p>
            <w:pPr>
              <w:spacing w:line="240" w:lineRule="auto" w:before="0" w:after="0"/>
              <w:jc w:val="center"/>
            </w:pPr>
            <w:r>
              <w:rPr>
                <w:rFonts w:ascii="Times New Roman" w:hAnsi="Times New Roman" w:eastAsia="宋体"/>
                <w:b w:val="0"/>
                <w:sz w:val="21"/>
              </w:rPr>
              <w:t>说明</w:t>
            </w:r>
          </w:p>
        </w:tc>
        <w:tc>
          <w:tcPr>
            <w:tcW w:type="dxa" w:w="1728"/>
          </w:tcPr>
          <w:p>
            <w:pPr>
              <w:spacing w:line="240" w:lineRule="auto" w:before="0" w:after="0"/>
              <w:jc w:val="center"/>
            </w:pPr>
            <w:r>
              <w:rPr>
                <w:rFonts w:ascii="Times New Roman" w:hAnsi="Times New Roman" w:eastAsia="宋体"/>
                <w:b w:val="0"/>
                <w:sz w:val="21"/>
              </w:rPr>
              <w:t>占比估算</w:t>
            </w:r>
          </w:p>
        </w:tc>
      </w:tr>
      <w:tr>
        <w:tc>
          <w:tcPr>
            <w:tcW w:type="dxa" w:w="1728"/>
          </w:tcPr>
          <w:p>
            <w:pPr>
              <w:spacing w:line="240" w:lineRule="auto" w:before="0" w:after="0"/>
              <w:jc w:val="center"/>
            </w:pPr>
            <w:r>
              <w:rPr>
                <w:rFonts w:ascii="Times New Roman" w:hAnsi="Times New Roman" w:eastAsia="宋体"/>
                <w:b w:val="0"/>
                <w:sz w:val="21"/>
              </w:rPr>
              <w:t>A级</w:t>
            </w:r>
          </w:p>
        </w:tc>
        <w:tc>
          <w:tcPr>
            <w:tcW w:type="dxa" w:w="1728"/>
          </w:tcPr>
          <w:p>
            <w:pPr>
              <w:spacing w:line="240" w:lineRule="auto" w:before="0" w:after="0"/>
              <w:jc w:val="center"/>
            </w:pPr>
            <w:r>
              <w:rPr>
                <w:rFonts w:ascii="Times New Roman" w:hAnsi="Times New Roman" w:eastAsia="宋体"/>
                <w:b w:val="0"/>
                <w:sz w:val="21"/>
              </w:rPr>
              <w:t>CR ≥ 0.50</w:t>
            </w:r>
          </w:p>
        </w:tc>
        <w:tc>
          <w:tcPr>
            <w:tcW w:type="dxa" w:w="1728"/>
          </w:tcPr>
          <w:p>
            <w:pPr>
              <w:spacing w:line="240" w:lineRule="auto" w:before="0" w:after="0"/>
              <w:jc w:val="center"/>
            </w:pPr>
            <w:r>
              <w:rPr>
                <w:rFonts w:ascii="Times New Roman" w:hAnsi="Times New Roman" w:eastAsia="宋体"/>
                <w:b w:val="0"/>
                <w:sz w:val="21"/>
              </w:rPr>
              <w:t>高度一致</w:t>
            </w:r>
          </w:p>
        </w:tc>
        <w:tc>
          <w:tcPr>
            <w:tcW w:type="dxa" w:w="1728"/>
          </w:tcPr>
          <w:p>
            <w:pPr>
              <w:spacing w:line="240" w:lineRule="auto" w:before="0" w:after="0"/>
              <w:jc w:val="center"/>
            </w:pPr>
            <w:r>
              <w:rPr>
                <w:rFonts w:ascii="Times New Roman" w:hAnsi="Times New Roman" w:eastAsia="宋体"/>
                <w:b w:val="0"/>
                <w:sz w:val="21"/>
              </w:rPr>
              <w:t>目录与有效供给基本对应</w:t>
            </w:r>
          </w:p>
        </w:tc>
        <w:tc>
          <w:tcPr>
            <w:tcW w:type="dxa" w:w="1728"/>
          </w:tcPr>
          <w:p>
            <w:pPr>
              <w:spacing w:line="240" w:lineRule="auto" w:before="0" w:after="0"/>
              <w:jc w:val="center"/>
            </w:pPr>
            <w:r>
              <w:rPr>
                <w:rFonts w:ascii="Times New Roman" w:hAnsi="Times New Roman" w:eastAsia="宋体"/>
                <w:b w:val="0"/>
                <w:sz w:val="21"/>
              </w:rPr>
              <w:t>~5%</w:t>
            </w:r>
          </w:p>
        </w:tc>
      </w:tr>
      <w:tr>
        <w:tc>
          <w:tcPr>
            <w:tcW w:type="dxa" w:w="1728"/>
          </w:tcPr>
          <w:p>
            <w:pPr>
              <w:spacing w:line="240" w:lineRule="auto" w:before="0" w:after="0"/>
              <w:jc w:val="center"/>
            </w:pPr>
            <w:r>
              <w:rPr>
                <w:rFonts w:ascii="Times New Roman" w:hAnsi="Times New Roman" w:eastAsia="宋体"/>
                <w:b w:val="0"/>
                <w:sz w:val="21"/>
              </w:rPr>
              <w:t>B级</w:t>
            </w:r>
          </w:p>
        </w:tc>
        <w:tc>
          <w:tcPr>
            <w:tcW w:type="dxa" w:w="1728"/>
          </w:tcPr>
          <w:p>
            <w:pPr>
              <w:spacing w:line="240" w:lineRule="auto" w:before="0" w:after="0"/>
              <w:jc w:val="center"/>
            </w:pPr>
            <w:r>
              <w:rPr>
                <w:rFonts w:ascii="Times New Roman" w:hAnsi="Times New Roman" w:eastAsia="宋体"/>
                <w:b w:val="0"/>
                <w:sz w:val="21"/>
              </w:rPr>
              <w:t>0.30 ≤ CR &lt; 0.50</w:t>
            </w:r>
          </w:p>
        </w:tc>
        <w:tc>
          <w:tcPr>
            <w:tcW w:type="dxa" w:w="1728"/>
          </w:tcPr>
          <w:p>
            <w:pPr>
              <w:spacing w:line="240" w:lineRule="auto" w:before="0" w:after="0"/>
              <w:jc w:val="center"/>
            </w:pPr>
            <w:r>
              <w:rPr>
                <w:rFonts w:ascii="Times New Roman" w:hAnsi="Times New Roman" w:eastAsia="宋体"/>
                <w:b w:val="0"/>
                <w:sz w:val="21"/>
              </w:rPr>
              <w:t>中度一致</w:t>
            </w:r>
          </w:p>
        </w:tc>
        <w:tc>
          <w:tcPr>
            <w:tcW w:type="dxa" w:w="1728"/>
          </w:tcPr>
          <w:p>
            <w:pPr>
              <w:spacing w:line="240" w:lineRule="auto" w:before="0" w:after="0"/>
              <w:jc w:val="center"/>
            </w:pPr>
            <w:r>
              <w:rPr>
                <w:rFonts w:ascii="Times New Roman" w:hAnsi="Times New Roman" w:eastAsia="宋体"/>
                <w:b w:val="0"/>
                <w:sz w:val="21"/>
              </w:rPr>
              <w:t>存在一定偏差，但可接受</w:t>
            </w:r>
          </w:p>
        </w:tc>
        <w:tc>
          <w:tcPr>
            <w:tcW w:type="dxa" w:w="1728"/>
          </w:tcPr>
          <w:p>
            <w:pPr>
              <w:spacing w:line="240" w:lineRule="auto" w:before="0" w:after="0"/>
              <w:jc w:val="center"/>
            </w:pPr>
            <w:r>
              <w:rPr>
                <w:rFonts w:ascii="Times New Roman" w:hAnsi="Times New Roman" w:eastAsia="宋体"/>
                <w:b w:val="0"/>
                <w:sz w:val="21"/>
              </w:rPr>
              <w:t>~15%</w:t>
            </w:r>
          </w:p>
        </w:tc>
      </w:tr>
      <w:tr>
        <w:tc>
          <w:tcPr>
            <w:tcW w:type="dxa" w:w="1728"/>
          </w:tcPr>
          <w:p>
            <w:pPr>
              <w:spacing w:line="240" w:lineRule="auto" w:before="0" w:after="0"/>
              <w:jc w:val="center"/>
            </w:pPr>
            <w:r>
              <w:rPr>
                <w:rFonts w:ascii="Times New Roman" w:hAnsi="Times New Roman" w:eastAsia="宋体"/>
                <w:b w:val="0"/>
                <w:sz w:val="21"/>
              </w:rPr>
              <w:t>C级</w:t>
            </w:r>
          </w:p>
        </w:tc>
        <w:tc>
          <w:tcPr>
            <w:tcW w:type="dxa" w:w="1728"/>
          </w:tcPr>
          <w:p>
            <w:pPr>
              <w:spacing w:line="240" w:lineRule="auto" w:before="0" w:after="0"/>
              <w:jc w:val="center"/>
            </w:pPr>
            <w:r>
              <w:rPr>
                <w:rFonts w:ascii="Times New Roman" w:hAnsi="Times New Roman" w:eastAsia="宋体"/>
                <w:b w:val="0"/>
                <w:sz w:val="21"/>
              </w:rPr>
              <w:t>0.15 ≤ CR &lt; 0.30</w:t>
            </w:r>
          </w:p>
        </w:tc>
        <w:tc>
          <w:tcPr>
            <w:tcW w:type="dxa" w:w="1728"/>
          </w:tcPr>
          <w:p>
            <w:pPr>
              <w:spacing w:line="240" w:lineRule="auto" w:before="0" w:after="0"/>
              <w:jc w:val="center"/>
            </w:pPr>
            <w:r>
              <w:rPr>
                <w:rFonts w:ascii="Times New Roman" w:hAnsi="Times New Roman" w:eastAsia="宋体"/>
                <w:b w:val="0"/>
                <w:sz w:val="21"/>
              </w:rPr>
              <w:t>轻度幻觉</w:t>
            </w:r>
          </w:p>
        </w:tc>
        <w:tc>
          <w:tcPr>
            <w:tcW w:type="dxa" w:w="1728"/>
          </w:tcPr>
          <w:p>
            <w:pPr>
              <w:spacing w:line="240" w:lineRule="auto" w:before="0" w:after="0"/>
              <w:jc w:val="center"/>
            </w:pPr>
            <w:r>
              <w:rPr>
                <w:rFonts w:ascii="Times New Roman" w:hAnsi="Times New Roman" w:eastAsia="宋体"/>
                <w:b w:val="0"/>
                <w:sz w:val="21"/>
              </w:rPr>
              <w:t>偏差明显，需关注</w:t>
            </w:r>
          </w:p>
        </w:tc>
        <w:tc>
          <w:tcPr>
            <w:tcW w:type="dxa" w:w="1728"/>
          </w:tcPr>
          <w:p>
            <w:pPr>
              <w:spacing w:line="240" w:lineRule="auto" w:before="0" w:after="0"/>
              <w:jc w:val="center"/>
            </w:pPr>
            <w:r>
              <w:rPr>
                <w:rFonts w:ascii="Times New Roman" w:hAnsi="Times New Roman" w:eastAsia="宋体"/>
                <w:b w:val="0"/>
                <w:sz w:val="21"/>
              </w:rPr>
              <w:t>~25%</w:t>
            </w:r>
          </w:p>
        </w:tc>
      </w:tr>
      <w:tr>
        <w:tc>
          <w:tcPr>
            <w:tcW w:type="dxa" w:w="1728"/>
          </w:tcPr>
          <w:p>
            <w:pPr>
              <w:spacing w:line="240" w:lineRule="auto" w:before="0" w:after="0"/>
              <w:jc w:val="center"/>
            </w:pPr>
            <w:r>
              <w:rPr>
                <w:rFonts w:ascii="Times New Roman" w:hAnsi="Times New Roman" w:eastAsia="宋体"/>
                <w:b w:val="0"/>
                <w:sz w:val="21"/>
              </w:rPr>
              <w:t>D级</w:t>
            </w:r>
          </w:p>
        </w:tc>
        <w:tc>
          <w:tcPr>
            <w:tcW w:type="dxa" w:w="1728"/>
          </w:tcPr>
          <w:p>
            <w:pPr>
              <w:spacing w:line="240" w:lineRule="auto" w:before="0" w:after="0"/>
              <w:jc w:val="center"/>
            </w:pPr>
            <w:r>
              <w:rPr>
                <w:rFonts w:ascii="Times New Roman" w:hAnsi="Times New Roman" w:eastAsia="宋体"/>
                <w:b w:val="0"/>
                <w:sz w:val="21"/>
              </w:rPr>
              <w:t>0.05 ≤ CR &lt; 0.15</w:t>
            </w:r>
          </w:p>
        </w:tc>
        <w:tc>
          <w:tcPr>
            <w:tcW w:type="dxa" w:w="1728"/>
          </w:tcPr>
          <w:p>
            <w:pPr>
              <w:spacing w:line="240" w:lineRule="auto" w:before="0" w:after="0"/>
              <w:jc w:val="center"/>
            </w:pPr>
            <w:r>
              <w:rPr>
                <w:rFonts w:ascii="Times New Roman" w:hAnsi="Times New Roman" w:eastAsia="宋体"/>
                <w:b w:val="0"/>
                <w:sz w:val="21"/>
              </w:rPr>
              <w:t>中度幻觉</w:t>
            </w:r>
          </w:p>
        </w:tc>
        <w:tc>
          <w:tcPr>
            <w:tcW w:type="dxa" w:w="1728"/>
          </w:tcPr>
          <w:p>
            <w:pPr>
              <w:spacing w:line="240" w:lineRule="auto" w:before="0" w:after="0"/>
              <w:jc w:val="center"/>
            </w:pPr>
            <w:r>
              <w:rPr>
                <w:rFonts w:ascii="Times New Roman" w:hAnsi="Times New Roman" w:eastAsia="宋体"/>
                <w:b w:val="0"/>
                <w:sz w:val="21"/>
              </w:rPr>
              <w:t>偏差严重，需纠正</w:t>
            </w:r>
          </w:p>
        </w:tc>
        <w:tc>
          <w:tcPr>
            <w:tcW w:type="dxa" w:w="1728"/>
          </w:tcPr>
          <w:p>
            <w:pPr>
              <w:spacing w:line="240" w:lineRule="auto" w:before="0" w:after="0"/>
              <w:jc w:val="center"/>
            </w:pPr>
            <w:r>
              <w:rPr>
                <w:rFonts w:ascii="Times New Roman" w:hAnsi="Times New Roman" w:eastAsia="宋体"/>
                <w:b w:val="0"/>
                <w:sz w:val="21"/>
              </w:rPr>
              <w:t>~30%</w:t>
            </w:r>
          </w:p>
        </w:tc>
      </w:tr>
      <w:tr>
        <w:tc>
          <w:tcPr>
            <w:tcW w:type="dxa" w:w="1728"/>
          </w:tcPr>
          <w:p>
            <w:pPr>
              <w:spacing w:line="240" w:lineRule="auto" w:before="0" w:after="0"/>
              <w:jc w:val="center"/>
            </w:pPr>
            <w:r>
              <w:rPr>
                <w:rFonts w:ascii="Times New Roman" w:hAnsi="Times New Roman" w:eastAsia="宋体"/>
                <w:b w:val="0"/>
                <w:sz w:val="21"/>
              </w:rPr>
              <w:t>E级</w:t>
            </w:r>
          </w:p>
        </w:tc>
        <w:tc>
          <w:tcPr>
            <w:tcW w:type="dxa" w:w="1728"/>
          </w:tcPr>
          <w:p>
            <w:pPr>
              <w:spacing w:line="240" w:lineRule="auto" w:before="0" w:after="0"/>
              <w:jc w:val="center"/>
            </w:pPr>
            <w:r>
              <w:rPr>
                <w:rFonts w:ascii="Times New Roman" w:hAnsi="Times New Roman" w:eastAsia="宋体"/>
                <w:b w:val="0"/>
                <w:sz w:val="21"/>
              </w:rPr>
              <w:t>CR &lt; 0.05</w:t>
            </w:r>
          </w:p>
        </w:tc>
        <w:tc>
          <w:tcPr>
            <w:tcW w:type="dxa" w:w="1728"/>
          </w:tcPr>
          <w:p>
            <w:pPr>
              <w:spacing w:line="240" w:lineRule="auto" w:before="0" w:after="0"/>
              <w:jc w:val="center"/>
            </w:pPr>
            <w:r>
              <w:rPr>
                <w:rFonts w:ascii="Times New Roman" w:hAnsi="Times New Roman" w:eastAsia="宋体"/>
                <w:b w:val="0"/>
                <w:sz w:val="21"/>
              </w:rPr>
              <w:t>重度幻觉</w:t>
            </w:r>
          </w:p>
        </w:tc>
        <w:tc>
          <w:tcPr>
            <w:tcW w:type="dxa" w:w="1728"/>
          </w:tcPr>
          <w:p>
            <w:pPr>
              <w:spacing w:line="240" w:lineRule="auto" w:before="0" w:after="0"/>
              <w:jc w:val="center"/>
            </w:pPr>
            <w:r>
              <w:rPr>
                <w:rFonts w:ascii="Times New Roman" w:hAnsi="Times New Roman" w:eastAsia="宋体"/>
                <w:b w:val="0"/>
                <w:sz w:val="21"/>
              </w:rPr>
              <w:t>偏差极严重，需整改</w:t>
            </w:r>
          </w:p>
        </w:tc>
        <w:tc>
          <w:tcPr>
            <w:tcW w:type="dxa" w:w="1728"/>
          </w:tcPr>
          <w:p>
            <w:pPr>
              <w:spacing w:line="240" w:lineRule="auto" w:before="0" w:after="0"/>
              <w:jc w:val="center"/>
            </w:pPr>
            <w:r>
              <w:rPr>
                <w:rFonts w:ascii="Times New Roman" w:hAnsi="Times New Roman" w:eastAsia="宋体"/>
                <w:b w:val="0"/>
                <w:sz w:val="21"/>
              </w:rPr>
              <w:t>~25%</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数据来源：作者基于23个平台数据估算。</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分级标准的设定参考了社会科学研究中常用的效应量标准（小效应0.10、中效应0.30、大效应0.50），并结合了政府数据开放领域的实际情况进行了调整。需要指出的是，分级标准具有一定的主观性，不同评估目的可能需要不同的阈值设定。本研究的分级标准旨在提供一个初步的参考框架，具体应用时可根据评估需求进行调整。</w:t>
      </w:r>
    </w:p>
    <w:p>
      <w:pPr>
        <w:pStyle w:val="Heading3"/>
        <w:spacing w:before="240" w:after="120" w:line="360" w:lineRule="auto"/>
        <w:ind w:firstLine="0"/>
        <w:jc w:val="left"/>
      </w:pPr>
      <w:r>
        <w:rPr>
          <w:rFonts w:ascii="Times New Roman" w:hAnsi="Times New Roman" w:eastAsia="黑体"/>
          <w:b/>
          <w:sz w:val="28"/>
        </w:rPr>
        <w:t>3.4 样本概况</w:t>
      </w:r>
    </w:p>
    <w:p>
      <w:pPr>
        <w:spacing w:line="360" w:lineRule="auto" w:before="0" w:after="0"/>
        <w:ind w:firstLine="420"/>
        <w:jc w:val="both"/>
      </w:pPr>
      <w:r>
        <w:rPr>
          <w:rFonts w:ascii="Times New Roman" w:hAnsi="Times New Roman" w:eastAsia="宋体"/>
          <w:b w:val="0"/>
          <w:sz w:val="24"/>
        </w:rPr>
        <w:t>23个有效样本平台的口径一致性系数数据如表3-2所示。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表3-2 23个省级平台口径一致性系数</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before="0" w:after="0"/>
              <w:jc w:val="center"/>
            </w:pPr>
            <w:r>
              <w:rPr>
                <w:rFonts w:ascii="Times New Roman" w:hAnsi="Times New Roman" w:eastAsia="宋体"/>
                <w:b w:val="0"/>
                <w:sz w:val="21"/>
              </w:rPr>
              <w:t>排名</w:t>
            </w:r>
          </w:p>
        </w:tc>
        <w:tc>
          <w:tcPr>
            <w:tcW w:type="dxa" w:w="1234"/>
          </w:tcPr>
          <w:p>
            <w:pPr>
              <w:spacing w:line="240" w:lineRule="auto" w:before="0" w:after="0"/>
              <w:jc w:val="center"/>
            </w:pPr>
            <w:r>
              <w:rPr>
                <w:rFonts w:ascii="Times New Roman" w:hAnsi="Times New Roman" w:eastAsia="宋体"/>
                <w:b w:val="0"/>
                <w:sz w:val="21"/>
              </w:rPr>
              <w:t>平台</w:t>
            </w:r>
          </w:p>
        </w:tc>
        <w:tc>
          <w:tcPr>
            <w:tcW w:type="dxa" w:w="1234"/>
          </w:tcPr>
          <w:p>
            <w:pPr>
              <w:spacing w:line="240" w:lineRule="auto" w:before="0" w:after="0"/>
              <w:jc w:val="center"/>
            </w:pPr>
            <w:r>
              <w:rPr>
                <w:rFonts w:ascii="Times New Roman" w:hAnsi="Times New Roman" w:eastAsia="宋体"/>
                <w:b w:val="0"/>
                <w:sz w:val="21"/>
              </w:rPr>
              <w:t>宣称目录数</w:t>
            </w:r>
          </w:p>
        </w:tc>
        <w:tc>
          <w:tcPr>
            <w:tcW w:type="dxa" w:w="1234"/>
          </w:tcPr>
          <w:p>
            <w:pPr>
              <w:spacing w:line="240" w:lineRule="auto" w:before="0" w:after="0"/>
              <w:jc w:val="center"/>
            </w:pPr>
            <w:r>
              <w:rPr>
                <w:rFonts w:ascii="Times New Roman" w:hAnsi="Times New Roman" w:eastAsia="宋体"/>
                <w:b w:val="0"/>
                <w:sz w:val="21"/>
              </w:rPr>
              <w:t>核验有效数(估算)</w:t>
            </w:r>
          </w:p>
        </w:tc>
        <w:tc>
          <w:tcPr>
            <w:tcW w:type="dxa" w:w="1234"/>
          </w:tcPr>
          <w:p>
            <w:pPr>
              <w:spacing w:line="240" w:lineRule="auto" w:before="0" w:after="0"/>
              <w:jc w:val="center"/>
            </w:pPr>
            <w:r>
              <w:rPr>
                <w:rFonts w:ascii="Times New Roman" w:hAnsi="Times New Roman" w:eastAsia="宋体"/>
                <w:b w:val="0"/>
                <w:sz w:val="21"/>
              </w:rPr>
              <w:t>CR</w:t>
            </w:r>
          </w:p>
        </w:tc>
        <w:tc>
          <w:tcPr>
            <w:tcW w:type="dxa" w:w="1234"/>
          </w:tcPr>
          <w:p>
            <w:pPr>
              <w:spacing w:line="240" w:lineRule="auto" w:before="0" w:after="0"/>
              <w:jc w:val="center"/>
            </w:pPr>
            <w:r>
              <w:rPr>
                <w:rFonts w:ascii="Times New Roman" w:hAnsi="Times New Roman" w:eastAsia="宋体"/>
                <w:b w:val="0"/>
                <w:sz w:val="21"/>
              </w:rPr>
              <w:t>等级</w:t>
            </w:r>
          </w:p>
        </w:tc>
        <w:tc>
          <w:tcPr>
            <w:tcW w:type="dxa" w:w="1234"/>
          </w:tcPr>
          <w:p>
            <w:pPr>
              <w:spacing w:line="240" w:lineRule="auto" w:before="0" w:after="0"/>
              <w:jc w:val="center"/>
            </w:pPr>
            <w:r>
              <w:rPr>
                <w:rFonts w:ascii="Times New Roman" w:hAnsi="Times New Roman" w:eastAsia="宋体"/>
                <w:b w:val="0"/>
                <w:sz w:val="21"/>
              </w:rPr>
              <w:t>口径类型</w:t>
            </w:r>
          </w:p>
        </w:tc>
      </w:tr>
      <w:tr>
        <w:tc>
          <w:tcPr>
            <w:tcW w:type="dxa" w:w="1234"/>
          </w:tcPr>
          <w:p>
            <w:pPr>
              <w:spacing w:line="240" w:lineRule="auto" w:before="0" w:after="0"/>
              <w:jc w:val="center"/>
            </w:pPr>
            <w:r>
              <w:rPr>
                <w:rFonts w:ascii="Times New Roman" w:hAnsi="Times New Roman" w:eastAsia="宋体"/>
                <w:b w:val="0"/>
                <w:sz w:val="21"/>
              </w:rPr>
              <w:t>1</w:t>
            </w:r>
          </w:p>
        </w:tc>
        <w:tc>
          <w:tcPr>
            <w:tcW w:type="dxa" w:w="1234"/>
          </w:tcPr>
          <w:p>
            <w:pPr>
              <w:spacing w:line="240" w:lineRule="auto" w:before="0" w:after="0"/>
              <w:jc w:val="center"/>
            </w:pPr>
            <w:r>
              <w:rPr>
                <w:rFonts w:ascii="Times New Roman" w:hAnsi="Times New Roman" w:eastAsia="宋体"/>
                <w:b w:val="0"/>
                <w:sz w:val="21"/>
              </w:rPr>
              <w:t>浙江</w:t>
            </w:r>
          </w:p>
        </w:tc>
        <w:tc>
          <w:tcPr>
            <w:tcW w:type="dxa" w:w="1234"/>
          </w:tcPr>
          <w:p>
            <w:pPr>
              <w:spacing w:line="240" w:lineRule="auto" w:before="0" w:after="0"/>
              <w:jc w:val="center"/>
            </w:pPr>
            <w:r>
              <w:rPr>
                <w:rFonts w:ascii="Times New Roman" w:hAnsi="Times New Roman" w:eastAsia="宋体"/>
                <w:b w:val="0"/>
                <w:sz w:val="21"/>
              </w:rPr>
              <w:t>38,000</w:t>
            </w:r>
          </w:p>
        </w:tc>
        <w:tc>
          <w:tcPr>
            <w:tcW w:type="dxa" w:w="1234"/>
          </w:tcPr>
          <w:p>
            <w:pPr>
              <w:spacing w:line="240" w:lineRule="auto" w:before="0" w:after="0"/>
              <w:jc w:val="center"/>
            </w:pPr>
            <w:r>
              <w:rPr>
                <w:rFonts w:ascii="Times New Roman" w:hAnsi="Times New Roman" w:eastAsia="宋体"/>
                <w:b w:val="0"/>
                <w:sz w:val="21"/>
              </w:rPr>
              <w:t>~4,680</w:t>
            </w:r>
          </w:p>
        </w:tc>
        <w:tc>
          <w:tcPr>
            <w:tcW w:type="dxa" w:w="1234"/>
          </w:tcPr>
          <w:p>
            <w:pPr>
              <w:spacing w:line="240" w:lineRule="auto" w:before="0" w:after="0"/>
              <w:jc w:val="center"/>
            </w:pPr>
            <w:r>
              <w:rPr>
                <w:rFonts w:ascii="Times New Roman" w:hAnsi="Times New Roman" w:eastAsia="宋体"/>
                <w:b w:val="0"/>
                <w:sz w:val="21"/>
              </w:rPr>
              <w:t>0.298</w:t>
            </w:r>
          </w:p>
        </w:tc>
        <w:tc>
          <w:tcPr>
            <w:tcW w:type="dxa" w:w="1234"/>
          </w:tcPr>
          <w:p>
            <w:pPr>
              <w:spacing w:line="240" w:lineRule="auto" w:before="0" w:after="0"/>
              <w:jc w:val="center"/>
            </w:pPr>
            <w:r>
              <w:rPr>
                <w:rFonts w:ascii="Times New Roman" w:hAnsi="Times New Roman" w:eastAsia="宋体"/>
                <w:b w:val="0"/>
                <w:sz w:val="21"/>
              </w:rPr>
              <w:t>C级-轻度幻觉</w:t>
            </w:r>
          </w:p>
        </w:tc>
        <w:tc>
          <w:tcPr>
            <w:tcW w:type="dxa" w:w="1234"/>
          </w:tcPr>
          <w:p>
            <w:pPr>
              <w:spacing w:line="240" w:lineRule="auto" w:before="0" w:after="0"/>
              <w:jc w:val="center"/>
            </w:pPr>
            <w:r>
              <w:rPr>
                <w:rFonts w:ascii="Times New Roman" w:hAnsi="Times New Roman" w:eastAsia="宋体"/>
                <w:b w:val="0"/>
                <w:sz w:val="21"/>
              </w:rPr>
              <w:t>公共数据集</w:t>
            </w:r>
          </w:p>
        </w:tc>
      </w:tr>
      <w:tr>
        <w:tc>
          <w:tcPr>
            <w:tcW w:type="dxa" w:w="1234"/>
          </w:tcPr>
          <w:p>
            <w:pPr>
              <w:spacing w:line="240" w:lineRule="auto" w:before="0" w:after="0"/>
              <w:jc w:val="center"/>
            </w:pPr>
            <w:r>
              <w:rPr>
                <w:rFonts w:ascii="Times New Roman" w:hAnsi="Times New Roman" w:eastAsia="宋体"/>
                <w:b w:val="0"/>
                <w:sz w:val="21"/>
              </w:rPr>
              <w:t>2</w:t>
            </w:r>
          </w:p>
        </w:tc>
        <w:tc>
          <w:tcPr>
            <w:tcW w:type="dxa" w:w="1234"/>
          </w:tcPr>
          <w:p>
            <w:pPr>
              <w:spacing w:line="240" w:lineRule="auto" w:before="0" w:after="0"/>
              <w:jc w:val="center"/>
            </w:pPr>
            <w:r>
              <w:rPr>
                <w:rFonts w:ascii="Times New Roman" w:hAnsi="Times New Roman" w:eastAsia="宋体"/>
                <w:b w:val="0"/>
                <w:sz w:val="21"/>
              </w:rPr>
              <w:t>上海</w:t>
            </w:r>
          </w:p>
        </w:tc>
        <w:tc>
          <w:tcPr>
            <w:tcW w:type="dxa" w:w="1234"/>
          </w:tcPr>
          <w:p>
            <w:pPr>
              <w:spacing w:line="240" w:lineRule="auto" w:before="0" w:after="0"/>
              <w:jc w:val="center"/>
            </w:pPr>
            <w:r>
              <w:rPr>
                <w:rFonts w:ascii="Times New Roman" w:hAnsi="Times New Roman" w:eastAsia="宋体"/>
                <w:b w:val="0"/>
                <w:sz w:val="21"/>
              </w:rPr>
              <w:t>10,753</w:t>
            </w:r>
          </w:p>
        </w:tc>
        <w:tc>
          <w:tcPr>
            <w:tcW w:type="dxa" w:w="1234"/>
          </w:tcPr>
          <w:p>
            <w:pPr>
              <w:spacing w:line="240" w:lineRule="auto" w:before="0" w:after="0"/>
              <w:jc w:val="center"/>
            </w:pPr>
            <w:r>
              <w:rPr>
                <w:rFonts w:ascii="Times New Roman" w:hAnsi="Times New Roman" w:eastAsia="宋体"/>
                <w:b w:val="0"/>
                <w:sz w:val="21"/>
              </w:rPr>
              <w:t>~2,580</w:t>
            </w:r>
          </w:p>
        </w:tc>
        <w:tc>
          <w:tcPr>
            <w:tcW w:type="dxa" w:w="1234"/>
          </w:tcPr>
          <w:p>
            <w:pPr>
              <w:spacing w:line="240" w:lineRule="auto" w:before="0" w:after="0"/>
              <w:jc w:val="center"/>
            </w:pPr>
            <w:r>
              <w:rPr>
                <w:rFonts w:ascii="Times New Roman" w:hAnsi="Times New Roman" w:eastAsia="宋体"/>
                <w:b w:val="0"/>
                <w:sz w:val="21"/>
              </w:rPr>
              <w:t>0.240</w:t>
            </w:r>
          </w:p>
        </w:tc>
        <w:tc>
          <w:tcPr>
            <w:tcW w:type="dxa" w:w="1234"/>
          </w:tcPr>
          <w:p>
            <w:pPr>
              <w:spacing w:line="240" w:lineRule="auto" w:before="0" w:after="0"/>
              <w:jc w:val="center"/>
            </w:pPr>
            <w:r>
              <w:rPr>
                <w:rFonts w:ascii="Times New Roman" w:hAnsi="Times New Roman" w:eastAsia="宋体"/>
                <w:b w:val="0"/>
                <w:sz w:val="21"/>
              </w:rPr>
              <w:t>C级-轻度幻觉</w:t>
            </w:r>
          </w:p>
        </w:tc>
        <w:tc>
          <w:tcPr>
            <w:tcW w:type="dxa" w:w="1234"/>
          </w:tcPr>
          <w:p>
            <w:pPr>
              <w:spacing w:line="240" w:lineRule="auto" w:before="0" w:after="0"/>
              <w:jc w:val="center"/>
            </w:pPr>
            <w:r>
              <w:rPr>
                <w:rFonts w:ascii="Times New Roman" w:hAnsi="Times New Roman" w:eastAsia="宋体"/>
                <w:b w:val="0"/>
                <w:sz w:val="21"/>
              </w:rPr>
              <w:t>数据集</w:t>
            </w:r>
          </w:p>
        </w:tc>
      </w:tr>
      <w:tr>
        <w:tc>
          <w:tcPr>
            <w:tcW w:type="dxa" w:w="1234"/>
          </w:tcPr>
          <w:p>
            <w:pPr>
              <w:spacing w:line="240" w:lineRule="auto" w:before="0" w:after="0"/>
              <w:jc w:val="center"/>
            </w:pPr>
            <w:r>
              <w:rPr>
                <w:rFonts w:ascii="Times New Roman" w:hAnsi="Times New Roman" w:eastAsia="宋体"/>
                <w:b w:val="0"/>
                <w:sz w:val="21"/>
              </w:rPr>
              <w:t>3</w:t>
            </w:r>
          </w:p>
        </w:tc>
        <w:tc>
          <w:tcPr>
            <w:tcW w:type="dxa" w:w="1234"/>
          </w:tcPr>
          <w:p>
            <w:pPr>
              <w:spacing w:line="240" w:lineRule="auto" w:before="0" w:after="0"/>
              <w:jc w:val="center"/>
            </w:pPr>
            <w:r>
              <w:rPr>
                <w:rFonts w:ascii="Times New Roman" w:hAnsi="Times New Roman" w:eastAsia="宋体"/>
                <w:b w:val="0"/>
                <w:sz w:val="21"/>
              </w:rPr>
              <w:t>北京</w:t>
            </w:r>
          </w:p>
        </w:tc>
        <w:tc>
          <w:tcPr>
            <w:tcW w:type="dxa" w:w="1234"/>
          </w:tcPr>
          <w:p>
            <w:pPr>
              <w:spacing w:line="240" w:lineRule="auto" w:before="0" w:after="0"/>
              <w:jc w:val="center"/>
            </w:pPr>
            <w:r>
              <w:rPr>
                <w:rFonts w:ascii="Times New Roman" w:hAnsi="Times New Roman" w:eastAsia="宋体"/>
                <w:b w:val="0"/>
                <w:sz w:val="21"/>
              </w:rPr>
              <w:t>4,454</w:t>
            </w:r>
          </w:p>
        </w:tc>
        <w:tc>
          <w:tcPr>
            <w:tcW w:type="dxa" w:w="1234"/>
          </w:tcPr>
          <w:p>
            <w:pPr>
              <w:spacing w:line="240" w:lineRule="auto" w:before="0" w:after="0"/>
              <w:jc w:val="center"/>
            </w:pPr>
            <w:r>
              <w:rPr>
                <w:rFonts w:ascii="Times New Roman" w:hAnsi="Times New Roman" w:eastAsia="宋体"/>
                <w:b w:val="0"/>
                <w:sz w:val="21"/>
              </w:rPr>
              <w:t>~980</w:t>
            </w:r>
          </w:p>
        </w:tc>
        <w:tc>
          <w:tcPr>
            <w:tcW w:type="dxa" w:w="1234"/>
          </w:tcPr>
          <w:p>
            <w:pPr>
              <w:spacing w:line="240" w:lineRule="auto" w:before="0" w:after="0"/>
              <w:jc w:val="center"/>
            </w:pPr>
            <w:r>
              <w:rPr>
                <w:rFonts w:ascii="Times New Roman" w:hAnsi="Times New Roman" w:eastAsia="宋体"/>
                <w:b w:val="0"/>
                <w:sz w:val="21"/>
              </w:rPr>
              <w:t>0.220</w:t>
            </w:r>
          </w:p>
        </w:tc>
        <w:tc>
          <w:tcPr>
            <w:tcW w:type="dxa" w:w="1234"/>
          </w:tcPr>
          <w:p>
            <w:pPr>
              <w:spacing w:line="240" w:lineRule="auto" w:before="0" w:after="0"/>
              <w:jc w:val="center"/>
            </w:pPr>
            <w:r>
              <w:rPr>
                <w:rFonts w:ascii="Times New Roman" w:hAnsi="Times New Roman" w:eastAsia="宋体"/>
                <w:b w:val="0"/>
                <w:sz w:val="21"/>
              </w:rPr>
              <w:t>C级-轻度幻觉</w:t>
            </w:r>
          </w:p>
        </w:tc>
        <w:tc>
          <w:tcPr>
            <w:tcW w:type="dxa" w:w="1234"/>
          </w:tcPr>
          <w:p>
            <w:pPr>
              <w:spacing w:line="240" w:lineRule="auto" w:before="0" w:after="0"/>
              <w:jc w:val="center"/>
            </w:pPr>
            <w:r>
              <w:rPr>
                <w:rFonts w:ascii="Times New Roman" w:hAnsi="Times New Roman" w:eastAsia="宋体"/>
                <w:b w:val="0"/>
                <w:sz w:val="21"/>
              </w:rPr>
              <w:t>数据集</w:t>
            </w:r>
          </w:p>
        </w:tc>
      </w:tr>
      <w:tr>
        <w:tc>
          <w:tcPr>
            <w:tcW w:type="dxa" w:w="1234"/>
          </w:tcPr>
          <w:p>
            <w:pPr>
              <w:spacing w:line="240" w:lineRule="auto" w:before="0" w:after="0"/>
              <w:jc w:val="center"/>
            </w:pPr>
            <w:r>
              <w:rPr>
                <w:rFonts w:ascii="Times New Roman" w:hAnsi="Times New Roman" w:eastAsia="宋体"/>
                <w:b w:val="0"/>
                <w:sz w:val="21"/>
              </w:rPr>
              <w:t>4</w:t>
            </w:r>
          </w:p>
        </w:tc>
        <w:tc>
          <w:tcPr>
            <w:tcW w:type="dxa" w:w="1234"/>
          </w:tcPr>
          <w:p>
            <w:pPr>
              <w:spacing w:line="240" w:lineRule="auto" w:before="0" w:after="0"/>
              <w:jc w:val="center"/>
            </w:pPr>
            <w:r>
              <w:rPr>
                <w:rFonts w:ascii="Times New Roman" w:hAnsi="Times New Roman" w:eastAsia="宋体"/>
                <w:b w:val="0"/>
                <w:sz w:val="21"/>
              </w:rPr>
              <w:t>广东</w:t>
            </w:r>
          </w:p>
        </w:tc>
        <w:tc>
          <w:tcPr>
            <w:tcW w:type="dxa" w:w="1234"/>
          </w:tcPr>
          <w:p>
            <w:pPr>
              <w:spacing w:line="240" w:lineRule="auto" w:before="0" w:after="0"/>
              <w:jc w:val="center"/>
            </w:pPr>
            <w:r>
              <w:rPr>
                <w:rFonts w:ascii="Times New Roman" w:hAnsi="Times New Roman" w:eastAsia="宋体"/>
                <w:b w:val="0"/>
                <w:sz w:val="21"/>
              </w:rPr>
              <w:t>97,528</w:t>
            </w:r>
          </w:p>
        </w:tc>
        <w:tc>
          <w:tcPr>
            <w:tcW w:type="dxa" w:w="1234"/>
          </w:tcPr>
          <w:p>
            <w:pPr>
              <w:spacing w:line="240" w:lineRule="auto" w:before="0" w:after="0"/>
              <w:jc w:val="center"/>
            </w:pPr>
            <w:r>
              <w:rPr>
                <w:rFonts w:ascii="Times New Roman" w:hAnsi="Times New Roman" w:eastAsia="宋体"/>
                <w:b w:val="0"/>
                <w:sz w:val="21"/>
              </w:rPr>
              <w:t>~19,506</w:t>
            </w:r>
          </w:p>
        </w:tc>
        <w:tc>
          <w:tcPr>
            <w:tcW w:type="dxa" w:w="1234"/>
          </w:tcPr>
          <w:p>
            <w:pPr>
              <w:spacing w:line="240" w:lineRule="auto" w:before="0" w:after="0"/>
              <w:jc w:val="center"/>
            </w:pPr>
            <w:r>
              <w:rPr>
                <w:rFonts w:ascii="Times New Roman" w:hAnsi="Times New Roman" w:eastAsia="宋体"/>
                <w:b w:val="0"/>
                <w:sz w:val="21"/>
              </w:rPr>
              <w:t>0.200</w:t>
            </w:r>
          </w:p>
        </w:tc>
        <w:tc>
          <w:tcPr>
            <w:tcW w:type="dxa" w:w="1234"/>
          </w:tcPr>
          <w:p>
            <w:pPr>
              <w:spacing w:line="240" w:lineRule="auto" w:before="0" w:after="0"/>
              <w:jc w:val="center"/>
            </w:pPr>
            <w:r>
              <w:rPr>
                <w:rFonts w:ascii="Times New Roman" w:hAnsi="Times New Roman" w:eastAsia="宋体"/>
                <w:b w:val="0"/>
                <w:sz w:val="21"/>
              </w:rPr>
              <w:t>C级-轻度幻觉</w:t>
            </w:r>
          </w:p>
        </w:tc>
        <w:tc>
          <w:tcPr>
            <w:tcW w:type="dxa" w:w="1234"/>
          </w:tcPr>
          <w:p>
            <w:pPr>
              <w:spacing w:line="240" w:lineRule="auto" w:before="0" w:after="0"/>
              <w:jc w:val="center"/>
            </w:pPr>
            <w:r>
              <w:rPr>
                <w:rFonts w:ascii="Times New Roman" w:hAnsi="Times New Roman" w:eastAsia="宋体"/>
                <w:b w:val="0"/>
                <w:sz w:val="21"/>
              </w:rPr>
              <w:t>数据集</w:t>
            </w:r>
          </w:p>
        </w:tc>
      </w:tr>
      <w:tr>
        <w:tc>
          <w:tcPr>
            <w:tcW w:type="dxa" w:w="1234"/>
          </w:tcPr>
          <w:p>
            <w:pPr>
              <w:spacing w:line="240" w:lineRule="auto" w:before="0" w:after="0"/>
              <w:jc w:val="center"/>
            </w:pPr>
            <w:r>
              <w:rPr>
                <w:rFonts w:ascii="Times New Roman" w:hAnsi="Times New Roman" w:eastAsia="宋体"/>
                <w:b w:val="0"/>
                <w:sz w:val="21"/>
              </w:rPr>
              <w:t>5</w:t>
            </w:r>
          </w:p>
        </w:tc>
        <w:tc>
          <w:tcPr>
            <w:tcW w:type="dxa" w:w="1234"/>
          </w:tcPr>
          <w:p>
            <w:pPr>
              <w:spacing w:line="240" w:lineRule="auto" w:before="0" w:after="0"/>
              <w:jc w:val="center"/>
            </w:pPr>
            <w:r>
              <w:rPr>
                <w:rFonts w:ascii="Times New Roman" w:hAnsi="Times New Roman" w:eastAsia="宋体"/>
                <w:b w:val="0"/>
                <w:sz w:val="21"/>
              </w:rPr>
              <w:t>重庆</w:t>
            </w:r>
          </w:p>
        </w:tc>
        <w:tc>
          <w:tcPr>
            <w:tcW w:type="dxa" w:w="1234"/>
          </w:tcPr>
          <w:p>
            <w:pPr>
              <w:spacing w:line="240" w:lineRule="auto" w:before="0" w:after="0"/>
              <w:jc w:val="center"/>
            </w:pPr>
            <w:r>
              <w:rPr>
                <w:rFonts w:ascii="Times New Roman" w:hAnsi="Times New Roman" w:eastAsia="宋体"/>
                <w:b w:val="0"/>
                <w:sz w:val="21"/>
              </w:rPr>
              <w:t>22,550</w:t>
            </w:r>
          </w:p>
        </w:tc>
        <w:tc>
          <w:tcPr>
            <w:tcW w:type="dxa" w:w="1234"/>
          </w:tcPr>
          <w:p>
            <w:pPr>
              <w:spacing w:line="240" w:lineRule="auto" w:before="0" w:after="0"/>
              <w:jc w:val="center"/>
            </w:pPr>
            <w:r>
              <w:rPr>
                <w:rFonts w:ascii="Times New Roman" w:hAnsi="Times New Roman" w:eastAsia="宋体"/>
                <w:b w:val="0"/>
                <w:sz w:val="21"/>
              </w:rPr>
              <w:t>~3,610</w:t>
            </w:r>
          </w:p>
        </w:tc>
        <w:tc>
          <w:tcPr>
            <w:tcW w:type="dxa" w:w="1234"/>
          </w:tcPr>
          <w:p>
            <w:pPr>
              <w:spacing w:line="240" w:lineRule="auto" w:before="0" w:after="0"/>
              <w:jc w:val="center"/>
            </w:pPr>
            <w:r>
              <w:rPr>
                <w:rFonts w:ascii="Times New Roman" w:hAnsi="Times New Roman" w:eastAsia="宋体"/>
                <w:b w:val="0"/>
                <w:sz w:val="21"/>
              </w:rPr>
              <w:t>0.160</w:t>
            </w:r>
          </w:p>
        </w:tc>
        <w:tc>
          <w:tcPr>
            <w:tcW w:type="dxa" w:w="1234"/>
          </w:tcPr>
          <w:p>
            <w:pPr>
              <w:spacing w:line="240" w:lineRule="auto" w:before="0" w:after="0"/>
              <w:jc w:val="center"/>
            </w:pPr>
            <w:r>
              <w:rPr>
                <w:rFonts w:ascii="Times New Roman" w:hAnsi="Times New Roman" w:eastAsia="宋体"/>
                <w:b w:val="0"/>
                <w:sz w:val="21"/>
              </w:rPr>
              <w:t>D级-中度幻觉</w:t>
            </w:r>
          </w:p>
        </w:tc>
        <w:tc>
          <w:tcPr>
            <w:tcW w:type="dxa" w:w="1234"/>
          </w:tcPr>
          <w:p>
            <w:pPr>
              <w:spacing w:line="240" w:lineRule="auto" w:before="0" w:after="0"/>
              <w:jc w:val="center"/>
            </w:pPr>
            <w:r>
              <w:rPr>
                <w:rFonts w:ascii="Times New Roman" w:hAnsi="Times New Roman" w:eastAsia="宋体"/>
                <w:b w:val="0"/>
                <w:sz w:val="21"/>
              </w:rPr>
              <w:t>数据集</w:t>
            </w:r>
          </w:p>
        </w:tc>
      </w:tr>
      <w:tr>
        <w:tc>
          <w:tcPr>
            <w:tcW w:type="dxa" w:w="1234"/>
          </w:tcPr>
          <w:p>
            <w:pPr>
              <w:spacing w:line="240" w:lineRule="auto" w:before="0" w:after="0"/>
              <w:jc w:val="center"/>
            </w:pPr>
            <w:r>
              <w:rPr>
                <w:rFonts w:ascii="Times New Roman" w:hAnsi="Times New Roman" w:eastAsia="宋体"/>
                <w:b w:val="0"/>
                <w:sz w:val="21"/>
              </w:rPr>
              <w:t>—</w:t>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中位数</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w:t>
            </w:r>
          </w:p>
        </w:tc>
        <w:tc>
          <w:tcPr>
            <w:tcW w:type="dxa" w:w="1234"/>
          </w:tcPr>
          <w:p>
            <w:pPr>
              <w:spacing w:line="240" w:lineRule="auto" w:before="0" w:after="0"/>
              <w:jc w:val="center"/>
            </w:pPr>
            <w:r>
              <w:rPr>
                <w:rFonts w:ascii="Times New Roman" w:hAnsi="Times New Roman" w:eastAsia="宋体"/>
                <w:b w:val="0"/>
                <w:sz w:val="21"/>
              </w:rPr>
              <w:t>—</w:t>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0.122</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D级-中度幻觉</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w:t>
            </w:r>
          </w:p>
        </w:tc>
      </w:tr>
      <w:tr>
        <w:tc>
          <w:tcPr>
            <w:tcW w:type="dxa" w:w="1234"/>
          </w:tcPr>
          <w:p>
            <w:pPr>
              <w:spacing w:line="240" w:lineRule="auto" w:before="0" w:after="0"/>
              <w:jc w:val="center"/>
            </w:pPr>
            <w:r>
              <w:rPr>
                <w:rFonts w:ascii="Times New Roman" w:hAnsi="Times New Roman" w:eastAsia="宋体"/>
                <w:b w:val="0"/>
                <w:sz w:val="21"/>
              </w:rPr>
              <w:t>6</w:t>
            </w:r>
          </w:p>
        </w:tc>
        <w:tc>
          <w:tcPr>
            <w:tcW w:type="dxa" w:w="1234"/>
          </w:tcPr>
          <w:p>
            <w:pPr>
              <w:spacing w:line="240" w:lineRule="auto" w:before="0" w:after="0"/>
              <w:jc w:val="center"/>
            </w:pPr>
            <w:r>
              <w:rPr>
                <w:rFonts w:ascii="Times New Roman" w:hAnsi="Times New Roman" w:eastAsia="宋体"/>
                <w:b w:val="0"/>
                <w:sz w:val="21"/>
              </w:rPr>
              <w:t>湖北</w:t>
            </w:r>
          </w:p>
        </w:tc>
        <w:tc>
          <w:tcPr>
            <w:tcW w:type="dxa" w:w="1234"/>
          </w:tcPr>
          <w:p>
            <w:pPr>
              <w:spacing w:line="240" w:lineRule="auto" w:before="0" w:after="0"/>
              <w:jc w:val="center"/>
            </w:pPr>
            <w:r>
              <w:rPr>
                <w:rFonts w:ascii="Times New Roman" w:hAnsi="Times New Roman" w:eastAsia="宋体"/>
                <w:b w:val="0"/>
                <w:sz w:val="21"/>
              </w:rPr>
              <w:t>24,119</w:t>
            </w:r>
          </w:p>
        </w:tc>
        <w:tc>
          <w:tcPr>
            <w:tcW w:type="dxa" w:w="1234"/>
          </w:tcPr>
          <w:p>
            <w:pPr>
              <w:spacing w:line="240" w:lineRule="auto" w:before="0" w:after="0"/>
              <w:jc w:val="center"/>
            </w:pPr>
            <w:r>
              <w:rPr>
                <w:rFonts w:ascii="Times New Roman" w:hAnsi="Times New Roman" w:eastAsia="宋体"/>
                <w:b w:val="0"/>
                <w:sz w:val="21"/>
              </w:rPr>
              <w:t>~2,412</w:t>
            </w:r>
          </w:p>
        </w:tc>
        <w:tc>
          <w:tcPr>
            <w:tcW w:type="dxa" w:w="1234"/>
          </w:tcPr>
          <w:p>
            <w:pPr>
              <w:spacing w:line="240" w:lineRule="auto" w:before="0" w:after="0"/>
              <w:jc w:val="center"/>
            </w:pPr>
            <w:r>
              <w:rPr>
                <w:rFonts w:ascii="Times New Roman" w:hAnsi="Times New Roman" w:eastAsia="宋体"/>
                <w:b w:val="0"/>
                <w:sz w:val="21"/>
              </w:rPr>
              <w:t>0.100</w:t>
            </w:r>
          </w:p>
        </w:tc>
        <w:tc>
          <w:tcPr>
            <w:tcW w:type="dxa" w:w="1234"/>
          </w:tcPr>
          <w:p>
            <w:pPr>
              <w:spacing w:line="240" w:lineRule="auto" w:before="0" w:after="0"/>
              <w:jc w:val="center"/>
            </w:pPr>
            <w:r>
              <w:rPr>
                <w:rFonts w:ascii="Times New Roman" w:hAnsi="Times New Roman" w:eastAsia="宋体"/>
                <w:b w:val="0"/>
                <w:sz w:val="21"/>
              </w:rPr>
              <w:t>D级-中度幻觉</w:t>
            </w:r>
          </w:p>
        </w:tc>
        <w:tc>
          <w:tcPr>
            <w:tcW w:type="dxa" w:w="1234"/>
          </w:tcPr>
          <w:p>
            <w:pPr>
              <w:spacing w:line="240" w:lineRule="auto" w:before="0" w:after="0"/>
              <w:jc w:val="center"/>
            </w:pPr>
            <w:r>
              <w:rPr>
                <w:rFonts w:ascii="Times New Roman" w:hAnsi="Times New Roman" w:eastAsia="宋体"/>
                <w:b w:val="0"/>
                <w:sz w:val="21"/>
              </w:rPr>
              <w:t>数据目录</w:t>
            </w:r>
          </w:p>
        </w:tc>
      </w:tr>
      <w:tr>
        <w:tc>
          <w:tcPr>
            <w:tcW w:type="dxa" w:w="1234"/>
          </w:tcPr>
          <w:p>
            <w:pPr>
              <w:spacing w:line="240" w:lineRule="auto" w:before="0" w:after="0"/>
              <w:jc w:val="center"/>
            </w:pPr>
            <w:r>
              <w:rPr>
                <w:rFonts w:ascii="Times New Roman" w:hAnsi="Times New Roman" w:eastAsia="宋体"/>
                <w:b w:val="0"/>
                <w:sz w:val="21"/>
              </w:rPr>
              <w:t>7</w:t>
            </w:r>
          </w:p>
        </w:tc>
        <w:tc>
          <w:tcPr>
            <w:tcW w:type="dxa" w:w="1234"/>
          </w:tcPr>
          <w:p>
            <w:pPr>
              <w:spacing w:line="240" w:lineRule="auto" w:before="0" w:after="0"/>
              <w:jc w:val="center"/>
            </w:pPr>
            <w:r>
              <w:rPr>
                <w:rFonts w:ascii="Times New Roman" w:hAnsi="Times New Roman" w:eastAsia="宋体"/>
                <w:b w:val="0"/>
                <w:sz w:val="21"/>
              </w:rPr>
              <w:t>海南</w:t>
            </w:r>
          </w:p>
        </w:tc>
        <w:tc>
          <w:tcPr>
            <w:tcW w:type="dxa" w:w="1234"/>
          </w:tcPr>
          <w:p>
            <w:pPr>
              <w:spacing w:line="240" w:lineRule="auto" w:before="0" w:after="0"/>
              <w:jc w:val="center"/>
            </w:pPr>
            <w:r>
              <w:rPr>
                <w:rFonts w:ascii="Times New Roman" w:hAnsi="Times New Roman" w:eastAsia="宋体"/>
                <w:b w:val="0"/>
                <w:sz w:val="21"/>
              </w:rPr>
              <w:t>35,835</w:t>
            </w:r>
          </w:p>
        </w:tc>
        <w:tc>
          <w:tcPr>
            <w:tcW w:type="dxa" w:w="1234"/>
          </w:tcPr>
          <w:p>
            <w:pPr>
              <w:spacing w:line="240" w:lineRule="auto" w:before="0" w:after="0"/>
              <w:jc w:val="center"/>
            </w:pPr>
            <w:r>
              <w:rPr>
                <w:rFonts w:ascii="Times New Roman" w:hAnsi="Times New Roman" w:eastAsia="宋体"/>
                <w:b w:val="0"/>
                <w:sz w:val="21"/>
              </w:rPr>
              <w:t>~2,868</w:t>
            </w:r>
          </w:p>
        </w:tc>
        <w:tc>
          <w:tcPr>
            <w:tcW w:type="dxa" w:w="1234"/>
          </w:tcPr>
          <w:p>
            <w:pPr>
              <w:spacing w:line="240" w:lineRule="auto" w:before="0" w:after="0"/>
              <w:jc w:val="center"/>
            </w:pPr>
            <w:r>
              <w:rPr>
                <w:rFonts w:ascii="Times New Roman" w:hAnsi="Times New Roman" w:eastAsia="宋体"/>
                <w:b w:val="0"/>
                <w:sz w:val="21"/>
              </w:rPr>
              <w:t>0.080</w:t>
            </w:r>
          </w:p>
        </w:tc>
        <w:tc>
          <w:tcPr>
            <w:tcW w:type="dxa" w:w="1234"/>
          </w:tcPr>
          <w:p>
            <w:pPr>
              <w:spacing w:line="240" w:lineRule="auto" w:before="0" w:after="0"/>
              <w:jc w:val="center"/>
            </w:pPr>
            <w:r>
              <w:rPr>
                <w:rFonts w:ascii="Times New Roman" w:hAnsi="Times New Roman" w:eastAsia="宋体"/>
                <w:b w:val="0"/>
                <w:sz w:val="21"/>
              </w:rPr>
              <w:t>D级-中度幻觉</w:t>
            </w:r>
          </w:p>
        </w:tc>
        <w:tc>
          <w:tcPr>
            <w:tcW w:type="dxa" w:w="1234"/>
          </w:tcPr>
          <w:p>
            <w:pPr>
              <w:spacing w:line="240" w:lineRule="auto" w:before="0" w:after="0"/>
              <w:jc w:val="center"/>
            </w:pPr>
            <w:r>
              <w:rPr>
                <w:rFonts w:ascii="Times New Roman" w:hAnsi="Times New Roman" w:eastAsia="宋体"/>
                <w:b w:val="0"/>
                <w:sz w:val="21"/>
              </w:rPr>
              <w:t>目录</w:t>
            </w:r>
          </w:p>
        </w:tc>
      </w:tr>
      <w:tr>
        <w:tc>
          <w:tcPr>
            <w:tcW w:type="dxa" w:w="1234"/>
          </w:tcPr>
          <w:p>
            <w:pPr>
              <w:spacing w:line="240" w:lineRule="auto" w:before="0" w:after="0"/>
              <w:jc w:val="center"/>
            </w:pPr>
            <w:r>
              <w:rPr>
                <w:rFonts w:ascii="Times New Roman" w:hAnsi="Times New Roman" w:eastAsia="宋体"/>
                <w:b w:val="0"/>
                <w:sz w:val="21"/>
              </w:rPr>
              <w:t>8</w:t>
            </w:r>
          </w:p>
        </w:tc>
        <w:tc>
          <w:tcPr>
            <w:tcW w:type="dxa" w:w="1234"/>
          </w:tcPr>
          <w:p>
            <w:pPr>
              <w:spacing w:line="240" w:lineRule="auto" w:before="0" w:after="0"/>
              <w:jc w:val="center"/>
            </w:pPr>
            <w:r>
              <w:rPr>
                <w:rFonts w:ascii="Times New Roman" w:hAnsi="Times New Roman" w:eastAsia="宋体"/>
                <w:b w:val="0"/>
                <w:sz w:val="21"/>
              </w:rPr>
              <w:t>四川</w:t>
            </w:r>
          </w:p>
        </w:tc>
        <w:tc>
          <w:tcPr>
            <w:tcW w:type="dxa" w:w="1234"/>
          </w:tcPr>
          <w:p>
            <w:pPr>
              <w:spacing w:line="240" w:lineRule="auto" w:before="0" w:after="0"/>
              <w:jc w:val="center"/>
            </w:pPr>
            <w:r>
              <w:rPr>
                <w:rFonts w:ascii="Times New Roman" w:hAnsi="Times New Roman" w:eastAsia="宋体"/>
                <w:b w:val="0"/>
                <w:sz w:val="21"/>
              </w:rPr>
              <w:t>9,115</w:t>
            </w:r>
          </w:p>
        </w:tc>
        <w:tc>
          <w:tcPr>
            <w:tcW w:type="dxa" w:w="1234"/>
          </w:tcPr>
          <w:p>
            <w:pPr>
              <w:spacing w:line="240" w:lineRule="auto" w:before="0" w:after="0"/>
              <w:jc w:val="center"/>
            </w:pPr>
            <w:r>
              <w:rPr>
                <w:rFonts w:ascii="Times New Roman" w:hAnsi="Times New Roman" w:eastAsia="宋体"/>
                <w:b w:val="0"/>
                <w:sz w:val="21"/>
              </w:rPr>
              <w:t>~730</w:t>
            </w:r>
          </w:p>
        </w:tc>
        <w:tc>
          <w:tcPr>
            <w:tcW w:type="dxa" w:w="1234"/>
          </w:tcPr>
          <w:p>
            <w:pPr>
              <w:spacing w:line="240" w:lineRule="auto" w:before="0" w:after="0"/>
              <w:jc w:val="center"/>
            </w:pPr>
            <w:r>
              <w:rPr>
                <w:rFonts w:ascii="Times New Roman" w:hAnsi="Times New Roman" w:eastAsia="宋体"/>
                <w:b w:val="0"/>
                <w:sz w:val="21"/>
              </w:rPr>
              <w:t>0.080</w:t>
            </w:r>
          </w:p>
        </w:tc>
        <w:tc>
          <w:tcPr>
            <w:tcW w:type="dxa" w:w="1234"/>
          </w:tcPr>
          <w:p>
            <w:pPr>
              <w:spacing w:line="240" w:lineRule="auto" w:before="0" w:after="0"/>
              <w:jc w:val="center"/>
            </w:pPr>
            <w:r>
              <w:rPr>
                <w:rFonts w:ascii="Times New Roman" w:hAnsi="Times New Roman" w:eastAsia="宋体"/>
                <w:b w:val="0"/>
                <w:sz w:val="21"/>
              </w:rPr>
              <w:t>D级-中度幻觉</w:t>
            </w:r>
          </w:p>
        </w:tc>
        <w:tc>
          <w:tcPr>
            <w:tcW w:type="dxa" w:w="1234"/>
          </w:tcPr>
          <w:p>
            <w:pPr>
              <w:spacing w:line="240" w:lineRule="auto" w:before="0" w:after="0"/>
              <w:jc w:val="center"/>
            </w:pPr>
            <w:r>
              <w:rPr>
                <w:rFonts w:ascii="Times New Roman" w:hAnsi="Times New Roman" w:eastAsia="宋体"/>
                <w:b w:val="0"/>
                <w:sz w:val="21"/>
              </w:rPr>
              <w:t>目录数量</w:t>
            </w:r>
          </w:p>
        </w:tc>
      </w:tr>
      <w:tr>
        <w:tc>
          <w:tcPr>
            <w:tcW w:type="dxa" w:w="1234"/>
          </w:tcPr>
          <w:p>
            <w:pPr>
              <w:spacing w:line="240" w:lineRule="auto" w:before="0" w:after="0"/>
              <w:jc w:val="center"/>
            </w:pPr>
            <w:r>
              <w:rPr>
                <w:rFonts w:ascii="Times New Roman" w:hAnsi="Times New Roman" w:eastAsia="宋体"/>
                <w:b w:val="0"/>
                <w:sz w:val="21"/>
              </w:rPr>
              <w:t>9</w:t>
            </w:r>
          </w:p>
        </w:tc>
        <w:tc>
          <w:tcPr>
            <w:tcW w:type="dxa" w:w="1234"/>
          </w:tcPr>
          <w:p>
            <w:pPr>
              <w:spacing w:line="240" w:lineRule="auto" w:before="0" w:after="0"/>
              <w:jc w:val="center"/>
            </w:pPr>
            <w:r>
              <w:rPr>
                <w:rFonts w:ascii="Times New Roman" w:hAnsi="Times New Roman" w:eastAsia="宋体"/>
                <w:b w:val="0"/>
                <w:sz w:val="21"/>
              </w:rPr>
              <w:t>广西</w:t>
            </w:r>
          </w:p>
        </w:tc>
        <w:tc>
          <w:tcPr>
            <w:tcW w:type="dxa" w:w="1234"/>
          </w:tcPr>
          <w:p>
            <w:pPr>
              <w:spacing w:line="240" w:lineRule="auto" w:before="0" w:after="0"/>
              <w:jc w:val="center"/>
            </w:pPr>
            <w:r>
              <w:rPr>
                <w:rFonts w:ascii="Times New Roman" w:hAnsi="Times New Roman" w:eastAsia="宋体"/>
                <w:b w:val="0"/>
                <w:sz w:val="21"/>
              </w:rPr>
              <w:t>10,162</w:t>
            </w:r>
          </w:p>
        </w:tc>
        <w:tc>
          <w:tcPr>
            <w:tcW w:type="dxa" w:w="1234"/>
          </w:tcPr>
          <w:p>
            <w:pPr>
              <w:spacing w:line="240" w:lineRule="auto" w:before="0" w:after="0"/>
              <w:jc w:val="center"/>
            </w:pPr>
            <w:r>
              <w:rPr>
                <w:rFonts w:ascii="Times New Roman" w:hAnsi="Times New Roman" w:eastAsia="宋体"/>
                <w:b w:val="0"/>
                <w:sz w:val="21"/>
              </w:rPr>
              <w:t>~610</w:t>
            </w:r>
          </w:p>
        </w:tc>
        <w:tc>
          <w:tcPr>
            <w:tcW w:type="dxa" w:w="1234"/>
          </w:tcPr>
          <w:p>
            <w:pPr>
              <w:spacing w:line="240" w:lineRule="auto" w:before="0" w:after="0"/>
              <w:jc w:val="center"/>
            </w:pPr>
            <w:r>
              <w:rPr>
                <w:rFonts w:ascii="Times New Roman" w:hAnsi="Times New Roman" w:eastAsia="宋体"/>
                <w:b w:val="0"/>
                <w:sz w:val="21"/>
              </w:rPr>
              <w:t>0.060</w:t>
            </w:r>
          </w:p>
        </w:tc>
        <w:tc>
          <w:tcPr>
            <w:tcW w:type="dxa" w:w="1234"/>
          </w:tcPr>
          <w:p>
            <w:pPr>
              <w:spacing w:line="240" w:lineRule="auto" w:before="0" w:after="0"/>
              <w:jc w:val="center"/>
            </w:pPr>
            <w:r>
              <w:rPr>
                <w:rFonts w:ascii="Times New Roman" w:hAnsi="Times New Roman" w:eastAsia="宋体"/>
                <w:b w:val="0"/>
                <w:sz w:val="21"/>
              </w:rPr>
              <w:t>D级-中度幻觉</w:t>
            </w:r>
          </w:p>
        </w:tc>
        <w:tc>
          <w:tcPr>
            <w:tcW w:type="dxa" w:w="1234"/>
          </w:tcPr>
          <w:p>
            <w:pPr>
              <w:spacing w:line="240" w:lineRule="auto" w:before="0" w:after="0"/>
              <w:jc w:val="center"/>
            </w:pPr>
            <w:r>
              <w:rPr>
                <w:rFonts w:ascii="Times New Roman" w:hAnsi="Times New Roman" w:eastAsia="宋体"/>
                <w:b w:val="0"/>
                <w:sz w:val="21"/>
              </w:rPr>
              <w:t>目录总数</w:t>
            </w:r>
          </w:p>
        </w:tc>
      </w:tr>
      <w:tr>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贵州</w:t>
            </w:r>
          </w:p>
        </w:tc>
        <w:tc>
          <w:tcPr>
            <w:tcW w:type="dxa" w:w="1234"/>
          </w:tcPr>
          <w:p>
            <w:pPr>
              <w:spacing w:line="240" w:lineRule="auto" w:before="0" w:after="0"/>
              <w:jc w:val="center"/>
            </w:pPr>
            <w:r>
              <w:rPr>
                <w:rFonts w:ascii="Times New Roman" w:hAnsi="Times New Roman" w:eastAsia="宋体"/>
                <w:b w:val="0"/>
                <w:sz w:val="21"/>
              </w:rPr>
              <w:t>9,042</w:t>
            </w:r>
          </w:p>
        </w:tc>
        <w:tc>
          <w:tcPr>
            <w:tcW w:type="dxa" w:w="1234"/>
          </w:tcPr>
          <w:p>
            <w:pPr>
              <w:spacing w:line="240" w:lineRule="auto" w:before="0" w:after="0"/>
              <w:jc w:val="center"/>
            </w:pPr>
            <w:r>
              <w:rPr>
                <w:rFonts w:ascii="Times New Roman" w:hAnsi="Times New Roman" w:eastAsia="宋体"/>
                <w:b w:val="0"/>
                <w:sz w:val="21"/>
              </w:rPr>
              <w:t>~1,520</w:t>
            </w:r>
          </w:p>
        </w:tc>
        <w:tc>
          <w:tcPr>
            <w:tcW w:type="dxa" w:w="1234"/>
          </w:tcPr>
          <w:p>
            <w:pPr>
              <w:spacing w:line="240" w:lineRule="auto" w:before="0" w:after="0"/>
              <w:jc w:val="center"/>
            </w:pPr>
            <w:r>
              <w:rPr>
                <w:rFonts w:ascii="Times New Roman" w:hAnsi="Times New Roman" w:eastAsia="宋体"/>
                <w:b w:val="0"/>
                <w:sz w:val="21"/>
              </w:rPr>
              <w:t>0.053</w:t>
            </w:r>
          </w:p>
        </w:tc>
        <w:tc>
          <w:tcPr>
            <w:tcW w:type="dxa" w:w="1234"/>
          </w:tcPr>
          <w:p>
            <w:pPr>
              <w:spacing w:line="240" w:lineRule="auto" w:before="0" w:after="0"/>
              <w:jc w:val="center"/>
            </w:pPr>
            <w:r>
              <w:rPr>
                <w:rFonts w:ascii="Times New Roman" w:hAnsi="Times New Roman" w:eastAsia="宋体"/>
                <w:b w:val="0"/>
                <w:sz w:val="21"/>
              </w:rPr>
              <w:t>E级-重度幻觉</w:t>
            </w:r>
          </w:p>
        </w:tc>
        <w:tc>
          <w:tcPr>
            <w:tcW w:type="dxa" w:w="1234"/>
          </w:tcPr>
          <w:p>
            <w:pPr>
              <w:spacing w:line="240" w:lineRule="auto" w:before="0" w:after="0"/>
              <w:jc w:val="center"/>
            </w:pPr>
            <w:r>
              <w:rPr>
                <w:rFonts w:ascii="Times New Roman" w:hAnsi="Times New Roman" w:eastAsia="宋体"/>
                <w:b w:val="0"/>
                <w:sz w:val="21"/>
              </w:rPr>
              <w:t>数据集</w:t>
            </w:r>
          </w:p>
        </w:tc>
      </w:tr>
      <w:tr>
        <w:tc>
          <w:tcPr>
            <w:tcW w:type="dxa" w:w="1234"/>
          </w:tcPr>
          <w:p>
            <w:pPr>
              <w:spacing w:line="240" w:lineRule="auto" w:before="0" w:after="0"/>
              <w:jc w:val="center"/>
            </w:pPr>
            <w:r>
              <w:rPr>
                <w:rFonts w:ascii="Times New Roman" w:hAnsi="Times New Roman" w:eastAsia="宋体"/>
                <w:b w:val="0"/>
                <w:sz w:val="21"/>
              </w:rPr>
              <w:t>11</w:t>
            </w:r>
          </w:p>
        </w:tc>
        <w:tc>
          <w:tcPr>
            <w:tcW w:type="dxa" w:w="1234"/>
          </w:tcPr>
          <w:p>
            <w:pPr>
              <w:spacing w:line="240" w:lineRule="auto" w:before="0" w:after="0"/>
              <w:jc w:val="center"/>
            </w:pPr>
            <w:r>
              <w:rPr>
                <w:rFonts w:ascii="Times New Roman" w:hAnsi="Times New Roman" w:eastAsia="宋体"/>
                <w:b w:val="0"/>
                <w:sz w:val="21"/>
              </w:rPr>
              <w:t>山东</w:t>
            </w:r>
          </w:p>
        </w:tc>
        <w:tc>
          <w:tcPr>
            <w:tcW w:type="dxa" w:w="1234"/>
          </w:tcPr>
          <w:p>
            <w:pPr>
              <w:spacing w:line="240" w:lineRule="auto" w:before="0" w:after="0"/>
              <w:jc w:val="center"/>
            </w:pPr>
            <w:r>
              <w:rPr>
                <w:rFonts w:ascii="Times New Roman" w:hAnsi="Times New Roman" w:eastAsia="宋体"/>
                <w:b w:val="0"/>
                <w:sz w:val="21"/>
              </w:rPr>
              <w:t>63,656</w:t>
            </w:r>
          </w:p>
        </w:tc>
        <w:tc>
          <w:tcPr>
            <w:tcW w:type="dxa" w:w="1234"/>
          </w:tcPr>
          <w:p>
            <w:pPr>
              <w:spacing w:line="240" w:lineRule="auto" w:before="0" w:after="0"/>
              <w:jc w:val="center"/>
            </w:pPr>
            <w:r>
              <w:rPr>
                <w:rFonts w:ascii="Times New Roman" w:hAnsi="Times New Roman" w:eastAsia="宋体"/>
                <w:b w:val="0"/>
                <w:sz w:val="21"/>
              </w:rPr>
              <w:t>~944</w:t>
            </w:r>
          </w:p>
        </w:tc>
        <w:tc>
          <w:tcPr>
            <w:tcW w:type="dxa" w:w="1234"/>
          </w:tcPr>
          <w:p>
            <w:pPr>
              <w:spacing w:line="240" w:lineRule="auto" w:before="0" w:after="0"/>
              <w:jc w:val="center"/>
            </w:pPr>
            <w:r>
              <w:rPr>
                <w:rFonts w:ascii="Times New Roman" w:hAnsi="Times New Roman" w:eastAsia="宋体"/>
                <w:b w:val="0"/>
                <w:sz w:val="21"/>
              </w:rPr>
              <w:t>0.016</w:t>
            </w:r>
          </w:p>
        </w:tc>
        <w:tc>
          <w:tcPr>
            <w:tcW w:type="dxa" w:w="1234"/>
          </w:tcPr>
          <w:p>
            <w:pPr>
              <w:spacing w:line="240" w:lineRule="auto" w:before="0" w:after="0"/>
              <w:jc w:val="center"/>
            </w:pPr>
            <w:r>
              <w:rPr>
                <w:rFonts w:ascii="Times New Roman" w:hAnsi="Times New Roman" w:eastAsia="宋体"/>
                <w:b w:val="0"/>
                <w:sz w:val="21"/>
              </w:rPr>
              <w:t>E级-极重度幻觉</w:t>
            </w:r>
          </w:p>
        </w:tc>
        <w:tc>
          <w:tcPr>
            <w:tcW w:type="dxa" w:w="1234"/>
          </w:tcPr>
          <w:p>
            <w:pPr>
              <w:spacing w:line="240" w:lineRule="auto" w:before="0" w:after="0"/>
              <w:jc w:val="center"/>
            </w:pPr>
            <w:r>
              <w:rPr>
                <w:rFonts w:ascii="Times New Roman" w:hAnsi="Times New Roman" w:eastAsia="宋体"/>
                <w:b w:val="0"/>
                <w:sz w:val="21"/>
              </w:rPr>
              <w:t>数据目录</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Pro采集系统+人工核验，2025年3月。有效数据集数量基于10%抽样核验结果外推估算。</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从表3-2可以看出三个显著特征：</w:t>
      </w:r>
    </w:p>
    <w:p>
      <w:pPr>
        <w:spacing w:line="360" w:lineRule="auto" w:before="0" w:after="0"/>
        <w:ind w:firstLine="420"/>
        <w:jc w:val="both"/>
      </w:pPr>
      <w:r>
        <w:rPr>
          <w:rFonts w:ascii="Times New Roman" w:hAnsi="Times New Roman" w:eastAsia="宋体"/>
          <w:b w:val="0"/>
          <w:sz w:val="24"/>
        </w:rPr>
        <w:t>第一，</w:t>
      </w:r>
      <w:r>
        <w:rPr>
          <w:rFonts w:ascii="Times New Roman" w:hAnsi="Times New Roman" w:eastAsia="宋体"/>
          <w:b/>
          <w:sz w:val="24"/>
        </w:rPr>
        <w:t>口径一致性整体偏低。</w:t>
      </w:r>
      <w:r>
        <w:rPr>
          <w:rFonts w:ascii="Times New Roman" w:hAnsi="Times New Roman" w:eastAsia="宋体"/>
          <w:b w:val="0"/>
          <w:sz w:val="24"/>
        </w:rPr>
        <w:t xml:space="preserve"> 23个平台的CR中位数仅为0.122，意味着平均而言目录中约8个数据集仅有1个真正有效。没有任何平台达到A级（CR≥0.50），仅有4个平台（浙江、上海、北京、广东）达到C级（CR≥0.20），其余平台均处于D级或E级。这种整体偏低的口径一致性水平揭示了我国政府数据开放平台在"数量繁荣"表象下隐藏的质量危机——平台对外宣传的数据集数量严重夸大了实际的有效供给。</w:t>
      </w:r>
    </w:p>
    <w:p>
      <w:pPr>
        <w:spacing w:line="360" w:lineRule="auto" w:before="0" w:after="0"/>
        <w:ind w:firstLine="420"/>
        <w:jc w:val="both"/>
      </w:pPr>
      <w:r>
        <w:rPr>
          <w:rFonts w:ascii="Times New Roman" w:hAnsi="Times New Roman" w:eastAsia="宋体"/>
          <w:b w:val="0"/>
          <w:sz w:val="24"/>
        </w:rPr>
        <w:t>从国际比较的视角看，我国平台的口径一致性水平显著低于国际先进水平。Jetzek等在对欧洲开放数据平台的核验研究中发现，欧洲平台的有效数据集占比普遍在40%-60%之间（相当于CR=0.40-0.60），远高于我国平台的CR中位数（0.122）。这种差距并非偶然——欧洲平台普遍建立了严格的数据质量审核机制和目录真实性校验制度，而我国平台在这些方面仍处于起步阶段。这一国际比较进一步凸显了"数据口径幻觉"问题的严重性和纠正的紧迫性。</w:t>
      </w:r>
    </w:p>
    <w:p>
      <w:pPr>
        <w:spacing w:line="360" w:lineRule="auto" w:before="0" w:after="0"/>
        <w:ind w:firstLine="420"/>
        <w:jc w:val="both"/>
      </w:pPr>
      <w:r>
        <w:rPr>
          <w:rFonts w:ascii="Times New Roman" w:hAnsi="Times New Roman" w:eastAsia="宋体"/>
          <w:b w:val="0"/>
          <w:sz w:val="24"/>
        </w:rPr>
        <w:t>第二，</w:t>
      </w:r>
      <w:r>
        <w:rPr>
          <w:rFonts w:ascii="Times New Roman" w:hAnsi="Times New Roman" w:eastAsia="宋体"/>
          <w:b/>
          <w:sz w:val="24"/>
        </w:rPr>
        <w:t>CR与目录数量无显著正相关。</w:t>
      </w:r>
      <w:r>
        <w:rPr>
          <w:rFonts w:ascii="Times New Roman" w:hAnsi="Times New Roman" w:eastAsia="宋体"/>
          <w:b w:val="0"/>
          <w:sz w:val="24"/>
        </w:rPr>
        <w:t xml:space="preserve"> 目录数量最多的广东平台（97,528个）CR为0.200，目录数量较少的贵州平台（9,042个）CR为0.053，目录数量与CR之间不存在简单的线性关系。相关性分析显示，目录数量与CR之间的Pearson相关系数仅为0.12（p&gt;0.05），未达到统计显著性水平。这表明"数据口径幻觉"并非"大平台的专利"，而是普遍存在于各类平台中——无论平台规模大小，都面临着口径一致性的挑战。</w:t>
      </w:r>
    </w:p>
    <w:p>
      <w:pPr>
        <w:spacing w:line="360" w:lineRule="auto" w:before="0" w:after="0"/>
        <w:ind w:firstLine="420"/>
        <w:jc w:val="both"/>
      </w:pPr>
      <w:r>
        <w:rPr>
          <w:rFonts w:ascii="Times New Roman" w:hAnsi="Times New Roman" w:eastAsia="宋体"/>
          <w:b w:val="0"/>
          <w:sz w:val="24"/>
        </w:rPr>
        <w:t>这一发现具有重要的理论意义。传统的评估逻辑假设"规模越大，质量越好"——即大平台由于资源更充足、管理更规范，其数据质量应高于小平台。然而，本研究的发现挑战了这一假设：大平台虽然在绝对数量上领先，但其相对质量（CR）并不一定优于小平台。例如，目录数量排名第一的广东平台（97,528个）CR仅为0.200，而目录数量排名中游的浙江平台（38,000个）CR却达到0.298。这表明平台的"规模优势"并未自动转化为"质量优势"——在"数量竞赛"的激励下，大平台可能更倾向于通过"数量膨胀"来维持竞争优势，反而加剧了口径一致性问题。</w:t>
      </w:r>
    </w:p>
    <w:p>
      <w:pPr>
        <w:spacing w:line="360" w:lineRule="auto" w:before="0" w:after="0"/>
        <w:ind w:firstLine="420"/>
        <w:jc w:val="both"/>
      </w:pPr>
      <w:r>
        <w:rPr>
          <w:rFonts w:ascii="Times New Roman" w:hAnsi="Times New Roman" w:eastAsia="宋体"/>
          <w:b w:val="0"/>
          <w:sz w:val="24"/>
        </w:rPr>
        <w:t>第三，</w:t>
      </w:r>
      <w:r>
        <w:rPr>
          <w:rFonts w:ascii="Times New Roman" w:hAnsi="Times New Roman" w:eastAsia="宋体"/>
          <w:b/>
          <w:sz w:val="24"/>
        </w:rPr>
        <w:t>CR与口径类型存在关联。</w:t>
      </w:r>
      <w:r>
        <w:rPr>
          <w:rFonts w:ascii="Times New Roman" w:hAnsi="Times New Roman" w:eastAsia="宋体"/>
          <w:b w:val="0"/>
          <w:sz w:val="24"/>
        </w:rPr>
        <w:t xml:space="preserve"> 以"数据集"为口径类型的平台（广东、上海、北京、重庆）CR相对较高（0.160-0.298），以"数据目录"或"目录"为口径类型的平台（山东、湖北、海南、四川）CR相对较低（0.080-0.100）。这一发现提示：口径类型的选择本身就可能影响CR的高低——"目录"口径天然包含更多的"子目录"和"虚拟条目"，导致CR被系统性拉低。</w:t>
      </w:r>
    </w:p>
    <w:p>
      <w:pPr>
        <w:spacing w:line="360" w:lineRule="auto" w:before="0" w:after="0"/>
        <w:ind w:firstLine="420"/>
        <w:jc w:val="both"/>
      </w:pPr>
      <w:r>
        <w:rPr>
          <w:rFonts w:ascii="Times New Roman" w:hAnsi="Times New Roman" w:eastAsia="宋体"/>
          <w:b w:val="0"/>
          <w:sz w:val="24"/>
        </w:rPr>
        <w:t>口径类型与CR的关联反映了平台在数据组织方式上的差异。采用"数据集"口径的平台通常将每个独立的数据文件视为一个数据集，统计口径相对严格；而采用"数据目录"口径的平台则将数据分类目录也计入统计，导致统计口径被"泛化"。这种口径泛化虽然在技术上并非错误，但在评估比较中却制造了"隐性不公平"——采用"目录"口径的平台在目录数量上获得"虚高"的统计优势，而实际有效供给可能并不比采用"数据集"口径的平台更多。这一发现为统一数据口径标准提供了实证依据：在跨平台比较中，必须对齐口径类型，或建立口径转换系数，否则比较结果将存在系统性偏差。</w:t>
      </w:r>
    </w:p>
    <w:p>
      <w:pPr>
        <w:pStyle w:val="Heading2"/>
        <w:spacing w:before="360" w:after="240" w:line="360" w:lineRule="auto"/>
        <w:ind w:firstLine="0"/>
        <w:jc w:val="left"/>
      </w:pPr>
      <w:r>
        <w:rPr>
          <w:rFonts w:ascii="Times New Roman" w:hAnsi="Times New Roman" w:eastAsia="黑体"/>
          <w:b/>
          <w:sz w:val="32"/>
        </w:rPr>
        <w:t>4 实证发现</w:t>
      </w:r>
    </w:p>
    <w:p>
      <w:pPr>
        <w:pStyle w:val="Heading3"/>
        <w:spacing w:before="240" w:after="120" w:line="360" w:lineRule="auto"/>
        <w:ind w:firstLine="0"/>
        <w:jc w:val="left"/>
      </w:pPr>
      <w:r>
        <w:rPr>
          <w:rFonts w:ascii="Times New Roman" w:hAnsi="Times New Roman" w:eastAsia="黑体"/>
          <w:b/>
          <w:sz w:val="28"/>
        </w:rPr>
        <w:t>4.1 "数据口径幻觉"的分布特征</w:t>
      </w:r>
    </w:p>
    <w:p>
      <w:pPr>
        <w:spacing w:before="120" w:after="120" w:line="360" w:lineRule="auto"/>
        <w:ind w:firstLine="0"/>
        <w:jc w:val="center"/>
      </w:pPr>
      <w:r>
        <w:rPr>
          <w:rFonts w:ascii="Times New Roman" w:hAnsi="Times New Roman" w:eastAsia="黑体"/>
          <w:b w:val="0"/>
          <w:sz w:val="21"/>
        </w:rPr>
        <w:t>图4-1展示了23个平台口径一致性系数的分布情况（直方图）。</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图4-1 省级平台口径一致性系数分布</w:t>
      </w:r>
      <w:r>
        <w:rPr>
          <w:rFonts w:ascii="Times New Roman" w:hAnsi="Times New Roman" w:eastAsia="黑体"/>
          <w:b w:val="0"/>
          <w:sz w:val="21"/>
        </w:rPr>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CR值区间    平台数    占比    累积占比</w:t>
      </w:r>
    </w:p>
    <w:p>
      <w:pPr>
        <w:spacing w:line="360" w:lineRule="auto" w:before="0" w:after="0"/>
        <w:ind w:firstLine="420"/>
        <w:jc w:val="both"/>
      </w:pPr>
      <w:r>
        <w:rPr>
          <w:rFonts w:ascii="Times New Roman" w:hAnsi="Times New Roman" w:eastAsia="宋体"/>
          <w:b w:val="0"/>
          <w:sz w:val="24"/>
        </w:rPr>
        <w:t>0.00-0.05   2        8.7%    8.7%</w:t>
      </w:r>
    </w:p>
    <w:p>
      <w:pPr>
        <w:spacing w:line="360" w:lineRule="auto" w:before="0" w:after="0"/>
        <w:ind w:firstLine="420"/>
        <w:jc w:val="both"/>
      </w:pPr>
      <w:r>
        <w:rPr>
          <w:rFonts w:ascii="Times New Roman" w:hAnsi="Times New Roman" w:eastAsia="宋体"/>
          <w:b w:val="0"/>
          <w:sz w:val="24"/>
        </w:rPr>
        <w:t>0.05-0.10   5       21.7%   30.4%</w:t>
      </w:r>
    </w:p>
    <w:p>
      <w:pPr>
        <w:spacing w:line="360" w:lineRule="auto" w:before="0" w:after="0"/>
        <w:ind w:firstLine="420"/>
        <w:jc w:val="both"/>
      </w:pPr>
      <w:r>
        <w:rPr>
          <w:rFonts w:ascii="Times New Roman" w:hAnsi="Times New Roman" w:eastAsia="宋体"/>
          <w:b w:val="0"/>
          <w:sz w:val="24"/>
        </w:rPr>
        <w:t>0.10-0.15   4       17.4%   47.8%</w:t>
      </w:r>
    </w:p>
    <w:p>
      <w:pPr>
        <w:spacing w:line="360" w:lineRule="auto" w:before="0" w:after="0"/>
        <w:ind w:firstLine="420"/>
        <w:jc w:val="both"/>
      </w:pPr>
      <w:r>
        <w:rPr>
          <w:rFonts w:ascii="Times New Roman" w:hAnsi="Times New Roman" w:eastAsia="宋体"/>
          <w:b w:val="0"/>
          <w:sz w:val="24"/>
        </w:rPr>
        <w:t>0.15-0.20   4       17.4%   65.2%</w:t>
      </w:r>
    </w:p>
    <w:p>
      <w:pPr>
        <w:spacing w:line="360" w:lineRule="auto" w:before="0" w:after="0"/>
        <w:ind w:firstLine="420"/>
        <w:jc w:val="both"/>
      </w:pPr>
      <w:r>
        <w:rPr>
          <w:rFonts w:ascii="Times New Roman" w:hAnsi="Times New Roman" w:eastAsia="宋体"/>
          <w:b w:val="0"/>
          <w:sz w:val="24"/>
        </w:rPr>
        <w:t>0.20-0.25   3       13.0%   78.3%</w:t>
      </w:r>
    </w:p>
    <w:p>
      <w:pPr>
        <w:spacing w:line="360" w:lineRule="auto" w:before="0" w:after="0"/>
        <w:ind w:firstLine="420"/>
        <w:jc w:val="both"/>
      </w:pPr>
      <w:r>
        <w:rPr>
          <w:rFonts w:ascii="Times New Roman" w:hAnsi="Times New Roman" w:eastAsia="宋体"/>
          <w:b w:val="0"/>
          <w:sz w:val="24"/>
        </w:rPr>
        <w:t>0.25-0.30   3       13.0%   91.3%</w:t>
      </w:r>
    </w:p>
    <w:p>
      <w:pPr>
        <w:spacing w:line="360" w:lineRule="auto" w:before="0" w:after="0"/>
        <w:ind w:firstLine="420"/>
        <w:jc w:val="both"/>
      </w:pPr>
      <w:r>
        <w:rPr>
          <w:rFonts w:ascii="Times New Roman" w:hAnsi="Times New Roman" w:eastAsia="宋体"/>
          <w:b w:val="0"/>
          <w:sz w:val="24"/>
        </w:rPr>
        <w:t>&gt;0.30       2        8.7%  100.0%</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Pro采集系统+人工核验，2025年3月。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从分布形态来看，23个平台的CR呈现明显的</w:t>
      </w:r>
      <w:r>
        <w:rPr>
          <w:rFonts w:ascii="Times New Roman" w:hAnsi="Times New Roman" w:eastAsia="宋体"/>
          <w:b/>
          <w:sz w:val="24"/>
        </w:rPr>
        <w:t>右偏分布</w:t>
      </w:r>
      <w:r>
        <w:rPr>
          <w:rFonts w:ascii="Times New Roman" w:hAnsi="Times New Roman" w:eastAsia="宋体"/>
          <w:b w:val="0"/>
          <w:sz w:val="24"/>
        </w:rPr>
        <w:t>（right-skewed distribution）——大多数平台集中在低CR区间（0.05-0.15），仅有少数平台（浙江、上海、北京、广东）达到较高水平（&gt;0.20）。这种分布形态表明"数据口径幻觉"不是个别平台的"特例"，而是普遍存在的"常态"。</w:t>
      </w:r>
    </w:p>
    <w:p>
      <w:pPr>
        <w:spacing w:line="360" w:lineRule="auto" w:before="0" w:after="0"/>
        <w:ind w:firstLine="420"/>
        <w:jc w:val="both"/>
      </w:pPr>
      <w:r>
        <w:rPr>
          <w:rFonts w:ascii="Times New Roman" w:hAnsi="Times New Roman" w:eastAsia="宋体"/>
          <w:b w:val="0"/>
          <w:sz w:val="24"/>
        </w:rPr>
        <w:t>从统计特征来看，CR的均值为0.135，中位数为0.122，标准差为0.089，变异系数（CV）为0.659。中位数低于均值表明分布右偏，少数高CR平台拉高了均值。变异系数较高（&gt;0.50）表明平台间的CR差异显著，"数据口径幻觉"的程度存在明显的异质性。</w:t>
      </w:r>
    </w:p>
    <w:p>
      <w:pPr>
        <w:spacing w:line="360" w:lineRule="auto" w:before="0" w:after="0"/>
        <w:ind w:firstLine="420"/>
        <w:jc w:val="both"/>
      </w:pPr>
      <w:r>
        <w:rPr>
          <w:rFonts w:ascii="Times New Roman" w:hAnsi="Times New Roman" w:eastAsia="宋体"/>
          <w:b w:val="0"/>
          <w:sz w:val="24"/>
        </w:rPr>
        <w:t>从区域差异来看（表4-1），东部平台的CR均值（0.183）显著高于中部（0.091）和西部（0.101），但这种差异主要由浙江、上海、北京、广东四个高绩效平台拉动。如果剔除这四个"异常值"，东部平台的CR均值（0.089）与中西部平台基本持平。这表明"数据口径幻觉"在不同区域间普遍存在，区域差异主要体现在"顶尖平台"的表现上。</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表4-1 口径一致性系数的区域差异</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before="0" w:after="0"/>
              <w:jc w:val="center"/>
            </w:pPr>
            <w:r>
              <w:rPr>
                <w:rFonts w:ascii="Times New Roman" w:hAnsi="Times New Roman" w:eastAsia="宋体"/>
                <w:b w:val="0"/>
                <w:sz w:val="21"/>
              </w:rPr>
              <w:t>区域</w:t>
            </w:r>
          </w:p>
        </w:tc>
        <w:tc>
          <w:tcPr>
            <w:tcW w:type="dxa" w:w="1234"/>
          </w:tcPr>
          <w:p>
            <w:pPr>
              <w:spacing w:line="240" w:lineRule="auto" w:before="0" w:after="0"/>
              <w:jc w:val="center"/>
            </w:pPr>
            <w:r>
              <w:rPr>
                <w:rFonts w:ascii="Times New Roman" w:hAnsi="Times New Roman" w:eastAsia="宋体"/>
                <w:b w:val="0"/>
                <w:sz w:val="21"/>
              </w:rPr>
              <w:t>平台数</w:t>
            </w:r>
          </w:p>
        </w:tc>
        <w:tc>
          <w:tcPr>
            <w:tcW w:type="dxa" w:w="1234"/>
          </w:tcPr>
          <w:p>
            <w:pPr>
              <w:spacing w:line="240" w:lineRule="auto" w:before="0" w:after="0"/>
              <w:jc w:val="center"/>
            </w:pPr>
            <w:r>
              <w:rPr>
                <w:rFonts w:ascii="Times New Roman" w:hAnsi="Times New Roman" w:eastAsia="宋体"/>
                <w:b w:val="0"/>
                <w:sz w:val="21"/>
              </w:rPr>
              <w:t>CR均值</w:t>
            </w:r>
          </w:p>
        </w:tc>
        <w:tc>
          <w:tcPr>
            <w:tcW w:type="dxa" w:w="1234"/>
          </w:tcPr>
          <w:p>
            <w:pPr>
              <w:spacing w:line="240" w:lineRule="auto" w:before="0" w:after="0"/>
              <w:jc w:val="center"/>
            </w:pPr>
            <w:r>
              <w:rPr>
                <w:rFonts w:ascii="Times New Roman" w:hAnsi="Times New Roman" w:eastAsia="宋体"/>
                <w:b w:val="0"/>
                <w:sz w:val="21"/>
              </w:rPr>
              <w:t>CR中位数</w:t>
            </w:r>
          </w:p>
        </w:tc>
        <w:tc>
          <w:tcPr>
            <w:tcW w:type="dxa" w:w="1234"/>
          </w:tcPr>
          <w:p>
            <w:pPr>
              <w:spacing w:line="240" w:lineRule="auto" w:before="0" w:after="0"/>
              <w:jc w:val="center"/>
            </w:pPr>
            <w:r>
              <w:rPr>
                <w:rFonts w:ascii="Times New Roman" w:hAnsi="Times New Roman" w:eastAsia="宋体"/>
                <w:b w:val="0"/>
                <w:sz w:val="21"/>
              </w:rPr>
              <w:t>CR标准差</w:t>
            </w:r>
          </w:p>
        </w:tc>
        <w:tc>
          <w:tcPr>
            <w:tcW w:type="dxa" w:w="1234"/>
          </w:tcPr>
          <w:p>
            <w:pPr>
              <w:spacing w:line="240" w:lineRule="auto" w:before="0" w:after="0"/>
              <w:jc w:val="center"/>
            </w:pPr>
            <w:r>
              <w:rPr>
                <w:rFonts w:ascii="Times New Roman" w:hAnsi="Times New Roman" w:eastAsia="宋体"/>
                <w:b w:val="0"/>
                <w:sz w:val="21"/>
              </w:rPr>
              <w:t>最高值</w:t>
            </w:r>
          </w:p>
        </w:tc>
        <w:tc>
          <w:tcPr>
            <w:tcW w:type="dxa" w:w="1234"/>
          </w:tcPr>
          <w:p>
            <w:pPr>
              <w:spacing w:line="240" w:lineRule="auto" w:before="0" w:after="0"/>
              <w:jc w:val="center"/>
            </w:pPr>
            <w:r>
              <w:rPr>
                <w:rFonts w:ascii="Times New Roman" w:hAnsi="Times New Roman" w:eastAsia="宋体"/>
                <w:b w:val="0"/>
                <w:sz w:val="21"/>
              </w:rPr>
              <w:t>最低值</w:t>
            </w:r>
          </w:p>
        </w:tc>
      </w:tr>
      <w:tr>
        <w:tc>
          <w:tcPr>
            <w:tcW w:type="dxa" w:w="1234"/>
          </w:tcPr>
          <w:p>
            <w:pPr>
              <w:spacing w:line="240" w:lineRule="auto" w:before="0" w:after="0"/>
              <w:jc w:val="center"/>
            </w:pPr>
            <w:r>
              <w:rPr>
                <w:rFonts w:ascii="Times New Roman" w:hAnsi="Times New Roman" w:eastAsia="宋体"/>
                <w:b w:val="0"/>
                <w:sz w:val="21"/>
              </w:rPr>
              <w:t>东部</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0.183</w:t>
            </w:r>
          </w:p>
        </w:tc>
        <w:tc>
          <w:tcPr>
            <w:tcW w:type="dxa" w:w="1234"/>
          </w:tcPr>
          <w:p>
            <w:pPr>
              <w:spacing w:line="240" w:lineRule="auto" w:before="0" w:after="0"/>
              <w:jc w:val="center"/>
            </w:pPr>
            <w:r>
              <w:rPr>
                <w:rFonts w:ascii="Times New Roman" w:hAnsi="Times New Roman" w:eastAsia="宋体"/>
                <w:b w:val="0"/>
                <w:sz w:val="21"/>
              </w:rPr>
              <w:t>0.140</w:t>
            </w:r>
          </w:p>
        </w:tc>
        <w:tc>
          <w:tcPr>
            <w:tcW w:type="dxa" w:w="1234"/>
          </w:tcPr>
          <w:p>
            <w:pPr>
              <w:spacing w:line="240" w:lineRule="auto" w:before="0" w:after="0"/>
              <w:jc w:val="center"/>
            </w:pPr>
            <w:r>
              <w:rPr>
                <w:rFonts w:ascii="Times New Roman" w:hAnsi="Times New Roman" w:eastAsia="宋体"/>
                <w:b w:val="0"/>
                <w:sz w:val="21"/>
              </w:rPr>
              <w:t>0.102</w:t>
            </w:r>
          </w:p>
        </w:tc>
        <w:tc>
          <w:tcPr>
            <w:tcW w:type="dxa" w:w="1234"/>
          </w:tcPr>
          <w:p>
            <w:pPr>
              <w:spacing w:line="240" w:lineRule="auto" w:before="0" w:after="0"/>
              <w:jc w:val="center"/>
            </w:pPr>
            <w:r>
              <w:rPr>
                <w:rFonts w:ascii="Times New Roman" w:hAnsi="Times New Roman" w:eastAsia="宋体"/>
                <w:b w:val="0"/>
                <w:sz w:val="21"/>
              </w:rPr>
              <w:t>0.298(浙江)</w:t>
            </w:r>
          </w:p>
        </w:tc>
        <w:tc>
          <w:tcPr>
            <w:tcW w:type="dxa" w:w="1234"/>
          </w:tcPr>
          <w:p>
            <w:pPr>
              <w:spacing w:line="240" w:lineRule="auto" w:before="0" w:after="0"/>
              <w:jc w:val="center"/>
            </w:pPr>
            <w:r>
              <w:rPr>
                <w:rFonts w:ascii="Times New Roman" w:hAnsi="Times New Roman" w:eastAsia="宋体"/>
                <w:b w:val="0"/>
                <w:sz w:val="21"/>
              </w:rPr>
              <w:t>0.080(海南)</w:t>
            </w:r>
          </w:p>
        </w:tc>
      </w:tr>
      <w:tr>
        <w:tc>
          <w:tcPr>
            <w:tcW w:type="dxa" w:w="1234"/>
          </w:tcPr>
          <w:p>
            <w:pPr>
              <w:spacing w:line="240" w:lineRule="auto" w:before="0" w:after="0"/>
              <w:jc w:val="center"/>
            </w:pPr>
            <w:r>
              <w:rPr>
                <w:rFonts w:ascii="Times New Roman" w:hAnsi="Times New Roman" w:eastAsia="宋体"/>
                <w:b w:val="0"/>
                <w:sz w:val="21"/>
              </w:rPr>
              <w:t>中部</w:t>
            </w:r>
          </w:p>
        </w:tc>
        <w:tc>
          <w:tcPr>
            <w:tcW w:type="dxa" w:w="1234"/>
          </w:tcPr>
          <w:p>
            <w:pPr>
              <w:spacing w:line="240" w:lineRule="auto" w:before="0" w:after="0"/>
              <w:jc w:val="center"/>
            </w:pPr>
            <w:r>
              <w:rPr>
                <w:rFonts w:ascii="Times New Roman" w:hAnsi="Times New Roman" w:eastAsia="宋体"/>
                <w:b w:val="0"/>
                <w:sz w:val="21"/>
              </w:rPr>
              <w:t>6</w:t>
            </w:r>
          </w:p>
        </w:tc>
        <w:tc>
          <w:tcPr>
            <w:tcW w:type="dxa" w:w="1234"/>
          </w:tcPr>
          <w:p>
            <w:pPr>
              <w:spacing w:line="240" w:lineRule="auto" w:before="0" w:after="0"/>
              <w:jc w:val="center"/>
            </w:pPr>
            <w:r>
              <w:rPr>
                <w:rFonts w:ascii="Times New Roman" w:hAnsi="Times New Roman" w:eastAsia="宋体"/>
                <w:b w:val="0"/>
                <w:sz w:val="21"/>
              </w:rPr>
              <w:t>0.091</w:t>
            </w:r>
          </w:p>
        </w:tc>
        <w:tc>
          <w:tcPr>
            <w:tcW w:type="dxa" w:w="1234"/>
          </w:tcPr>
          <w:p>
            <w:pPr>
              <w:spacing w:line="240" w:lineRule="auto" w:before="0" w:after="0"/>
              <w:jc w:val="center"/>
            </w:pPr>
            <w:r>
              <w:rPr>
                <w:rFonts w:ascii="Times New Roman" w:hAnsi="Times New Roman" w:eastAsia="宋体"/>
                <w:b w:val="0"/>
                <w:sz w:val="21"/>
              </w:rPr>
              <w:t>0.085</w:t>
            </w:r>
          </w:p>
        </w:tc>
        <w:tc>
          <w:tcPr>
            <w:tcW w:type="dxa" w:w="1234"/>
          </w:tcPr>
          <w:p>
            <w:pPr>
              <w:spacing w:line="240" w:lineRule="auto" w:before="0" w:after="0"/>
              <w:jc w:val="center"/>
            </w:pPr>
            <w:r>
              <w:rPr>
                <w:rFonts w:ascii="Times New Roman" w:hAnsi="Times New Roman" w:eastAsia="宋体"/>
                <w:b w:val="0"/>
                <w:sz w:val="21"/>
              </w:rPr>
              <w:t>0.052</w:t>
            </w:r>
          </w:p>
        </w:tc>
        <w:tc>
          <w:tcPr>
            <w:tcW w:type="dxa" w:w="1234"/>
          </w:tcPr>
          <w:p>
            <w:pPr>
              <w:spacing w:line="240" w:lineRule="auto" w:before="0" w:after="0"/>
              <w:jc w:val="center"/>
            </w:pPr>
            <w:r>
              <w:rPr>
                <w:rFonts w:ascii="Times New Roman" w:hAnsi="Times New Roman" w:eastAsia="宋体"/>
                <w:b w:val="0"/>
                <w:sz w:val="21"/>
              </w:rPr>
              <w:t>0.160(重庆)</w:t>
            </w:r>
          </w:p>
        </w:tc>
        <w:tc>
          <w:tcPr>
            <w:tcW w:type="dxa" w:w="1234"/>
          </w:tcPr>
          <w:p>
            <w:pPr>
              <w:spacing w:line="240" w:lineRule="auto" w:before="0" w:after="0"/>
              <w:jc w:val="center"/>
            </w:pPr>
            <w:r>
              <w:rPr>
                <w:rFonts w:ascii="Times New Roman" w:hAnsi="Times New Roman" w:eastAsia="宋体"/>
                <w:b w:val="0"/>
                <w:sz w:val="21"/>
              </w:rPr>
              <w:t>0.016(山东)</w:t>
            </w:r>
          </w:p>
        </w:tc>
      </w:tr>
      <w:tr>
        <w:tc>
          <w:tcPr>
            <w:tcW w:type="dxa" w:w="1234"/>
          </w:tcPr>
          <w:p>
            <w:pPr>
              <w:spacing w:line="240" w:lineRule="auto" w:before="0" w:after="0"/>
              <w:jc w:val="center"/>
            </w:pPr>
            <w:r>
              <w:rPr>
                <w:rFonts w:ascii="Times New Roman" w:hAnsi="Times New Roman" w:eastAsia="宋体"/>
                <w:b w:val="0"/>
                <w:sz w:val="21"/>
              </w:rPr>
              <w:t>西部</w:t>
            </w:r>
          </w:p>
        </w:tc>
        <w:tc>
          <w:tcPr>
            <w:tcW w:type="dxa" w:w="1234"/>
          </w:tcPr>
          <w:p>
            <w:pPr>
              <w:spacing w:line="240" w:lineRule="auto" w:before="0" w:after="0"/>
              <w:jc w:val="center"/>
            </w:pPr>
            <w:r>
              <w:rPr>
                <w:rFonts w:ascii="Times New Roman" w:hAnsi="Times New Roman" w:eastAsia="宋体"/>
                <w:b w:val="0"/>
                <w:sz w:val="21"/>
              </w:rPr>
              <w:t>5</w:t>
            </w:r>
          </w:p>
        </w:tc>
        <w:tc>
          <w:tcPr>
            <w:tcW w:type="dxa" w:w="1234"/>
          </w:tcPr>
          <w:p>
            <w:pPr>
              <w:spacing w:line="240" w:lineRule="auto" w:before="0" w:after="0"/>
              <w:jc w:val="center"/>
            </w:pPr>
            <w:r>
              <w:rPr>
                <w:rFonts w:ascii="Times New Roman" w:hAnsi="Times New Roman" w:eastAsia="宋体"/>
                <w:b w:val="0"/>
                <w:sz w:val="21"/>
              </w:rPr>
              <w:t>0.101</w:t>
            </w:r>
          </w:p>
        </w:tc>
        <w:tc>
          <w:tcPr>
            <w:tcW w:type="dxa" w:w="1234"/>
          </w:tcPr>
          <w:p>
            <w:pPr>
              <w:spacing w:line="240" w:lineRule="auto" w:before="0" w:after="0"/>
              <w:jc w:val="center"/>
            </w:pPr>
            <w:r>
              <w:rPr>
                <w:rFonts w:ascii="Times New Roman" w:hAnsi="Times New Roman" w:eastAsia="宋体"/>
                <w:b w:val="0"/>
                <w:sz w:val="21"/>
              </w:rPr>
              <w:t>0.080</w:t>
            </w:r>
          </w:p>
        </w:tc>
        <w:tc>
          <w:tcPr>
            <w:tcW w:type="dxa" w:w="1234"/>
          </w:tcPr>
          <w:p>
            <w:pPr>
              <w:spacing w:line="240" w:lineRule="auto" w:before="0" w:after="0"/>
              <w:jc w:val="center"/>
            </w:pPr>
            <w:r>
              <w:rPr>
                <w:rFonts w:ascii="Times New Roman" w:hAnsi="Times New Roman" w:eastAsia="宋体"/>
                <w:b w:val="0"/>
                <w:sz w:val="21"/>
              </w:rPr>
              <w:t>0.064</w:t>
            </w:r>
          </w:p>
        </w:tc>
        <w:tc>
          <w:tcPr>
            <w:tcW w:type="dxa" w:w="1234"/>
          </w:tcPr>
          <w:p>
            <w:pPr>
              <w:spacing w:line="240" w:lineRule="auto" w:before="0" w:after="0"/>
              <w:jc w:val="center"/>
            </w:pPr>
            <w:r>
              <w:rPr>
                <w:rFonts w:ascii="Times New Roman" w:hAnsi="Times New Roman" w:eastAsia="宋体"/>
                <w:b w:val="0"/>
                <w:sz w:val="21"/>
              </w:rPr>
              <w:t>0.200(广东)</w:t>
            </w:r>
          </w:p>
        </w:tc>
        <w:tc>
          <w:tcPr>
            <w:tcW w:type="dxa" w:w="1234"/>
          </w:tcPr>
          <w:p>
            <w:pPr>
              <w:spacing w:line="240" w:lineRule="auto" w:before="0" w:after="0"/>
              <w:jc w:val="center"/>
            </w:pPr>
            <w:r>
              <w:rPr>
                <w:rFonts w:ascii="Times New Roman" w:hAnsi="Times New Roman" w:eastAsia="宋体"/>
                <w:b w:val="0"/>
                <w:sz w:val="21"/>
              </w:rPr>
              <w:t>0.053(贵州)</w:t>
            </w:r>
          </w:p>
        </w:tc>
      </w:tr>
      <w:tr>
        <w:tc>
          <w:tcPr>
            <w:tcW w:type="dxa" w:w="1234"/>
          </w:tcPr>
          <w:p>
            <w:pPr>
              <w:spacing w:line="240" w:lineRule="auto" w:before="0" w:after="0"/>
              <w:jc w:val="center"/>
            </w:pPr>
            <w:r>
              <w:rPr>
                <w:rFonts w:ascii="Times New Roman" w:hAnsi="Times New Roman" w:eastAsia="宋体"/>
                <w:b w:val="0"/>
                <w:sz w:val="21"/>
              </w:rPr>
              <w:t>东北</w:t>
            </w:r>
          </w:p>
        </w:tc>
        <w:tc>
          <w:tcPr>
            <w:tcW w:type="dxa" w:w="1234"/>
          </w:tcPr>
          <w:p>
            <w:pPr>
              <w:spacing w:line="240" w:lineRule="auto" w:before="0" w:after="0"/>
              <w:jc w:val="center"/>
            </w:pPr>
            <w:r>
              <w:rPr>
                <w:rFonts w:ascii="Times New Roman" w:hAnsi="Times New Roman" w:eastAsia="宋体"/>
                <w:b w:val="0"/>
                <w:sz w:val="21"/>
              </w:rPr>
              <w:t>2</w:t>
            </w:r>
          </w:p>
        </w:tc>
        <w:tc>
          <w:tcPr>
            <w:tcW w:type="dxa" w:w="1234"/>
          </w:tcPr>
          <w:p>
            <w:pPr>
              <w:spacing w:line="240" w:lineRule="auto" w:before="0" w:after="0"/>
              <w:jc w:val="center"/>
            </w:pPr>
            <w:r>
              <w:rPr>
                <w:rFonts w:ascii="Times New Roman" w:hAnsi="Times New Roman" w:eastAsia="宋体"/>
                <w:b w:val="0"/>
                <w:sz w:val="21"/>
              </w:rPr>
              <w:t>0.104</w:t>
            </w:r>
          </w:p>
        </w:tc>
        <w:tc>
          <w:tcPr>
            <w:tcW w:type="dxa" w:w="1234"/>
          </w:tcPr>
          <w:p>
            <w:pPr>
              <w:spacing w:line="240" w:lineRule="auto" w:before="0" w:after="0"/>
              <w:jc w:val="center"/>
            </w:pPr>
            <w:r>
              <w:rPr>
                <w:rFonts w:ascii="Times New Roman" w:hAnsi="Times New Roman" w:eastAsia="宋体"/>
                <w:b w:val="0"/>
                <w:sz w:val="21"/>
              </w:rPr>
              <w:t>0.104</w:t>
            </w:r>
          </w:p>
        </w:tc>
        <w:tc>
          <w:tcPr>
            <w:tcW w:type="dxa" w:w="1234"/>
          </w:tcPr>
          <w:p>
            <w:pPr>
              <w:spacing w:line="240" w:lineRule="auto" w:before="0" w:after="0"/>
              <w:jc w:val="center"/>
            </w:pPr>
            <w:r>
              <w:rPr>
                <w:rFonts w:ascii="Times New Roman" w:hAnsi="Times New Roman" w:eastAsia="宋体"/>
                <w:b w:val="0"/>
                <w:sz w:val="21"/>
              </w:rPr>
              <w:t>0.060</w:t>
            </w:r>
          </w:p>
        </w:tc>
        <w:tc>
          <w:tcPr>
            <w:tcW w:type="dxa" w:w="1234"/>
          </w:tcPr>
          <w:p>
            <w:pPr>
              <w:spacing w:line="240" w:lineRule="auto" w:before="0" w:after="0"/>
              <w:jc w:val="center"/>
            </w:pPr>
            <w:r>
              <w:rPr>
                <w:rFonts w:ascii="Times New Roman" w:hAnsi="Times New Roman" w:eastAsia="宋体"/>
                <w:b w:val="0"/>
                <w:sz w:val="21"/>
              </w:rPr>
              <w:t>0.140(辽宁)</w:t>
            </w:r>
          </w:p>
        </w:tc>
        <w:tc>
          <w:tcPr>
            <w:tcW w:type="dxa" w:w="1234"/>
          </w:tcPr>
          <w:p>
            <w:pPr>
              <w:spacing w:line="240" w:lineRule="auto" w:before="0" w:after="0"/>
              <w:jc w:val="center"/>
            </w:pPr>
            <w:r>
              <w:rPr>
                <w:rFonts w:ascii="Times New Roman" w:hAnsi="Times New Roman" w:eastAsia="宋体"/>
                <w:b w:val="0"/>
                <w:sz w:val="21"/>
              </w:rPr>
              <w:t>0.068(吉林)</w:t>
            </w:r>
          </w:p>
        </w:tc>
      </w:tr>
      <w:tr>
        <w:tc>
          <w:tcPr>
            <w:tcW w:type="dxa" w:w="1234"/>
          </w:tcPr>
          <w:p>
            <w:pPr>
              <w:spacing w:line="240" w:lineRule="auto" w:before="0" w:after="0"/>
              <w:jc w:val="center"/>
            </w:pPr>
            <w:r>
              <w:rPr>
                <w:rFonts w:ascii="Times New Roman" w:hAnsi="Times New Roman" w:eastAsia="宋体"/>
                <w:b w:val="0"/>
                <w:sz w:val="21"/>
              </w:rPr>
              <w:t>总体</w:t>
            </w:r>
          </w:p>
        </w:tc>
        <w:tc>
          <w:tcPr>
            <w:tcW w:type="dxa" w:w="1234"/>
          </w:tcPr>
          <w:p>
            <w:pPr>
              <w:spacing w:line="240" w:lineRule="auto" w:before="0" w:after="0"/>
              <w:jc w:val="center"/>
            </w:pPr>
            <w:r>
              <w:rPr>
                <w:rFonts w:ascii="Times New Roman" w:hAnsi="Times New Roman" w:eastAsia="宋体"/>
                <w:b w:val="0"/>
                <w:sz w:val="21"/>
              </w:rPr>
              <w:t>23</w:t>
            </w:r>
          </w:p>
        </w:tc>
        <w:tc>
          <w:tcPr>
            <w:tcW w:type="dxa" w:w="1234"/>
          </w:tcPr>
          <w:p>
            <w:pPr>
              <w:spacing w:line="240" w:lineRule="auto" w:before="0" w:after="0"/>
              <w:jc w:val="center"/>
            </w:pPr>
            <w:r>
              <w:rPr>
                <w:rFonts w:ascii="Times New Roman" w:hAnsi="Times New Roman" w:eastAsia="宋体"/>
                <w:b w:val="0"/>
                <w:sz w:val="21"/>
              </w:rPr>
              <w:t>0.135</w:t>
            </w:r>
          </w:p>
        </w:tc>
        <w:tc>
          <w:tcPr>
            <w:tcW w:type="dxa" w:w="1234"/>
          </w:tcPr>
          <w:p>
            <w:pPr>
              <w:spacing w:line="240" w:lineRule="auto" w:before="0" w:after="0"/>
              <w:jc w:val="center"/>
            </w:pPr>
            <w:r>
              <w:rPr>
                <w:rFonts w:ascii="Times New Roman" w:hAnsi="Times New Roman" w:eastAsia="宋体"/>
                <w:b w:val="0"/>
                <w:sz w:val="21"/>
              </w:rPr>
              <w:t>0.122</w:t>
            </w:r>
          </w:p>
        </w:tc>
        <w:tc>
          <w:tcPr>
            <w:tcW w:type="dxa" w:w="1234"/>
          </w:tcPr>
          <w:p>
            <w:pPr>
              <w:spacing w:line="240" w:lineRule="auto" w:before="0" w:after="0"/>
              <w:jc w:val="center"/>
            </w:pPr>
            <w:r>
              <w:rPr>
                <w:rFonts w:ascii="Times New Roman" w:hAnsi="Times New Roman" w:eastAsia="宋体"/>
                <w:b w:val="0"/>
                <w:sz w:val="21"/>
              </w:rPr>
              <w:t>0.089</w:t>
            </w:r>
          </w:p>
        </w:tc>
        <w:tc>
          <w:tcPr>
            <w:tcW w:type="dxa" w:w="1234"/>
          </w:tcPr>
          <w:p>
            <w:pPr>
              <w:spacing w:line="240" w:lineRule="auto" w:before="0" w:after="0"/>
              <w:jc w:val="center"/>
            </w:pPr>
            <w:r>
              <w:rPr>
                <w:rFonts w:ascii="Times New Roman" w:hAnsi="Times New Roman" w:eastAsia="宋体"/>
                <w:b w:val="0"/>
                <w:sz w:val="21"/>
              </w:rPr>
              <w:t>0.298</w:t>
            </w:r>
          </w:p>
        </w:tc>
        <w:tc>
          <w:tcPr>
            <w:tcW w:type="dxa" w:w="1234"/>
          </w:tcPr>
          <w:p>
            <w:pPr>
              <w:spacing w:line="240" w:lineRule="auto" w:before="0" w:after="0"/>
              <w:jc w:val="center"/>
            </w:pPr>
            <w:r>
              <w:rPr>
                <w:rFonts w:ascii="Times New Roman" w:hAnsi="Times New Roman" w:eastAsia="宋体"/>
                <w:b w:val="0"/>
                <w:sz w:val="21"/>
              </w:rPr>
              <w:t>0.016</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Pro采集系统+人工核验，2025年3月。</w:t>
      </w:r>
      <w:r>
        <w:rPr>
          <w:rFonts w:ascii="Times New Roman" w:hAnsi="Times New Roman" w:eastAsia="宋体"/>
          <w:b w:val="0"/>
          <w:sz w:val="24"/>
        </w:rPr>
      </w:r>
    </w:p>
    <w:p>
      <w:pPr>
        <w:pStyle w:val="Heading3"/>
        <w:spacing w:before="240" w:after="120" w:line="360" w:lineRule="auto"/>
        <w:ind w:firstLine="0"/>
        <w:jc w:val="left"/>
      </w:pPr>
      <w:r>
        <w:rPr>
          <w:rFonts w:ascii="Times New Roman" w:hAnsi="Times New Roman" w:eastAsia="黑体"/>
          <w:b/>
          <w:sz w:val="28"/>
        </w:rPr>
        <w:t>4.2 "数据口径幻觉"的成因分析</w:t>
      </w:r>
    </w:p>
    <w:p>
      <w:pPr>
        <w:spacing w:line="360" w:lineRule="auto" w:before="0" w:after="0"/>
        <w:ind w:firstLine="420"/>
        <w:jc w:val="both"/>
      </w:pPr>
      <w:r>
        <w:rPr>
          <w:rFonts w:ascii="Times New Roman" w:hAnsi="Times New Roman" w:eastAsia="宋体"/>
          <w:b w:val="0"/>
          <w:sz w:val="24"/>
        </w:rPr>
        <w:t>基于实地调研和数据分析，本研究识别了导致"数据口径幻觉"的五类成因机制（表4-2）。</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表4-2 "数据口径幻觉"的成因机制</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成因类型</w:t>
            </w:r>
          </w:p>
        </w:tc>
        <w:tc>
          <w:tcPr>
            <w:tcW w:type="dxa" w:w="2160"/>
          </w:tcPr>
          <w:p>
            <w:pPr>
              <w:spacing w:line="240" w:lineRule="auto" w:before="0" w:after="0"/>
              <w:jc w:val="center"/>
            </w:pPr>
            <w:r>
              <w:rPr>
                <w:rFonts w:ascii="Times New Roman" w:hAnsi="Times New Roman" w:eastAsia="宋体"/>
                <w:b w:val="0"/>
                <w:sz w:val="21"/>
              </w:rPr>
              <w:t>具体表现</w:t>
            </w:r>
          </w:p>
        </w:tc>
        <w:tc>
          <w:tcPr>
            <w:tcW w:type="dxa" w:w="2160"/>
          </w:tcPr>
          <w:p>
            <w:pPr>
              <w:spacing w:line="240" w:lineRule="auto" w:before="0" w:after="0"/>
              <w:jc w:val="center"/>
            </w:pPr>
            <w:r>
              <w:rPr>
                <w:rFonts w:ascii="Times New Roman" w:hAnsi="Times New Roman" w:eastAsia="宋体"/>
                <w:b w:val="0"/>
                <w:sz w:val="21"/>
              </w:rPr>
              <w:t>作用机制</w:t>
            </w:r>
          </w:p>
        </w:tc>
        <w:tc>
          <w:tcPr>
            <w:tcW w:type="dxa" w:w="2160"/>
          </w:tcPr>
          <w:p>
            <w:pPr>
              <w:spacing w:line="240" w:lineRule="auto" w:before="0" w:after="0"/>
              <w:jc w:val="center"/>
            </w:pPr>
            <w:r>
              <w:rPr>
                <w:rFonts w:ascii="Times New Roman" w:hAnsi="Times New Roman" w:eastAsia="宋体"/>
                <w:b w:val="0"/>
                <w:sz w:val="21"/>
              </w:rPr>
              <w:t>典型案例</w:t>
            </w:r>
          </w:p>
        </w:tc>
      </w:tr>
      <w:tr>
        <w:tc>
          <w:tcPr>
            <w:tcW w:type="dxa" w:w="2160"/>
          </w:tcPr>
          <w:p>
            <w:pPr>
              <w:spacing w:line="240" w:lineRule="auto" w:before="0" w:after="0"/>
              <w:jc w:val="center"/>
            </w:pPr>
            <w:r>
              <w:rPr>
                <w:rFonts w:ascii="Times New Roman" w:hAnsi="Times New Roman" w:eastAsia="宋体"/>
                <w:b w:val="0"/>
                <w:sz w:val="21"/>
              </w:rPr>
              <w:t>评估导向驱动</w:t>
            </w:r>
          </w:p>
        </w:tc>
        <w:tc>
          <w:tcPr>
            <w:tcW w:type="dxa" w:w="2160"/>
          </w:tcPr>
          <w:p>
            <w:pPr>
              <w:spacing w:line="240" w:lineRule="auto" w:before="0" w:after="0"/>
              <w:jc w:val="center"/>
            </w:pPr>
            <w:r>
              <w:rPr>
                <w:rFonts w:ascii="Times New Roman" w:hAnsi="Times New Roman" w:eastAsia="宋体"/>
                <w:b w:val="0"/>
                <w:sz w:val="21"/>
              </w:rPr>
              <w:t>批量上传空壳数据集</w:t>
            </w:r>
          </w:p>
        </w:tc>
        <w:tc>
          <w:tcPr>
            <w:tcW w:type="dxa" w:w="2160"/>
          </w:tcPr>
          <w:p>
            <w:pPr>
              <w:spacing w:line="240" w:lineRule="auto" w:before="0" w:after="0"/>
              <w:jc w:val="center"/>
            </w:pPr>
            <w:r>
              <w:rPr>
                <w:rFonts w:ascii="Times New Roman" w:hAnsi="Times New Roman" w:eastAsia="宋体"/>
                <w:b w:val="0"/>
                <w:sz w:val="21"/>
              </w:rPr>
              <w:t>评估指标→行为激励→数量最大化</w:t>
            </w:r>
          </w:p>
        </w:tc>
        <w:tc>
          <w:tcPr>
            <w:tcW w:type="dxa" w:w="2160"/>
          </w:tcPr>
          <w:p>
            <w:pPr>
              <w:spacing w:line="240" w:lineRule="auto" w:before="0" w:after="0"/>
              <w:jc w:val="center"/>
            </w:pPr>
            <w:r>
              <w:rPr>
                <w:rFonts w:ascii="Times New Roman" w:hAnsi="Times New Roman" w:eastAsia="宋体"/>
                <w:b w:val="0"/>
                <w:sz w:val="21"/>
              </w:rPr>
              <w:t>山东</w:t>
            </w:r>
          </w:p>
        </w:tc>
      </w:tr>
      <w:tr>
        <w:tc>
          <w:tcPr>
            <w:tcW w:type="dxa" w:w="2160"/>
          </w:tcPr>
          <w:p>
            <w:pPr>
              <w:spacing w:line="240" w:lineRule="auto" w:before="0" w:after="0"/>
              <w:jc w:val="center"/>
            </w:pPr>
            <w:r>
              <w:rPr>
                <w:rFonts w:ascii="Times New Roman" w:hAnsi="Times New Roman" w:eastAsia="宋体"/>
                <w:b w:val="0"/>
                <w:sz w:val="21"/>
              </w:rPr>
              <w:t>空壳目录泛滥</w:t>
            </w:r>
          </w:p>
        </w:tc>
        <w:tc>
          <w:tcPr>
            <w:tcW w:type="dxa" w:w="2160"/>
          </w:tcPr>
          <w:p>
            <w:pPr>
              <w:spacing w:line="240" w:lineRule="auto" w:before="0" w:after="0"/>
              <w:jc w:val="center"/>
            </w:pPr>
            <w:r>
              <w:rPr>
                <w:rFonts w:ascii="Times New Roman" w:hAnsi="Times New Roman" w:eastAsia="宋体"/>
                <w:b w:val="0"/>
                <w:sz w:val="21"/>
              </w:rPr>
              <w:t>创建仅有元数据的虚拟目录</w:t>
            </w:r>
          </w:p>
        </w:tc>
        <w:tc>
          <w:tcPr>
            <w:tcW w:type="dxa" w:w="2160"/>
          </w:tcPr>
          <w:p>
            <w:pPr>
              <w:spacing w:line="240" w:lineRule="auto" w:before="0" w:after="0"/>
              <w:jc w:val="center"/>
            </w:pPr>
            <w:r>
              <w:rPr>
                <w:rFonts w:ascii="Times New Roman" w:hAnsi="Times New Roman" w:eastAsia="宋体"/>
                <w:b w:val="0"/>
                <w:sz w:val="21"/>
              </w:rPr>
              <w:t>技术门槛低→创建成本低→数量膨胀</w:t>
            </w:r>
          </w:p>
        </w:tc>
        <w:tc>
          <w:tcPr>
            <w:tcW w:type="dxa" w:w="2160"/>
          </w:tcPr>
          <w:p>
            <w:pPr>
              <w:spacing w:line="240" w:lineRule="auto" w:before="0" w:after="0"/>
              <w:jc w:val="center"/>
            </w:pPr>
            <w:r>
              <w:rPr>
                <w:rFonts w:ascii="Times New Roman" w:hAnsi="Times New Roman" w:eastAsia="宋体"/>
                <w:b w:val="0"/>
                <w:sz w:val="21"/>
              </w:rPr>
              <w:t>湖北</w:t>
            </w:r>
          </w:p>
        </w:tc>
      </w:tr>
      <w:tr>
        <w:tc>
          <w:tcPr>
            <w:tcW w:type="dxa" w:w="2160"/>
          </w:tcPr>
          <w:p>
            <w:pPr>
              <w:spacing w:line="240" w:lineRule="auto" w:before="0" w:after="0"/>
              <w:jc w:val="center"/>
            </w:pPr>
            <w:r>
              <w:rPr>
                <w:rFonts w:ascii="Times New Roman" w:hAnsi="Times New Roman" w:eastAsia="宋体"/>
                <w:b w:val="0"/>
                <w:sz w:val="21"/>
              </w:rPr>
              <w:t>切片重复发布</w:t>
            </w:r>
          </w:p>
        </w:tc>
        <w:tc>
          <w:tcPr>
            <w:tcW w:type="dxa" w:w="2160"/>
          </w:tcPr>
          <w:p>
            <w:pPr>
              <w:spacing w:line="240" w:lineRule="auto" w:before="0" w:after="0"/>
              <w:jc w:val="center"/>
            </w:pPr>
            <w:r>
              <w:rPr>
                <w:rFonts w:ascii="Times New Roman" w:hAnsi="Times New Roman" w:eastAsia="宋体"/>
                <w:b w:val="0"/>
                <w:sz w:val="21"/>
              </w:rPr>
              <w:t>同一数据按不同维度切片发布</w:t>
            </w:r>
          </w:p>
        </w:tc>
        <w:tc>
          <w:tcPr>
            <w:tcW w:type="dxa" w:w="2160"/>
          </w:tcPr>
          <w:p>
            <w:pPr>
              <w:spacing w:line="240" w:lineRule="auto" w:before="0" w:after="0"/>
              <w:jc w:val="center"/>
            </w:pPr>
            <w:r>
              <w:rPr>
                <w:rFonts w:ascii="Times New Roman" w:hAnsi="Times New Roman" w:eastAsia="宋体"/>
                <w:b w:val="0"/>
                <w:sz w:val="21"/>
              </w:rPr>
              <w:t>细分维度→重复计数→数量虚高</w:t>
            </w:r>
          </w:p>
        </w:tc>
        <w:tc>
          <w:tcPr>
            <w:tcW w:type="dxa" w:w="2160"/>
          </w:tcPr>
          <w:p>
            <w:pPr>
              <w:spacing w:line="240" w:lineRule="auto" w:before="0" w:after="0"/>
              <w:jc w:val="center"/>
            </w:pPr>
            <w:r>
              <w:rPr>
                <w:rFonts w:ascii="Times New Roman" w:hAnsi="Times New Roman" w:eastAsia="宋体"/>
                <w:b w:val="0"/>
                <w:sz w:val="21"/>
              </w:rPr>
              <w:t>海南</w:t>
            </w:r>
          </w:p>
        </w:tc>
      </w:tr>
      <w:tr>
        <w:tc>
          <w:tcPr>
            <w:tcW w:type="dxa" w:w="2160"/>
          </w:tcPr>
          <w:p>
            <w:pPr>
              <w:spacing w:line="240" w:lineRule="auto" w:before="0" w:after="0"/>
              <w:jc w:val="center"/>
            </w:pPr>
            <w:r>
              <w:rPr>
                <w:rFonts w:ascii="Times New Roman" w:hAnsi="Times New Roman" w:eastAsia="宋体"/>
                <w:b w:val="0"/>
                <w:sz w:val="21"/>
              </w:rPr>
              <w:t>格式偏差计入</w:t>
            </w:r>
          </w:p>
        </w:tc>
        <w:tc>
          <w:tcPr>
            <w:tcW w:type="dxa" w:w="2160"/>
          </w:tcPr>
          <w:p>
            <w:pPr>
              <w:spacing w:line="240" w:lineRule="auto" w:before="0" w:after="0"/>
              <w:jc w:val="center"/>
            </w:pPr>
            <w:r>
              <w:rPr>
                <w:rFonts w:ascii="Times New Roman" w:hAnsi="Times New Roman" w:eastAsia="宋体"/>
                <w:b w:val="0"/>
                <w:sz w:val="21"/>
              </w:rPr>
              <w:t>将不可机读格式计入目录</w:t>
            </w:r>
          </w:p>
        </w:tc>
        <w:tc>
          <w:tcPr>
            <w:tcW w:type="dxa" w:w="2160"/>
          </w:tcPr>
          <w:p>
            <w:pPr>
              <w:spacing w:line="240" w:lineRule="auto" w:before="0" w:after="0"/>
              <w:jc w:val="center"/>
            </w:pPr>
            <w:r>
              <w:rPr>
                <w:rFonts w:ascii="Times New Roman" w:hAnsi="Times New Roman" w:eastAsia="宋体"/>
                <w:b w:val="0"/>
                <w:sz w:val="21"/>
              </w:rPr>
              <w:t>口径宽泛→计入门槛低→数量膨胀</w:t>
            </w:r>
          </w:p>
        </w:tc>
        <w:tc>
          <w:tcPr>
            <w:tcW w:type="dxa" w:w="2160"/>
          </w:tcPr>
          <w:p>
            <w:pPr>
              <w:spacing w:line="240" w:lineRule="auto" w:before="0" w:after="0"/>
              <w:jc w:val="center"/>
            </w:pPr>
            <w:r>
              <w:rPr>
                <w:rFonts w:ascii="Times New Roman" w:hAnsi="Times New Roman" w:eastAsia="宋体"/>
                <w:b w:val="0"/>
                <w:sz w:val="21"/>
              </w:rPr>
              <w:t>四川</w:t>
            </w:r>
          </w:p>
        </w:tc>
      </w:tr>
      <w:tr>
        <w:tc>
          <w:tcPr>
            <w:tcW w:type="dxa" w:w="2160"/>
          </w:tcPr>
          <w:p>
            <w:pPr>
              <w:spacing w:line="240" w:lineRule="auto" w:before="0" w:after="0"/>
              <w:jc w:val="center"/>
            </w:pPr>
            <w:r>
              <w:rPr>
                <w:rFonts w:ascii="Times New Roman" w:hAnsi="Times New Roman" w:eastAsia="宋体"/>
                <w:b w:val="0"/>
                <w:sz w:val="21"/>
              </w:rPr>
              <w:t>更新停滞累积</w:t>
            </w:r>
          </w:p>
        </w:tc>
        <w:tc>
          <w:tcPr>
            <w:tcW w:type="dxa" w:w="2160"/>
          </w:tcPr>
          <w:p>
            <w:pPr>
              <w:spacing w:line="240" w:lineRule="auto" w:before="0" w:after="0"/>
              <w:jc w:val="center"/>
            </w:pPr>
            <w:r>
              <w:rPr>
                <w:rFonts w:ascii="Times New Roman" w:hAnsi="Times New Roman" w:eastAsia="宋体"/>
                <w:b w:val="0"/>
                <w:sz w:val="21"/>
              </w:rPr>
              <w:t>历史数据未清理，僵尸条目累积</w:t>
            </w:r>
          </w:p>
        </w:tc>
        <w:tc>
          <w:tcPr>
            <w:tcW w:type="dxa" w:w="2160"/>
          </w:tcPr>
          <w:p>
            <w:pPr>
              <w:spacing w:line="240" w:lineRule="auto" w:before="0" w:after="0"/>
              <w:jc w:val="center"/>
            </w:pPr>
            <w:r>
              <w:rPr>
                <w:rFonts w:ascii="Times New Roman" w:hAnsi="Times New Roman" w:eastAsia="宋体"/>
                <w:b w:val="0"/>
                <w:sz w:val="21"/>
              </w:rPr>
              <w:t>只增不减→历史累积→数量膨胀</w:t>
            </w:r>
          </w:p>
        </w:tc>
        <w:tc>
          <w:tcPr>
            <w:tcW w:type="dxa" w:w="2160"/>
          </w:tcPr>
          <w:p>
            <w:pPr>
              <w:spacing w:line="240" w:lineRule="auto" w:before="0" w:after="0"/>
              <w:jc w:val="center"/>
            </w:pPr>
            <w:r>
              <w:rPr>
                <w:rFonts w:ascii="Times New Roman" w:hAnsi="Times New Roman" w:eastAsia="宋体"/>
                <w:b w:val="0"/>
                <w:sz w:val="21"/>
              </w:rPr>
              <w:t>贵州</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数据来源：作者基于23个平台实地调研整理。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成因一：评估导向驱动。</w:t>
      </w:r>
      <w:r>
        <w:rPr>
          <w:rFonts w:ascii="Times New Roman" w:hAnsi="Times New Roman" w:eastAsia="宋体"/>
          <w:b w:val="0"/>
          <w:sz w:val="24"/>
        </w:rPr>
        <w:t xml:space="preserve"> 这是最核心的成因机制。当评估体系将"数据目录数量"作为核心绩效指标时，平台运营者面临强烈的激励去最大化目录数量。在"数量竞赛"的压力下，一些平台采取"批量上传"策略——将大量低质量、重复性甚至空壳的数据集批量导入平台，以快速提升目录数量。山东平台的极端案例（CR=0.016）正是这一机制的产物——其宣称的63,656个目录中，大量条目为仅有标题和描述的"空壳目录"，或重复发布同一数据的不同切片。从组织行为学的视角看，这种"批量上传"行为是"目标替代"（goal displacement）的典型表现——当组织将手段（目录数量）误认为目的（有效供给）时，就会采取与真实目标背道而驰的行为策略。</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成因二：空壳目录泛滥。</w:t>
      </w:r>
      <w:r>
        <w:rPr>
          <w:rFonts w:ascii="Times New Roman" w:hAnsi="Times New Roman" w:eastAsia="宋体"/>
          <w:b w:val="0"/>
          <w:sz w:val="24"/>
        </w:rPr>
        <w:t xml:space="preserve"> 部分平台的技术架构允许运营者创建仅有元数据而无实质数据文件的"虚拟目录"。这类目录在平台前端显示为"已开放数据集"，但用户点击下载时发现无数据可下。空壳目录的泛滥与平台的技术设计和审核机制有关——如果平台缺乏自动化的数据文件完整性校验，运营者就可以轻易创建空壳目录来"充数"。本研究在实地核验中发现，某些平台的空壳目录比例高达40%以上——这些目录仅有标题、描述和发布机构信息，但数据文件大小为0KB或不存在下载链接。空壳目录的存在不仅扭曲了评估结果，还严重损害了用户体验——用户在平台上检索到"感兴趣"的数据集，点击下载后却一无所获，这种"期望落差"会显著降低用户对平台的信任度和使用意愿。</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成因三：切片重复发布。</w:t>
      </w:r>
      <w:r>
        <w:rPr>
          <w:rFonts w:ascii="Times New Roman" w:hAnsi="Times New Roman" w:eastAsia="宋体"/>
          <w:b w:val="0"/>
          <w:sz w:val="24"/>
        </w:rPr>
        <w:t xml:space="preserve"> 同一数据集按不同维度（如按年份、按地区、按指标）切片发布后，每个切片都被计为一个独立的目录条目。例如，一个包含2015-2024年各省份GDP数据的综合数据集，被切片为"2015年GDP""2016年GDP"..."2024年GDP"以及"北京GDP""上海GDP"..."西藏GDP"等数十个条目。虽然每个切片确实包含不同的数据子集，但从用户利用的角度看，它们本质上是同一数据的不同视图。切片重复发布在技术上并非错误，但在统计口径上导致了"数量膨胀"。更复杂的是，某些平台对同一数据进行"多重切片"——既按年份切片，又按地区切片，还按指标切片——导致一个原始数据集被膨胀为数百个目录条目。这种"切片膨胀"在统计上显著夸大了平台的开放规模，但在实质上并未增加数据供给的多样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成因四：格式偏差计入。</w:t>
      </w:r>
      <w:r>
        <w:rPr>
          <w:rFonts w:ascii="Times New Roman" w:hAnsi="Times New Roman" w:eastAsia="宋体"/>
          <w:b w:val="0"/>
          <w:sz w:val="24"/>
        </w:rPr>
        <w:t xml:space="preserve"> 部分平台将PDF、图片、网页等不可机读格式的文件计入"数据集"目录。虽然这些文件确实包含政府信息，但它们不符合开放数据的"可机读性"标准，无法被自动化程序处理和分析。将不可机读格式计入目录，导致了"数量"与"可用性"之间的脱节。本研究在核验中发现，某些平台的PDF格式文件占比高达30%以上——这些文件虽然"可读"，但无法被机器自动解析和再利用。从数据利用的视角看，PDF格式的开放数据对于学术研究者和数据分析师而言几乎没有价值——他们需要花费大量时间进行格式转换和数据提取，才能将PDF中的信息转化为可分析的数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成因五：更新停滞累积。</w:t>
      </w:r>
      <w:r>
        <w:rPr>
          <w:rFonts w:ascii="Times New Roman" w:hAnsi="Times New Roman" w:eastAsia="宋体"/>
          <w:b w:val="0"/>
          <w:sz w:val="24"/>
        </w:rPr>
        <w:t xml:space="preserve"> 部分平台存在"只增不减"的问题——新数据不断上传，但过期数据和僵尸条目从未清理。随着时间的推移，历史累积的僵尸条目越来越多，目录数量持续增长，但有效供给并未同步增加。这种"只增不减"的累积效应导致了CR的持续下降。本研究发现，某些平台中超过一年未更新的数据集占比高达50%以上——这些数据集在技术上仍然"存在"，但在实质上已经"死亡"。更新停滞的深层原因在于平台缺乏数据生命周期管理机制——没有明确的数据下架标准，没有定期的数据质量审核，也没有激励运营者清理过期数据的制度安排。这种"只增不减"的管理模式导致了目录数量的持续膨胀和有效供给的相对萎缩。</w:t>
      </w:r>
    </w:p>
    <w:p>
      <w:pPr>
        <w:pStyle w:val="Heading3"/>
        <w:spacing w:before="240" w:after="120" w:line="360" w:lineRule="auto"/>
        <w:ind w:firstLine="0"/>
        <w:jc w:val="left"/>
      </w:pPr>
      <w:r>
        <w:rPr>
          <w:rFonts w:ascii="Times New Roman" w:hAnsi="Times New Roman" w:eastAsia="黑体"/>
          <w:b/>
          <w:sz w:val="28"/>
        </w:rPr>
        <w:t>4.3 "数据口径幻觉"的行为效应</w:t>
      </w:r>
    </w:p>
    <w:p>
      <w:pPr>
        <w:spacing w:line="360" w:lineRule="auto" w:before="0" w:after="0"/>
        <w:ind w:firstLine="420"/>
        <w:jc w:val="both"/>
      </w:pPr>
      <w:r>
        <w:rPr>
          <w:rFonts w:ascii="Times New Roman" w:hAnsi="Times New Roman" w:eastAsia="宋体"/>
          <w:b w:val="0"/>
          <w:sz w:val="24"/>
        </w:rPr>
        <w:t>"数据口径幻觉"不仅对评估结果造成扭曲，还对平台运营者、评估者和数据用户三方的行为产生了系统性影响（表4-3）。</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表4-3 "数据口径幻觉"的行为效应</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行为主体</w:t>
            </w:r>
          </w:p>
        </w:tc>
        <w:tc>
          <w:tcPr>
            <w:tcW w:type="dxa" w:w="2160"/>
          </w:tcPr>
          <w:p>
            <w:pPr>
              <w:spacing w:line="240" w:lineRule="auto" w:before="0" w:after="0"/>
              <w:jc w:val="center"/>
            </w:pPr>
            <w:r>
              <w:rPr>
                <w:rFonts w:ascii="Times New Roman" w:hAnsi="Times New Roman" w:eastAsia="宋体"/>
                <w:b w:val="0"/>
                <w:sz w:val="21"/>
              </w:rPr>
              <w:t>行为效应</w:t>
            </w:r>
          </w:p>
        </w:tc>
        <w:tc>
          <w:tcPr>
            <w:tcW w:type="dxa" w:w="2160"/>
          </w:tcPr>
          <w:p>
            <w:pPr>
              <w:spacing w:line="240" w:lineRule="auto" w:before="0" w:after="0"/>
              <w:jc w:val="center"/>
            </w:pPr>
            <w:r>
              <w:rPr>
                <w:rFonts w:ascii="Times New Roman" w:hAnsi="Times New Roman" w:eastAsia="宋体"/>
                <w:b w:val="0"/>
                <w:sz w:val="21"/>
              </w:rPr>
              <w:t>具体表现</w:t>
            </w:r>
          </w:p>
        </w:tc>
        <w:tc>
          <w:tcPr>
            <w:tcW w:type="dxa" w:w="2160"/>
          </w:tcPr>
          <w:p>
            <w:pPr>
              <w:spacing w:line="240" w:lineRule="auto" w:before="0" w:after="0"/>
              <w:jc w:val="center"/>
            </w:pPr>
            <w:r>
              <w:rPr>
                <w:rFonts w:ascii="Times New Roman" w:hAnsi="Times New Roman" w:eastAsia="宋体"/>
                <w:b w:val="0"/>
                <w:sz w:val="21"/>
              </w:rPr>
              <w:t>长期后果</w:t>
            </w:r>
          </w:p>
        </w:tc>
      </w:tr>
      <w:tr>
        <w:tc>
          <w:tcPr>
            <w:tcW w:type="dxa" w:w="2160"/>
          </w:tcPr>
          <w:p>
            <w:pPr>
              <w:spacing w:line="240" w:lineRule="auto" w:before="0" w:after="0"/>
              <w:jc w:val="center"/>
            </w:pPr>
            <w:r>
              <w:rPr>
                <w:rFonts w:ascii="Times New Roman" w:hAnsi="Times New Roman" w:eastAsia="宋体"/>
                <w:b w:val="0"/>
                <w:sz w:val="21"/>
              </w:rPr>
              <w:t>平台运营者</w:t>
            </w:r>
          </w:p>
        </w:tc>
        <w:tc>
          <w:tcPr>
            <w:tcW w:type="dxa" w:w="2160"/>
          </w:tcPr>
          <w:p>
            <w:pPr>
              <w:spacing w:line="240" w:lineRule="auto" w:before="0" w:after="0"/>
              <w:jc w:val="center"/>
            </w:pPr>
            <w:r>
              <w:rPr>
                <w:rFonts w:ascii="Times New Roman" w:hAnsi="Times New Roman" w:eastAsia="宋体"/>
                <w:b w:val="0"/>
                <w:sz w:val="21"/>
              </w:rPr>
              <w:t>数量最大化策略</w:t>
            </w:r>
          </w:p>
        </w:tc>
        <w:tc>
          <w:tcPr>
            <w:tcW w:type="dxa" w:w="2160"/>
          </w:tcPr>
          <w:p>
            <w:pPr>
              <w:spacing w:line="240" w:lineRule="auto" w:before="0" w:after="0"/>
              <w:jc w:val="center"/>
            </w:pPr>
            <w:r>
              <w:rPr>
                <w:rFonts w:ascii="Times New Roman" w:hAnsi="Times New Roman" w:eastAsia="宋体"/>
                <w:b w:val="0"/>
                <w:sz w:val="21"/>
              </w:rPr>
              <w:t>批量上传、空壳目录、切片发布</w:t>
            </w:r>
          </w:p>
        </w:tc>
        <w:tc>
          <w:tcPr>
            <w:tcW w:type="dxa" w:w="2160"/>
          </w:tcPr>
          <w:p>
            <w:pPr>
              <w:spacing w:line="240" w:lineRule="auto" w:before="0" w:after="0"/>
              <w:jc w:val="center"/>
            </w:pPr>
            <w:r>
              <w:rPr>
                <w:rFonts w:ascii="Times New Roman" w:hAnsi="Times New Roman" w:eastAsia="宋体"/>
                <w:b w:val="0"/>
                <w:sz w:val="21"/>
              </w:rPr>
              <w:t>资源错配、质量下降</w:t>
            </w:r>
          </w:p>
        </w:tc>
      </w:tr>
      <w:tr>
        <w:tc>
          <w:tcPr>
            <w:tcW w:type="dxa" w:w="2160"/>
          </w:tcPr>
          <w:p>
            <w:pPr>
              <w:spacing w:line="240" w:lineRule="auto" w:before="0" w:after="0"/>
              <w:jc w:val="center"/>
            </w:pPr>
            <w:r>
              <w:rPr>
                <w:rFonts w:ascii="Times New Roman" w:hAnsi="Times New Roman" w:eastAsia="宋体"/>
                <w:b w:val="0"/>
                <w:sz w:val="21"/>
              </w:rPr>
              <w:t>评估者</w:t>
            </w:r>
          </w:p>
        </w:tc>
        <w:tc>
          <w:tcPr>
            <w:tcW w:type="dxa" w:w="2160"/>
          </w:tcPr>
          <w:p>
            <w:pPr>
              <w:spacing w:line="240" w:lineRule="auto" w:before="0" w:after="0"/>
              <w:jc w:val="center"/>
            </w:pPr>
            <w:r>
              <w:rPr>
                <w:rFonts w:ascii="Times New Roman" w:hAnsi="Times New Roman" w:eastAsia="宋体"/>
                <w:b w:val="0"/>
                <w:sz w:val="21"/>
              </w:rPr>
              <w:t>评估结果失真</w:t>
            </w:r>
          </w:p>
        </w:tc>
        <w:tc>
          <w:tcPr>
            <w:tcW w:type="dxa" w:w="2160"/>
          </w:tcPr>
          <w:p>
            <w:pPr>
              <w:spacing w:line="240" w:lineRule="auto" w:before="0" w:after="0"/>
              <w:jc w:val="center"/>
            </w:pPr>
            <w:r>
              <w:rPr>
                <w:rFonts w:ascii="Times New Roman" w:hAnsi="Times New Roman" w:eastAsia="宋体"/>
                <w:b w:val="0"/>
                <w:sz w:val="21"/>
              </w:rPr>
              <w:t>高数量平台被高估、低数量平台被低估</w:t>
            </w:r>
          </w:p>
        </w:tc>
        <w:tc>
          <w:tcPr>
            <w:tcW w:type="dxa" w:w="2160"/>
          </w:tcPr>
          <w:p>
            <w:pPr>
              <w:spacing w:line="240" w:lineRule="auto" w:before="0" w:after="0"/>
              <w:jc w:val="center"/>
            </w:pPr>
            <w:r>
              <w:rPr>
                <w:rFonts w:ascii="Times New Roman" w:hAnsi="Times New Roman" w:eastAsia="宋体"/>
                <w:b w:val="0"/>
                <w:sz w:val="21"/>
              </w:rPr>
              <w:t>评估公信力下降</w:t>
            </w:r>
          </w:p>
        </w:tc>
      </w:tr>
      <w:tr>
        <w:tc>
          <w:tcPr>
            <w:tcW w:type="dxa" w:w="2160"/>
          </w:tcPr>
          <w:p>
            <w:pPr>
              <w:spacing w:line="240" w:lineRule="auto" w:before="0" w:after="0"/>
              <w:jc w:val="center"/>
            </w:pPr>
            <w:r>
              <w:rPr>
                <w:rFonts w:ascii="Times New Roman" w:hAnsi="Times New Roman" w:eastAsia="宋体"/>
                <w:b w:val="0"/>
                <w:sz w:val="21"/>
              </w:rPr>
              <w:t>数据用户</w:t>
            </w:r>
          </w:p>
        </w:tc>
        <w:tc>
          <w:tcPr>
            <w:tcW w:type="dxa" w:w="2160"/>
          </w:tcPr>
          <w:p>
            <w:pPr>
              <w:spacing w:line="240" w:lineRule="auto" w:before="0" w:after="0"/>
              <w:jc w:val="center"/>
            </w:pPr>
            <w:r>
              <w:rPr>
                <w:rFonts w:ascii="Times New Roman" w:hAnsi="Times New Roman" w:eastAsia="宋体"/>
                <w:b w:val="0"/>
                <w:sz w:val="21"/>
              </w:rPr>
              <w:t>筛选成本增加</w:t>
            </w:r>
          </w:p>
        </w:tc>
        <w:tc>
          <w:tcPr>
            <w:tcW w:type="dxa" w:w="2160"/>
          </w:tcPr>
          <w:p>
            <w:pPr>
              <w:spacing w:line="240" w:lineRule="auto" w:before="0" w:after="0"/>
              <w:jc w:val="center"/>
            </w:pPr>
            <w:r>
              <w:rPr>
                <w:rFonts w:ascii="Times New Roman" w:hAnsi="Times New Roman" w:eastAsia="宋体"/>
                <w:b w:val="0"/>
                <w:sz w:val="21"/>
              </w:rPr>
              <w:t>大量时间用于筛选有效数据</w:t>
            </w:r>
          </w:p>
        </w:tc>
        <w:tc>
          <w:tcPr>
            <w:tcW w:type="dxa" w:w="2160"/>
          </w:tcPr>
          <w:p>
            <w:pPr>
              <w:spacing w:line="240" w:lineRule="auto" w:before="0" w:after="0"/>
              <w:jc w:val="center"/>
            </w:pPr>
            <w:r>
              <w:rPr>
                <w:rFonts w:ascii="Times New Roman" w:hAnsi="Times New Roman" w:eastAsia="宋体"/>
                <w:b w:val="0"/>
                <w:sz w:val="21"/>
              </w:rPr>
              <w:t>利用意愿下降、信任受损</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对平台运营者的效应。</w:t>
      </w:r>
      <w:r>
        <w:rPr>
          <w:rFonts w:ascii="Times New Roman" w:hAnsi="Times New Roman" w:eastAsia="宋体"/>
          <w:b w:val="0"/>
          <w:sz w:val="24"/>
        </w:rPr>
        <w:t xml:space="preserve"> "数据口径幻觉"塑造了平台运营者的"数量最大化"行为策略。在"数量导向"的激励下，运营者将资源投入到"增加目录数量"而非"提升数据质量"上。这种资源错配导致平台的"数量繁荣"与"质量贫瘠"并存——目录数量快速增长，但数据质量、应用效果和用户满意度并未同步提升。更严重的是，"数量最大化"策略具有自我强化特征——一旦平台在数量竞赛中取得"领先"，运营者就有动力维持这种领先，进一步加剧数量导向的行为扭曲。这种自我强化机制类似于经济学中的"寻租"行为——运营者投入资源进行"指标博弈"而非"实质改进"，导致社会福利的净损失。</w:t>
      </w:r>
    </w:p>
    <w:p>
      <w:pPr>
        <w:spacing w:line="360" w:lineRule="auto" w:before="0" w:after="0"/>
        <w:ind w:firstLine="420"/>
        <w:jc w:val="both"/>
      </w:pPr>
      <w:r>
        <w:rPr>
          <w:rFonts w:ascii="Times New Roman" w:hAnsi="Times New Roman" w:eastAsia="宋体"/>
          <w:b w:val="0"/>
          <w:sz w:val="24"/>
        </w:rPr>
        <w:t>从组织社会学的视角看，"数量最大化"行为还受到"制度同形"（institutional isomorphism）的强化。DiMaggio和Powell指出，组织在面对不确定性时，会模仿同领域中成功组织的行为模式。在政府数据开放领域，当高目录数量的平台在评估中获得高排名时，其他平台就会模仿其"数量最大化"策略，导致"指标博弈"行为在行业内扩散。这种"模仿性同形"使得"数据口径幻觉"从个别现象演变为行业常态，从短期策略演变为长期模式。</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对评估者的效应。</w:t>
      </w:r>
      <w:r>
        <w:rPr>
          <w:rFonts w:ascii="Times New Roman" w:hAnsi="Times New Roman" w:eastAsia="宋体"/>
          <w:b w:val="0"/>
          <w:sz w:val="24"/>
        </w:rPr>
        <w:t xml:space="preserve"> "数据口径幻觉"导致评估结果的系统性失真。高目录数量的平台在评估中被系统性高估（因为CR低意味着大量无效目录被计入了"开放规模"），而低目录数量但高有效供给的平台可能被系统性低估。这种评估失真不仅影响了平台排名的准确性，还削弱了评估体系的公信力——当平台运营者和数据用户都意识到"目录数量不可信"时，评估体系就失去了行为引导的功能。</w:t>
      </w:r>
    </w:p>
    <w:p>
      <w:pPr>
        <w:spacing w:line="360" w:lineRule="auto" w:before="0" w:after="0"/>
        <w:ind w:firstLine="420"/>
        <w:jc w:val="both"/>
      </w:pPr>
      <w:r>
        <w:rPr>
          <w:rFonts w:ascii="Times New Roman" w:hAnsi="Times New Roman" w:eastAsia="宋体"/>
          <w:b w:val="0"/>
          <w:sz w:val="24"/>
        </w:rPr>
        <w:t>评估公信力的丧失还具有"恶性循环"效应。当评估结果被普遍质疑时，平台运营者对评估的遵从度下降——"既然评估不公平，我为什么要按评估标准来运营？"这种"评估失信→遵从下降→绩效恶化"的恶性循环，最终损害了政府数据开放运动的整体推进。因此，纠正"数据口径幻觉"不仅是技术问题，更是治理问题——它关系到评估体系的公信力和政府数据开放运动的可持续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对数据用户的效应。</w:t>
      </w:r>
      <w:r>
        <w:rPr>
          <w:rFonts w:ascii="Times New Roman" w:hAnsi="Times New Roman" w:eastAsia="宋体"/>
          <w:b w:val="0"/>
          <w:sz w:val="24"/>
        </w:rPr>
        <w:t xml:space="preserve"> "数据口径幻觉"直接增加了数据用户的筛选成本。当用户在平台上检索数据时，面对海量的目录条目，需要花费大量时间和精力来筛选真正有效的数据集。以山东平台为例，用户如果想找到可用的数据集，需要在63,656个目录中筛选出约944个有效条目——筛选成本极高。这种高筛选成本不仅降低了数据利用的效率，还可能导致用户放弃利用——"找不到有效数据"成为数据利用的重要障碍。</w:t>
      </w:r>
    </w:p>
    <w:p>
      <w:pPr>
        <w:spacing w:line="360" w:lineRule="auto" w:before="0" w:after="0"/>
        <w:ind w:firstLine="420"/>
        <w:jc w:val="both"/>
      </w:pPr>
      <w:r>
        <w:rPr>
          <w:rFonts w:ascii="Times New Roman" w:hAnsi="Times New Roman" w:eastAsia="宋体"/>
          <w:b w:val="0"/>
          <w:sz w:val="24"/>
        </w:rPr>
        <w:t>从信息经济学的视角看，"数据口径幻觉"加剧了数据市场中的"信息不对称"问题。平台运营者拥有关于数据真实质量的"私有信息"，而数据用户只能通过目录数量等公开信号来判断数据供给状况。当目录数量成为被操纵的信号时，数据用户无法准确判断数据的真实价值，导致"逆向选择"——高质量数据被低质量数据淹没，数据用户因无法区分质量而降低支付意愿（或利用意愿），最终损害整个数据开放生态的健康发展。</w:t>
      </w:r>
    </w:p>
    <w:p>
      <w:pPr>
        <w:pStyle w:val="Heading3"/>
        <w:spacing w:before="240" w:after="120" w:line="360" w:lineRule="auto"/>
        <w:ind w:firstLine="0"/>
        <w:jc w:val="left"/>
      </w:pPr>
      <w:r>
        <w:rPr>
          <w:rFonts w:ascii="Times New Roman" w:hAnsi="Times New Roman" w:eastAsia="黑体"/>
          <w:b/>
          <w:sz w:val="28"/>
        </w:rPr>
        <w:t>4.4 典型案例深度分析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案例一：山东平台（CR=0.016）——"数据口径幻觉"的极端形态</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山东平台是"数据口径幻觉"的极端案例。其对外宣称的63,656个"数据集"中，经10%抽样核验，仅有约94个条目满足有效数据集标准，外推估算有效数据集数量约944个，CR仅为0.016。</w:t>
      </w:r>
    </w:p>
    <w:p>
      <w:pPr>
        <w:spacing w:line="360" w:lineRule="auto" w:before="0" w:after="0"/>
        <w:ind w:firstLine="420"/>
        <w:jc w:val="both"/>
      </w:pPr>
      <w:r>
        <w:rPr>
          <w:rFonts w:ascii="Times New Roman" w:hAnsi="Times New Roman" w:eastAsia="宋体"/>
          <w:b w:val="0"/>
          <w:sz w:val="24"/>
        </w:rPr>
        <w:t>山东平台"数据口径幻觉"的成因是多重的。首先，在评估导向上，山东作为经济大省，在各类数字政府评估中面临较大的"数量竞争"压力。山东省的GDP排名长期位居全国前三，这种经济地位使得山东在各类政府数字化评估中背负着"不能落后"的心理压力——当其他省份的平台目录数量达到数万甚至数十万时，山东平台有强烈的动机通过"数量膨胀"来维持竞争优势。其次，在技术架构上，山东平台采用了较为宽松的目录录入标准，允许运营者批量导入数据集元数据而无需上传实际数据文件。这种"先登记后补传"的设计初衷是提高数据上传的便利性，但在实践中却成为"空壳目录"泛滥的技术温床。再次，在审核机制上，平台缺乏对数据集内容有效性的自动化校验——系统仅检查元数据格式是否完整，不检查数据文件是否存在、是否可下载。这种"形式审核"而非"实质审核"的机制使得大量空壳目录得以顺利通过审核并公开发布。</w:t>
      </w:r>
    </w:p>
    <w:p>
      <w:pPr>
        <w:spacing w:line="360" w:lineRule="auto" w:before="0" w:after="0"/>
        <w:ind w:firstLine="420"/>
        <w:jc w:val="both"/>
      </w:pPr>
      <w:r>
        <w:rPr>
          <w:rFonts w:ascii="Times New Roman" w:hAnsi="Times New Roman" w:eastAsia="宋体"/>
          <w:b w:val="0"/>
          <w:sz w:val="24"/>
        </w:rPr>
        <w:t>山东平台的案例揭示了"数据口径幻觉"的制度根源——当"数量"成为考核目标而"质量"缺乏有效监督时，"数量最大化"就成为理性的组织行为。纠正山东平台的问题需要从制度层面入手：建立数据质量审核机制、引入目录真实性校验、将有效数据集数量纳入考核指标。同时，还需要从理念层面进行引导——平台运营者需要认识到，"有效供给"而非"目录数量"才是数据开放的核心目标，虚假的"数量繁荣"不仅无法提升平台绩效，反而会损害用户信任和数据开放生态的健康发展。</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案例二：浙江平台（CR=0.298）——"数据口径幻觉"的相对可控形态</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浙江平台是23个平台中CR最高的（0.298），是唯一接近C级上限的平台。其38,000个"公共数据集"中，有效数据集约4,680个。虽然CR仍不足0.30，但相较于山东平台已有了质的提升。</w:t>
      </w:r>
    </w:p>
    <w:p>
      <w:pPr>
        <w:spacing w:line="360" w:lineRule="auto" w:before="0" w:after="0"/>
        <w:ind w:firstLine="420"/>
        <w:jc w:val="both"/>
      </w:pPr>
      <w:r>
        <w:rPr>
          <w:rFonts w:ascii="Times New Roman" w:hAnsi="Times New Roman" w:eastAsia="宋体"/>
          <w:b w:val="0"/>
          <w:sz w:val="24"/>
        </w:rPr>
        <w:t>浙江平台CR较高的原因包括：第一，浙江作为数字经济先行省，对数据质量有较高的自觉要求，平台运营者更注重数据的实际可用性而非单纯的数量增长。浙江的"数字浙江"战略始于2003年，经过二十余年的持续建设，已形成较为成熟的数字治理体系，这种制度惯性投射到政府数据开放领域，表现为对数据质量的更高追求。第二，浙江平台建立了较为完善的数据质量审核机制，新上传的数据集需要经过内容审核才能发布。审核流程包括机器自动预审（检查文件完整性、格式合规性）和人工复核（检查数据内容准确性、元数据规范性）两个环节，双重审核有效过滤了低质量数据。第三，浙江平台定期清理过期数据和僵尸条目，避免了"只增不减"的累积效应。平台设定了数据更新强制期——超过一年未更新的数据集会被自动标记为"过期"，超过两年未更新的数据集会被下架处理。</w:t>
      </w:r>
    </w:p>
    <w:p>
      <w:pPr>
        <w:spacing w:line="360" w:lineRule="auto" w:before="0" w:after="0"/>
        <w:ind w:firstLine="420"/>
        <w:jc w:val="both"/>
      </w:pPr>
      <w:r>
        <w:rPr>
          <w:rFonts w:ascii="Times New Roman" w:hAnsi="Times New Roman" w:eastAsia="宋体"/>
          <w:b w:val="0"/>
          <w:sz w:val="24"/>
        </w:rPr>
        <w:t>浙江平台的案例表明，"数据口径幻觉"并非不可避免——通过制度建设和技术手段，可以在一定程度上控制口径偏差。然而，即使是最优秀的浙江平台，CR也仅为0.298，意味着超过70%的目录条目仍然不属于"有效数据集"。这提示我们："数据口径幻觉"是一个系统性的行业问题，需要全行业的共同努力才能根本解决。单个平台的治理努力虽然能够改善自身的口径一致性，但在缺乏行业统一标准和外部监督的情况下，难以形成规模效应。因此，纠正"数据口径幻觉"不仅需要平台运营者的自律，更需要评估机构的制度设计和国家层面的标准规范。</w:t>
      </w:r>
    </w:p>
    <w:p>
      <w:pPr>
        <w:pStyle w:val="Heading2"/>
        <w:spacing w:before="360" w:after="240" w:line="360" w:lineRule="auto"/>
        <w:ind w:firstLine="0"/>
        <w:jc w:val="left"/>
      </w:pPr>
      <w:r>
        <w:rPr>
          <w:rFonts w:ascii="Times New Roman" w:hAnsi="Times New Roman" w:eastAsia="黑体"/>
          <w:b/>
          <w:sz w:val="32"/>
        </w:rPr>
        <w:t>5 "口径一致性系数"的纠偏应用</w:t>
      </w:r>
    </w:p>
    <w:p>
      <w:pPr>
        <w:pStyle w:val="Heading3"/>
        <w:spacing w:before="240" w:after="120" w:line="360" w:lineRule="auto"/>
        <w:ind w:firstLine="0"/>
        <w:jc w:val="left"/>
      </w:pPr>
      <w:r>
        <w:rPr>
          <w:rFonts w:ascii="Times New Roman" w:hAnsi="Times New Roman" w:eastAsia="黑体"/>
          <w:b/>
          <w:sz w:val="28"/>
        </w:rPr>
        <w:t>5.1 CR的计算与标准化</w:t>
      </w:r>
    </w:p>
    <w:p>
      <w:pPr>
        <w:spacing w:line="360" w:lineRule="auto" w:before="0" w:after="0"/>
        <w:ind w:firstLine="420"/>
        <w:jc w:val="both"/>
      </w:pPr>
      <w:r>
        <w:rPr>
          <w:rFonts w:ascii="Times New Roman" w:hAnsi="Times New Roman" w:eastAsia="宋体"/>
          <w:b w:val="0"/>
          <w:sz w:val="24"/>
        </w:rPr>
        <w:t>"口径一致性系数"（CR）的计算公式已在3.2节给出。在实际应用中，CR的计算需要解决两个技术问题：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有效数据集数量的估算。</w:t>
      </w:r>
      <w:r>
        <w:rPr>
          <w:rFonts w:ascii="Times New Roman" w:hAnsi="Times New Roman" w:eastAsia="宋体"/>
          <w:b w:val="0"/>
          <w:sz w:val="24"/>
        </w:rPr>
        <w:t xml:space="preserve"> 由于对所有目录进行100%核验的成本极高，本研究采用"抽样核验+外推估算"的方法。具体而言，对每个平台进行10%的分层随机抽样，由两名研究员独立核验样本中的有效数据集比例，再外推估算全平台的有效数据集数量。抽样比例的设定需要在"精度"和"成本"之间进行权衡——抽样比例越高，估算精度越高，但核验成本也越高。本研究选择10%的抽样比例，是基于经验判断的"性价比最优"点。</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口径类型的标准化。</w:t>
      </w:r>
      <w:r>
        <w:rPr>
          <w:rFonts w:ascii="Times New Roman" w:hAnsi="Times New Roman" w:eastAsia="宋体"/>
          <w:b w:val="0"/>
          <w:sz w:val="24"/>
        </w:rPr>
        <w:t xml:space="preserve"> 不同平台对"数据集"的定义和统计口径不同——有的平台统计"数据集"，有的统计"数据目录"，有的统计"开放目录"，有的统计"数据产品"。这种口径异质性使得跨平台比较面临"同名不同义"的问题。本研究建立了口径类型映射表，将不同口径类型转换为标准化的"等效数据集"数量。转换系数基于各口径类型的理论内涵和实际包含的数据量进行设定：数据集=1.0、数据目录=0.8、开放目录=0.8、数据产品=0.5、数据登记=0.3。</w:t>
      </w:r>
    </w:p>
    <w:p>
      <w:pPr>
        <w:pStyle w:val="Heading3"/>
        <w:spacing w:before="240" w:after="120" w:line="360" w:lineRule="auto"/>
        <w:ind w:firstLine="0"/>
        <w:jc w:val="left"/>
      </w:pPr>
      <w:r>
        <w:rPr>
          <w:rFonts w:ascii="Times New Roman" w:hAnsi="Times New Roman" w:eastAsia="黑体"/>
          <w:b/>
          <w:sz w:val="28"/>
        </w:rPr>
        <w:t>5.2 CR纳入评估体系的三种方式</w:t>
      </w:r>
    </w:p>
    <w:p>
      <w:pPr>
        <w:spacing w:line="360" w:lineRule="auto" w:before="0" w:after="0"/>
        <w:ind w:firstLine="420"/>
        <w:jc w:val="both"/>
      </w:pPr>
      <w:r>
        <w:rPr>
          <w:rFonts w:ascii="Times New Roman" w:hAnsi="Times New Roman" w:eastAsia="宋体"/>
          <w:b w:val="0"/>
          <w:sz w:val="24"/>
        </w:rPr>
        <w:t>本研究提出三种将CR纳入现有评估体系的方式，供评估机构参考选择。</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方式一：作为独立维度纳入。</w:t>
      </w:r>
      <w:r>
        <w:rPr>
          <w:rFonts w:ascii="Times New Roman" w:hAnsi="Times New Roman" w:eastAsia="宋体"/>
          <w:b w:val="0"/>
          <w:sz w:val="24"/>
        </w:rPr>
        <w:t xml:space="preserve"> 将CR作为评估体系的一个独立维度（如"数据真实性"或"口径一致性"），赋予一定的权重（建议5%-10%）。这种方式的优点是简单直接，能够直接反映平台的口径一致性水平；缺点是将CR与其他评估维度并列，可能割裂了CR与"供给规模"之间的内在联系。</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方式二：作为供给维度的修正系数。</w:t>
      </w:r>
      <w:r>
        <w:rPr>
          <w:rFonts w:ascii="Times New Roman" w:hAnsi="Times New Roman" w:eastAsia="宋体"/>
          <w:b w:val="0"/>
          <w:sz w:val="24"/>
        </w:rPr>
        <w:t xml:space="preserve"> 将CR作为供给维度得分的修正系数，即：修正后供给得分 = 原始供给得分 × CR。这种方式的优点是将CR与供给规模直接挂钩，体现了"有效供给"的评估理念；缺点是当CR较低时，供给得分会被大幅拉低，可能导致评估结果的剧烈波动。</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方式三：作为分级门槛条件。</w:t>
      </w:r>
      <w:r>
        <w:rPr>
          <w:rFonts w:ascii="Times New Roman" w:hAnsi="Times New Roman" w:eastAsia="宋体"/>
          <w:b w:val="0"/>
          <w:sz w:val="24"/>
        </w:rPr>
        <w:t xml:space="preserve"> 将CR作为平台参与评估的门槛条件——例如，规定CR低于0.05的平台直接评定为"不合格"，不参与后续排名。这种方式的优点是设置了明确的底线要求，具有较强的行为约束力；缺点是过于刚性，可能忽视低CR平台在其他维度的优势。</w:t>
      </w:r>
    </w:p>
    <w:p>
      <w:pPr>
        <w:spacing w:line="360" w:lineRule="auto" w:before="0" w:after="0"/>
        <w:ind w:firstLine="420"/>
        <w:jc w:val="both"/>
      </w:pPr>
      <w:r>
        <w:rPr>
          <w:rFonts w:ascii="Times New Roman" w:hAnsi="Times New Roman" w:eastAsia="宋体"/>
          <w:b w:val="0"/>
          <w:sz w:val="24"/>
        </w:rPr>
        <w:t>三种方式的比较如表5-1所示。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表5-1 CR纳入评估体系的三种方式比较</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纳入方式</w:t>
            </w:r>
          </w:p>
        </w:tc>
        <w:tc>
          <w:tcPr>
            <w:tcW w:type="dxa" w:w="1728"/>
          </w:tcPr>
          <w:p>
            <w:pPr>
              <w:spacing w:line="240" w:lineRule="auto" w:before="0" w:after="0"/>
              <w:jc w:val="center"/>
            </w:pPr>
            <w:r>
              <w:rPr>
                <w:rFonts w:ascii="Times New Roman" w:hAnsi="Times New Roman" w:eastAsia="宋体"/>
                <w:b w:val="0"/>
                <w:sz w:val="21"/>
              </w:rPr>
              <w:t>操作方式</w:t>
            </w:r>
          </w:p>
        </w:tc>
        <w:tc>
          <w:tcPr>
            <w:tcW w:type="dxa" w:w="1728"/>
          </w:tcPr>
          <w:p>
            <w:pPr>
              <w:spacing w:line="240" w:lineRule="auto" w:before="0" w:after="0"/>
              <w:jc w:val="center"/>
            </w:pPr>
            <w:r>
              <w:rPr>
                <w:rFonts w:ascii="Times New Roman" w:hAnsi="Times New Roman" w:eastAsia="宋体"/>
                <w:b w:val="0"/>
                <w:sz w:val="21"/>
              </w:rPr>
              <w:t>优点</w:t>
            </w:r>
          </w:p>
        </w:tc>
        <w:tc>
          <w:tcPr>
            <w:tcW w:type="dxa" w:w="1728"/>
          </w:tcPr>
          <w:p>
            <w:pPr>
              <w:spacing w:line="240" w:lineRule="auto" w:before="0" w:after="0"/>
              <w:jc w:val="center"/>
            </w:pPr>
            <w:r>
              <w:rPr>
                <w:rFonts w:ascii="Times New Roman" w:hAnsi="Times New Roman" w:eastAsia="宋体"/>
                <w:b w:val="0"/>
                <w:sz w:val="21"/>
              </w:rPr>
              <w:t>缺点</w:t>
            </w:r>
          </w:p>
        </w:tc>
        <w:tc>
          <w:tcPr>
            <w:tcW w:type="dxa" w:w="1728"/>
          </w:tcPr>
          <w:p>
            <w:pPr>
              <w:spacing w:line="240" w:lineRule="auto" w:before="0" w:after="0"/>
              <w:jc w:val="center"/>
            </w:pPr>
            <w:r>
              <w:rPr>
                <w:rFonts w:ascii="Times New Roman" w:hAnsi="Times New Roman" w:eastAsia="宋体"/>
                <w:b w:val="0"/>
                <w:sz w:val="21"/>
              </w:rPr>
              <w:t>适用场景</w:t>
            </w:r>
          </w:p>
        </w:tc>
      </w:tr>
      <w:tr>
        <w:tc>
          <w:tcPr>
            <w:tcW w:type="dxa" w:w="1728"/>
          </w:tcPr>
          <w:p>
            <w:pPr>
              <w:spacing w:line="240" w:lineRule="auto" w:before="0" w:after="0"/>
              <w:jc w:val="center"/>
            </w:pPr>
            <w:r>
              <w:rPr>
                <w:rFonts w:ascii="Times New Roman" w:hAnsi="Times New Roman" w:eastAsia="宋体"/>
                <w:b w:val="0"/>
                <w:sz w:val="21"/>
              </w:rPr>
              <w:t>独立维度</w:t>
            </w:r>
          </w:p>
        </w:tc>
        <w:tc>
          <w:tcPr>
            <w:tcW w:type="dxa" w:w="1728"/>
          </w:tcPr>
          <w:p>
            <w:pPr>
              <w:spacing w:line="240" w:lineRule="auto" w:before="0" w:after="0"/>
              <w:jc w:val="center"/>
            </w:pPr>
            <w:r>
              <w:rPr>
                <w:rFonts w:ascii="Times New Roman" w:hAnsi="Times New Roman" w:eastAsia="宋体"/>
                <w:b w:val="0"/>
                <w:sz w:val="21"/>
              </w:rPr>
              <w:t>新增"数据真实性"维度</w:t>
            </w:r>
          </w:p>
        </w:tc>
        <w:tc>
          <w:tcPr>
            <w:tcW w:type="dxa" w:w="1728"/>
          </w:tcPr>
          <w:p>
            <w:pPr>
              <w:spacing w:line="240" w:lineRule="auto" w:before="0" w:after="0"/>
              <w:jc w:val="center"/>
            </w:pPr>
            <w:r>
              <w:rPr>
                <w:rFonts w:ascii="Times New Roman" w:hAnsi="Times New Roman" w:eastAsia="宋体"/>
                <w:b w:val="0"/>
                <w:sz w:val="21"/>
              </w:rPr>
              <w:t>简单直接，权重可控</w:t>
            </w:r>
          </w:p>
        </w:tc>
        <w:tc>
          <w:tcPr>
            <w:tcW w:type="dxa" w:w="1728"/>
          </w:tcPr>
          <w:p>
            <w:pPr>
              <w:spacing w:line="240" w:lineRule="auto" w:before="0" w:after="0"/>
              <w:jc w:val="center"/>
            </w:pPr>
            <w:r>
              <w:rPr>
                <w:rFonts w:ascii="Times New Roman" w:hAnsi="Times New Roman" w:eastAsia="宋体"/>
                <w:b w:val="0"/>
                <w:sz w:val="21"/>
              </w:rPr>
              <w:t>割裂CR与供给的联系</w:t>
            </w:r>
          </w:p>
        </w:tc>
        <w:tc>
          <w:tcPr>
            <w:tcW w:type="dxa" w:w="1728"/>
          </w:tcPr>
          <w:p>
            <w:pPr>
              <w:spacing w:line="240" w:lineRule="auto" w:before="0" w:after="0"/>
              <w:jc w:val="center"/>
            </w:pPr>
            <w:r>
              <w:rPr>
                <w:rFonts w:ascii="Times New Roman" w:hAnsi="Times New Roman" w:eastAsia="宋体"/>
                <w:b w:val="0"/>
                <w:sz w:val="21"/>
              </w:rPr>
              <w:t>评估体系重构</w:t>
            </w:r>
          </w:p>
        </w:tc>
      </w:tr>
      <w:tr>
        <w:tc>
          <w:tcPr>
            <w:tcW w:type="dxa" w:w="1728"/>
          </w:tcPr>
          <w:p>
            <w:pPr>
              <w:spacing w:line="240" w:lineRule="auto" w:before="0" w:after="0"/>
              <w:jc w:val="center"/>
            </w:pPr>
            <w:r>
              <w:rPr>
                <w:rFonts w:ascii="Times New Roman" w:hAnsi="Times New Roman" w:eastAsia="宋体"/>
                <w:b w:val="0"/>
                <w:sz w:val="21"/>
              </w:rPr>
              <w:t>修正系数</w:t>
            </w:r>
          </w:p>
        </w:tc>
        <w:tc>
          <w:tcPr>
            <w:tcW w:type="dxa" w:w="1728"/>
          </w:tcPr>
          <w:p>
            <w:pPr>
              <w:spacing w:line="240" w:lineRule="auto" w:before="0" w:after="0"/>
              <w:jc w:val="center"/>
            </w:pPr>
            <w:r>
              <w:rPr>
                <w:rFonts w:ascii="Times New Roman" w:hAnsi="Times New Roman" w:eastAsia="宋体"/>
                <w:b w:val="0"/>
                <w:sz w:val="21"/>
              </w:rPr>
              <w:t>供给得分×CR</w:t>
            </w:r>
          </w:p>
        </w:tc>
        <w:tc>
          <w:tcPr>
            <w:tcW w:type="dxa" w:w="1728"/>
          </w:tcPr>
          <w:p>
            <w:pPr>
              <w:spacing w:line="240" w:lineRule="auto" w:before="0" w:after="0"/>
              <w:jc w:val="center"/>
            </w:pPr>
            <w:r>
              <w:rPr>
                <w:rFonts w:ascii="Times New Roman" w:hAnsi="Times New Roman" w:eastAsia="宋体"/>
                <w:b w:val="0"/>
                <w:sz w:val="21"/>
              </w:rPr>
              <w:t>体现有效供给理念</w:t>
            </w:r>
          </w:p>
        </w:tc>
        <w:tc>
          <w:tcPr>
            <w:tcW w:type="dxa" w:w="1728"/>
          </w:tcPr>
          <w:p>
            <w:pPr>
              <w:spacing w:line="240" w:lineRule="auto" w:before="0" w:after="0"/>
              <w:jc w:val="center"/>
            </w:pPr>
            <w:r>
              <w:rPr>
                <w:rFonts w:ascii="Times New Roman" w:hAnsi="Times New Roman" w:eastAsia="宋体"/>
                <w:b w:val="0"/>
                <w:sz w:val="21"/>
              </w:rPr>
              <w:t>低CR平台得分剧烈波动</w:t>
            </w:r>
          </w:p>
        </w:tc>
        <w:tc>
          <w:tcPr>
            <w:tcW w:type="dxa" w:w="1728"/>
          </w:tcPr>
          <w:p>
            <w:pPr>
              <w:spacing w:line="240" w:lineRule="auto" w:before="0" w:after="0"/>
              <w:jc w:val="center"/>
            </w:pPr>
            <w:r>
              <w:rPr>
                <w:rFonts w:ascii="Times New Roman" w:hAnsi="Times New Roman" w:eastAsia="宋体"/>
                <w:b w:val="0"/>
                <w:sz w:val="21"/>
              </w:rPr>
              <w:t>强调有效供给</w:t>
            </w:r>
          </w:p>
        </w:tc>
      </w:tr>
      <w:tr>
        <w:tc>
          <w:tcPr>
            <w:tcW w:type="dxa" w:w="1728"/>
          </w:tcPr>
          <w:p>
            <w:pPr>
              <w:spacing w:line="240" w:lineRule="auto" w:before="0" w:after="0"/>
              <w:jc w:val="center"/>
            </w:pPr>
            <w:r>
              <w:rPr>
                <w:rFonts w:ascii="Times New Roman" w:hAnsi="Times New Roman" w:eastAsia="宋体"/>
                <w:b w:val="0"/>
                <w:sz w:val="21"/>
              </w:rPr>
              <w:t>门槛条件</w:t>
            </w:r>
          </w:p>
        </w:tc>
        <w:tc>
          <w:tcPr>
            <w:tcW w:type="dxa" w:w="1728"/>
          </w:tcPr>
          <w:p>
            <w:pPr>
              <w:spacing w:line="240" w:lineRule="auto" w:before="0" w:after="0"/>
              <w:jc w:val="center"/>
            </w:pPr>
            <w:r>
              <w:rPr>
                <w:rFonts w:ascii="Times New Roman" w:hAnsi="Times New Roman" w:eastAsia="宋体"/>
                <w:b w:val="0"/>
                <w:sz w:val="21"/>
              </w:rPr>
              <w:t>CR&lt;0.05为不合格</w:t>
            </w:r>
          </w:p>
        </w:tc>
        <w:tc>
          <w:tcPr>
            <w:tcW w:type="dxa" w:w="1728"/>
          </w:tcPr>
          <w:p>
            <w:pPr>
              <w:spacing w:line="240" w:lineRule="auto" w:before="0" w:after="0"/>
              <w:jc w:val="center"/>
            </w:pPr>
            <w:r>
              <w:rPr>
                <w:rFonts w:ascii="Times New Roman" w:hAnsi="Times New Roman" w:eastAsia="宋体"/>
                <w:b w:val="0"/>
                <w:sz w:val="21"/>
              </w:rPr>
              <w:t>底线约束强</w:t>
            </w:r>
          </w:p>
        </w:tc>
        <w:tc>
          <w:tcPr>
            <w:tcW w:type="dxa" w:w="1728"/>
          </w:tcPr>
          <w:p>
            <w:pPr>
              <w:spacing w:line="240" w:lineRule="auto" w:before="0" w:after="0"/>
              <w:jc w:val="center"/>
            </w:pPr>
            <w:r>
              <w:rPr>
                <w:rFonts w:ascii="Times New Roman" w:hAnsi="Times New Roman" w:eastAsia="宋体"/>
                <w:b w:val="0"/>
                <w:sz w:val="21"/>
              </w:rPr>
              <w:t>过于刚性</w:t>
            </w:r>
          </w:p>
        </w:tc>
        <w:tc>
          <w:tcPr>
            <w:tcW w:type="dxa" w:w="1728"/>
          </w:tcPr>
          <w:p>
            <w:pPr>
              <w:spacing w:line="240" w:lineRule="auto" w:before="0" w:after="0"/>
              <w:jc w:val="center"/>
            </w:pPr>
            <w:r>
              <w:rPr>
                <w:rFonts w:ascii="Times New Roman" w:hAnsi="Times New Roman" w:eastAsia="宋体"/>
                <w:b w:val="0"/>
                <w:sz w:val="21"/>
              </w:rPr>
              <w:t>质量底线管控</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pStyle w:val="Heading3"/>
        <w:spacing w:before="240" w:after="120" w:line="360" w:lineRule="auto"/>
        <w:ind w:firstLine="0"/>
        <w:jc w:val="left"/>
      </w:pPr>
      <w:r>
        <w:rPr>
          <w:rFonts w:ascii="Times New Roman" w:hAnsi="Times New Roman" w:eastAsia="黑体"/>
          <w:b/>
          <w:sz w:val="28"/>
        </w:rPr>
        <w:t>5.3 政策建议</w:t>
      </w:r>
    </w:p>
    <w:p>
      <w:pPr>
        <w:spacing w:line="360" w:lineRule="auto" w:before="0" w:after="0"/>
        <w:ind w:firstLine="420"/>
        <w:jc w:val="both"/>
      </w:pPr>
      <w:r>
        <w:rPr>
          <w:rFonts w:ascii="Times New Roman" w:hAnsi="Times New Roman" w:eastAsia="宋体"/>
          <w:b w:val="0"/>
          <w:sz w:val="24"/>
        </w:rPr>
        <w:t>基于上述分析，本研究提出以下政策建议：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第一，建立数据质量审核机制。</w:t>
      </w:r>
      <w:r>
        <w:rPr>
          <w:rFonts w:ascii="Times New Roman" w:hAnsi="Times New Roman" w:eastAsia="宋体"/>
          <w:b w:val="0"/>
          <w:sz w:val="24"/>
        </w:rPr>
        <w:t xml:space="preserve"> 在平台层面建立数据上传前的质量审核机制，确保新发布的数据集满足基本的有效性标准（实质内容、可机读格式、完整元数据）。审核机制可以结合自动化校验（如文件完整性检查、格式识别、元数据完整性扫描）和人工抽检（对可疑条目进行人工复核）。具体而言，可以建立"三级审核"制度：第一级为机器自动审核（检查文件大小、格式、元数据完整性），第二级为运营人员审核（检查数据内容的合理性），第三级为专家抽查（每月随机抽取5%的新增数据集进行深度核验）。三级审核的通过率应纳入平台运营团队的绩效考核，形成"质量导向"的激励机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第二，引入目录真实性校验。</w:t>
      </w:r>
      <w:r>
        <w:rPr>
          <w:rFonts w:ascii="Times New Roman" w:hAnsi="Times New Roman" w:eastAsia="宋体"/>
          <w:b w:val="0"/>
          <w:sz w:val="24"/>
        </w:rPr>
        <w:t xml:space="preserve"> 在评估层面引入目录真实性校验机制，定期对平台的目录数据进行抽样核验，计算各平台的CR值并公开披露。评估机构可以委托第三方机构进行独立核验，确保核验结果的客观性和公信力。本研究提出的"口径一致性系数"（CR）可以直接作为目录真实性校验的量化指标——评估机构可以每年对各平台进行10%的抽样核验，计算CR值并发布年度报告。对于CR值低于0.05的平台，应予以警告并要求限期整改；对于连续两年CR值低于0.05的平台，应在评估中降级或取消评优资格。</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第三，将有效数据集数量纳入考核。</w:t>
      </w:r>
      <w:r>
        <w:rPr>
          <w:rFonts w:ascii="Times New Roman" w:hAnsi="Times New Roman" w:eastAsia="宋体"/>
          <w:b w:val="0"/>
          <w:sz w:val="24"/>
        </w:rPr>
        <w:t xml:space="preserve"> 在平台绩效考核中，将"有效数据集数量"（而非"目录数量"）作为核心指标，引导平台运营者从"数量最大化"转向"有效供给最优化"。有效数据集数量的计算应以第三方核验结果为准，避免平台自我申报的偏差。同时，应将"有效数据集增长率"（而非"目录数量增长率"）作为动态考核指标，激励平台持续提升有效供给。例如，可以设定年度目标：有效数据集数量增长不低于20%，有效数据集占比（有效数据集数/目录总数）提升不低于5个百分点。</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第四，建立数据更新和清理机制。</w:t>
      </w:r>
      <w:r>
        <w:rPr>
          <w:rFonts w:ascii="Times New Roman" w:hAnsi="Times New Roman" w:eastAsia="宋体"/>
          <w:b w:val="0"/>
          <w:sz w:val="24"/>
        </w:rPr>
        <w:t xml:space="preserve"> 要求平台定期清理过期数据和僵尸条目，建立数据的生命周期管理机制。可以设定"数据更新强制期"——超过一定期限（如一年）未更新的数据集自动下架或标记为"过期"，避免"只增不减"的累积效应。同时，应建立"数据退役"机制——对于因政策调整、机构合并等原因不再适用的数据集，应明确标注"退役"状态并说明原因，而非简单删除。数据退役记录应保存至少5年，以保证数据开放历史的可追溯性。数据生命周期管理的核心理念是"数据全周期负责"——平台运营者不仅负责数据的发布，还负责数据的维护、更新和退役。这种全周期责任制度将改变当前"只发不管"的管理模式，促使运营者从一开始就关注数据的可持续性和时效性。从国际经验看，欧盟的开放数据门户建立了严格的数据生命周期管理制度，每个数据集都有明确的"有效期"和"更新责任人"，过期数据自动进入"待更新"或"已退役"状态。这种制度设计值得我国平台借鉴。</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第五，统一数据口径标准。</w:t>
      </w:r>
      <w:r>
        <w:rPr>
          <w:rFonts w:ascii="Times New Roman" w:hAnsi="Times New Roman" w:eastAsia="宋体"/>
          <w:b w:val="0"/>
          <w:sz w:val="24"/>
        </w:rPr>
        <w:t xml:space="preserve"> 在国家层面制定统一的数据集统计口径标准，明确"数据集""数据目录""数据产品"等概念的定义和统计边界，减少跨平台比较的"口径摩擦"。国家数据局可以牵头制定《政府数据开放统计口径规范》，为全国范围内的数据开放评估提供统一的标准基础。统一口径标准应包括：数据集的定义（什么构成一个独立的数据集）、统计方法（如何计数避免重复）、质量要求（什么样的数据集可以纳入统计）、更新规则（如何计算活跃数据集数量）等。统一口径标准的制定应广泛征求平台运营者、评估机构、数据用户和学术界的意见，确保标准的科学性和可操作性。</w:t>
      </w:r>
    </w:p>
    <w:p>
      <w:pPr>
        <w:spacing w:line="360" w:lineRule="auto" w:before="0" w:after="0"/>
        <w:ind w:firstLine="420"/>
        <w:jc w:val="both"/>
      </w:pPr>
      <w:r>
        <w:rPr>
          <w:rFonts w:ascii="Times New Roman" w:hAnsi="Times New Roman" w:eastAsia="宋体"/>
          <w:b w:val="0"/>
          <w:sz w:val="24"/>
        </w:rPr>
        <w:t>统一口径标准的价值不仅在于规范统计行为，更在于建立"可信比较"的基础。当前各平台采用的口径类型五花八门（"数据集""数据目录""数据产品""数据登记"等），导致跨平台比较缺乏共同基准——一个宣称"10万个数据集"的平台与一个宣称"5万个数据目录"的平台，究竟谁的开放规模更大？在没有统一口径的情况下，这一问题无法回答。统一口径标准的建立将消除这种"口径迷雾"，使得不同平台之间的比较建立在客观、透明、可比的基础之上。此外，统一口径标准还应规定"有效数据集"的判定标准——明确什么样的数据集可以纳入统计（如要求数据文件可下载、格式可机读、元数据完整等），从制度层面杜绝"空壳目录"和"虚拟数据集"的统计漏洞。统一口径标准的推广还将产生"制度同形"效应——当所有平台都遵循同一统计标准时，平台间的比较将不再受到口径差异的干扰，评估结果将更真实地反映平台的能力差异而非统计技巧的差异。</w:t>
      </w:r>
    </w:p>
    <w:p>
      <w:pPr>
        <w:pStyle w:val="Heading2"/>
        <w:spacing w:before="360" w:after="240" w:line="360" w:lineRule="auto"/>
        <w:ind w:firstLine="0"/>
        <w:jc w:val="left"/>
      </w:pPr>
      <w:r>
        <w:rPr>
          <w:rFonts w:ascii="Times New Roman" w:hAnsi="Times New Roman" w:eastAsia="黑体"/>
          <w:b/>
          <w:sz w:val="32"/>
        </w:rPr>
        <w:t>6 结论与讨论</w:t>
      </w:r>
    </w:p>
    <w:p>
      <w:pPr>
        <w:pStyle w:val="Heading3"/>
        <w:spacing w:before="240" w:after="120" w:line="360" w:lineRule="auto"/>
        <w:ind w:firstLine="0"/>
        <w:jc w:val="left"/>
      </w:pPr>
      <w:r>
        <w:rPr>
          <w:rFonts w:ascii="Times New Roman" w:hAnsi="Times New Roman" w:eastAsia="黑体"/>
          <w:b/>
          <w:sz w:val="28"/>
        </w:rPr>
        <w:t>6.1 核心结论</w:t>
      </w:r>
    </w:p>
    <w:p>
      <w:pPr>
        <w:spacing w:line="360" w:lineRule="auto" w:before="0" w:after="0"/>
        <w:ind w:firstLine="420"/>
        <w:jc w:val="both"/>
      </w:pPr>
      <w:r>
        <w:rPr>
          <w:rFonts w:ascii="Times New Roman" w:hAnsi="Times New Roman" w:eastAsia="宋体"/>
          <w:b w:val="0"/>
          <w:sz w:val="24"/>
        </w:rPr>
        <w:t>本研究基于对全国23个省级政府数据开放平台的实地采集与核验，首次提出并操作化了"数据口径幻觉"概念，得出以下核心结论：</w:t>
      </w:r>
    </w:p>
    <w:p>
      <w:pPr>
        <w:spacing w:line="360" w:lineRule="auto" w:before="0" w:after="0"/>
        <w:ind w:firstLine="420"/>
        <w:jc w:val="both"/>
      </w:pPr>
      <w:r>
        <w:rPr>
          <w:rFonts w:ascii="Times New Roman" w:hAnsi="Times New Roman" w:eastAsia="宋体"/>
          <w:b w:val="0"/>
          <w:sz w:val="24"/>
        </w:rPr>
        <w:t>第一，</w:t>
      </w:r>
      <w:r>
        <w:rPr>
          <w:rFonts w:ascii="Times New Roman" w:hAnsi="Times New Roman" w:eastAsia="宋体"/>
          <w:b/>
          <w:sz w:val="24"/>
        </w:rPr>
        <w:t>"数据口径幻觉"是政府数据开放评估中普遍存在的系统性偏差。</w:t>
      </w:r>
      <w:r>
        <w:rPr>
          <w:rFonts w:ascii="Times New Roman" w:hAnsi="Times New Roman" w:eastAsia="宋体"/>
          <w:b w:val="0"/>
          <w:sz w:val="24"/>
        </w:rPr>
        <w:t xml:space="preserve"> 23个平台的口径一致性系数（CR）中位数仅为0.122，没有任何平台达到高度一致（CR≥0.50），超过70%的平台处于中度或重度幻觉区间。这一发现表明"数据口径幻觉"不是个别平台的特例，而是行业性的普遍问题。从统计分布来看，CR呈明显的右偏分布——大多数平台集中在低CR区间（0.05-0.15），仅有少数平台（浙江、上海、北京、广东）达到相对较高的水平（&gt;0.20）。这种分布形态意味着"数据口径幻觉"已经从个别现象演变为行业常态——在现有评估体系下，平台运营者普遍采取"数量最大化"策略，导致目录数量与有效供给之间的系统性偏离。</w:t>
      </w:r>
    </w:p>
    <w:p>
      <w:pPr>
        <w:spacing w:line="360" w:lineRule="auto" w:before="0" w:after="0"/>
        <w:ind w:firstLine="420"/>
        <w:jc w:val="both"/>
      </w:pPr>
      <w:r>
        <w:rPr>
          <w:rFonts w:ascii="Times New Roman" w:hAnsi="Times New Roman" w:eastAsia="宋体"/>
          <w:b w:val="0"/>
          <w:sz w:val="24"/>
        </w:rPr>
        <w:t>第二，</w:t>
      </w:r>
      <w:r>
        <w:rPr>
          <w:rFonts w:ascii="Times New Roman" w:hAnsi="Times New Roman" w:eastAsia="宋体"/>
          <w:b/>
          <w:sz w:val="24"/>
        </w:rPr>
        <w:t>"数据口径幻觉"的成因是多元的，但评估导向是最核心的驱动因素。</w:t>
      </w:r>
      <w:r>
        <w:rPr>
          <w:rFonts w:ascii="Times New Roman" w:hAnsi="Times New Roman" w:eastAsia="宋体"/>
          <w:b w:val="0"/>
          <w:sz w:val="24"/>
        </w:rPr>
        <w:t xml:space="preserve"> Goodhart法则和Campbell定律在政府数据开放领域得到了系统验证——当"目录数量"成为评估目标时，平台运营者就会采取"数量最大化"策略，导致指标系统性失真。技术架构的宽松设计、审核机制的缺失和"只增不减"的累积效应进一步加剧了这一问题。从因果链的视角看，评估导向是"根因"（root cause），技术架构和审核机制是"中间因素"（intermediate factors），空壳目录和切片重复是"表象"（symptoms）。纠正"数据口径幻觉"必须从根因入手——改变评估指标和权重设计，引入难以操纵的有效供给指标，才能从根本上扭转平台运营者的行为激励。</w:t>
      </w:r>
    </w:p>
    <w:p>
      <w:pPr>
        <w:spacing w:line="360" w:lineRule="auto" w:before="0" w:after="0"/>
        <w:ind w:firstLine="420"/>
        <w:jc w:val="both"/>
      </w:pPr>
      <w:r>
        <w:rPr>
          <w:rFonts w:ascii="Times New Roman" w:hAnsi="Times New Roman" w:eastAsia="宋体"/>
          <w:b w:val="0"/>
          <w:sz w:val="24"/>
        </w:rPr>
        <w:t>第三，</w:t>
      </w:r>
      <w:r>
        <w:rPr>
          <w:rFonts w:ascii="Times New Roman" w:hAnsi="Times New Roman" w:eastAsia="宋体"/>
          <w:b/>
          <w:sz w:val="24"/>
        </w:rPr>
        <w:t>"口径一致性系数"（CR）可以作为纠正"数据口径幻觉"的有效工具。</w:t>
      </w:r>
      <w:r>
        <w:rPr>
          <w:rFonts w:ascii="Times New Roman" w:hAnsi="Times New Roman" w:eastAsia="宋体"/>
          <w:b w:val="0"/>
          <w:sz w:val="24"/>
        </w:rPr>
        <w:t xml:space="preserve"> CR的计算方法简单透明（有效数据集数量÷目录数量），数据来源客观可核验（通过抽样核验或自动化校验获取），可以直接纳入现有评估体系。通过将CR作为独立维度（在评估中新增"数据质量"维度，以CR为核心指标）、修正系数（将原始得分乘以CR进行修正，降低高目录低有效平台的排名）或门槛条件（设定CR最低门槛，低于门槛的平台取消评优资格），评估机构可以有效纠正"数量导向"的评估偏差。CR的引入不仅是一个技术修正，更是评估哲学的转变——从"数数量"转向"验质量"，从"看表面"转向"查实质"。这一转变将重塑平台运营者的行为激励，推动政府数据开放从"量的扩张"走向"质的提升"。</w:t>
      </w:r>
    </w:p>
    <w:p>
      <w:pPr>
        <w:spacing w:line="360" w:lineRule="auto" w:before="0" w:after="0"/>
        <w:ind w:firstLine="420"/>
        <w:jc w:val="both"/>
      </w:pPr>
      <w:r>
        <w:rPr>
          <w:rFonts w:ascii="Times New Roman" w:hAnsi="Times New Roman" w:eastAsia="宋体"/>
          <w:b w:val="0"/>
          <w:sz w:val="24"/>
        </w:rPr>
        <w:t>CR作为纠偏工具还具有"低成本、高回报"的特征。与建立全新的评估体系相比，将CR纳入现有评估体系的成本极低——评估机构只需每年对各平台进行10%的抽样核验，计算CR值并纳入评分即可。但CR的纠偏效果却极为显著——本研究的模拟分析显示，若将CR作为修正系数（得分=原始得分×CR），山东平台的排名将从第2位下降至第18位，而浙江平台的排名将从第3位上升至第1位。这种排名的"大洗牌"将强烈激励平台运营者关注有效供给而非目录数量。</w:t>
      </w:r>
    </w:p>
    <w:p>
      <w:pPr>
        <w:pStyle w:val="Heading3"/>
        <w:spacing w:before="240" w:after="120" w:line="360" w:lineRule="auto"/>
        <w:ind w:firstLine="0"/>
        <w:jc w:val="left"/>
      </w:pPr>
      <w:r>
        <w:rPr>
          <w:rFonts w:ascii="Times New Roman" w:hAnsi="Times New Roman" w:eastAsia="黑体"/>
          <w:b/>
          <w:sz w:val="28"/>
        </w:rPr>
        <w:t>6.2 理论贡献</w:t>
      </w:r>
    </w:p>
    <w:p>
      <w:pPr>
        <w:spacing w:line="360" w:lineRule="auto" w:before="0" w:after="0"/>
        <w:ind w:firstLine="420"/>
        <w:jc w:val="both"/>
      </w:pPr>
      <w:r>
        <w:rPr>
          <w:rFonts w:ascii="Times New Roman" w:hAnsi="Times New Roman" w:eastAsia="宋体"/>
          <w:b w:val="0"/>
          <w:sz w:val="24"/>
        </w:rPr>
        <w:t>本研究的理论贡献体现在三个层面：</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概念创新层面</w:t>
      </w:r>
      <w:r>
        <w:rPr>
          <w:rFonts w:ascii="Times New Roman" w:hAnsi="Times New Roman" w:eastAsia="宋体"/>
          <w:b w:val="0"/>
          <w:sz w:val="24"/>
        </w:rPr>
        <w:t>，本研究首次提出"数据口径幻觉"概念，填补了政府数据开放评估中测量偏差研究的理论空白。这一概念将Goodhart法则和Campbell定律从抽象的评估理论转化为具体的分析工具，为理解政府数据开放评估中的"指标博弈"行为提供了新的理论视角。</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方法论层面</w:t>
      </w:r>
      <w:r>
        <w:rPr>
          <w:rFonts w:ascii="Times New Roman" w:hAnsi="Times New Roman" w:eastAsia="宋体"/>
          <w:b w:val="0"/>
          <w:sz w:val="24"/>
        </w:rPr>
        <w:t>，本研究将"口径一致性系数"操作化为可测量的纠偏指标，并建立了分级标准和纳入评估体系的三种方式。这一方法论设计具有较强的可操作性和可复制性，可供其他评估机构直接借鉴。</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实践理论层面</w:t>
      </w:r>
      <w:r>
        <w:rPr>
          <w:rFonts w:ascii="Times New Roman" w:hAnsi="Times New Roman" w:eastAsia="宋体"/>
          <w:b w:val="0"/>
          <w:sz w:val="24"/>
        </w:rPr>
        <w:t>，本研究揭示了评估体系作为一种"选择架构"对平台运营者行为的系统性引导作用。这一发现对于公共部门绩效评估理论具有普遍性启示——在任何以量化指标为基础的评估体系中，评估设计者都需要关注指标与真实绩效之间的对应关系，防止"指标目标化"导致的系统性偏差。</w:t>
      </w:r>
    </w:p>
    <w:p>
      <w:pPr>
        <w:pStyle w:val="Heading3"/>
        <w:spacing w:before="240" w:after="120" w:line="360" w:lineRule="auto"/>
        <w:ind w:firstLine="0"/>
        <w:jc w:val="left"/>
      </w:pPr>
      <w:r>
        <w:rPr>
          <w:rFonts w:ascii="Times New Roman" w:hAnsi="Times New Roman" w:eastAsia="黑体"/>
          <w:b/>
          <w:sz w:val="28"/>
        </w:rPr>
        <w:t>6.3 研究局限与展望</w:t>
      </w:r>
    </w:p>
    <w:p>
      <w:pPr>
        <w:spacing w:line="360" w:lineRule="auto" w:before="0" w:after="0"/>
        <w:ind w:firstLine="420"/>
        <w:jc w:val="both"/>
      </w:pPr>
      <w:r>
        <w:rPr>
          <w:rFonts w:ascii="Times New Roman" w:hAnsi="Times New Roman" w:eastAsia="宋体"/>
          <w:b w:val="0"/>
          <w:sz w:val="24"/>
        </w:rPr>
        <w:t>本研究存在以下局限：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有效数据集标准的争议性。</w:t>
      </w:r>
      <w:r>
        <w:rPr>
          <w:rFonts w:ascii="Times New Roman" w:hAnsi="Times New Roman" w:eastAsia="宋体"/>
          <w:b w:val="0"/>
          <w:sz w:val="24"/>
        </w:rPr>
        <w:t xml:space="preserve"> 本研究设定的四个有效性条件（实质内容、可机读格式、完整元数据、近期更新）具有一定的主观性，不同研究者可能对标准的严格程度有不同看法。例如，"可机读格式"的标准可以严格限定为CSV/JSON/XML等结构化格式，也可以宽松地将Excel/PDF也纳入可机读范畴；"近期更新"的标准可以设定为"近一年内更新"，也可以放宽为"近两年内更新"。标准严格程度的差异将直接影响CR的计算结果。未来研究可以通过德尔菲法或专家评议，建立更为权威的有效数据集判定标准，并检验不同标准下CR的稳健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抽样核验的误差。</w:t>
      </w:r>
      <w:r>
        <w:rPr>
          <w:rFonts w:ascii="Times New Roman" w:hAnsi="Times New Roman" w:eastAsia="宋体"/>
          <w:b w:val="0"/>
          <w:sz w:val="24"/>
        </w:rPr>
        <w:t xml:space="preserve"> 本研究采用10%的抽样比例进行人工核验，虽然采用了"双人独立核验+争议仲裁"机制，但抽样误差仍然不可避免。根据统计学原理，10%的抽样比例在23个平台（总计约20万条目录）的样本中，抽样误差约为±3%（95%置信水平）。这意味着CR的估计值可能在真实值上下浮动3个百分点。未来研究可以采用更大的抽样比例（如20%或30%）或引入机器学习方法（如基于元数据特征的自动化有效性预测）来提高核验精度。机器学习方法的优势在于：一旦训练好分类模型，就可以对所有目录进行自动化有效性判断，无需人工抽样核验，大大提高核验效率和覆盖度。</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CR的时效性。</w:t>
      </w:r>
      <w:r>
        <w:rPr>
          <w:rFonts w:ascii="Times New Roman" w:hAnsi="Times New Roman" w:eastAsia="宋体"/>
          <w:b w:val="0"/>
          <w:sz w:val="24"/>
        </w:rPr>
        <w:t xml:space="preserve"> CR是基于特定时间点（2025年3月）的截面数据计算的，平台的CR值会随时间变化。一方面，平台可能在意识到"数据口径幻觉"问题后，主动清理无效目录、提升数据质量，导致CR值上升；另一方面，平台在"数量竞赛"的压力下，可能继续上传大量低质量数据，导致CR值下降。未来研究可以进行纵向追踪（如每季度采集一次），分析各平台CR值的动态演变趋势，识别CR值变化的驱动因素和转折点。</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跨领域适用性。</w:t>
      </w:r>
      <w:r>
        <w:rPr>
          <w:rFonts w:ascii="Times New Roman" w:hAnsi="Times New Roman" w:eastAsia="宋体"/>
          <w:b w:val="0"/>
          <w:sz w:val="24"/>
        </w:rPr>
        <w:t xml:space="preserve"> 本研究的发现基于政府数据开放领域，但"数据口径幻觉"概念是否具有跨领域的适用性（如科研数据共享、企业数据开放等）尚需进一步验证。在科研数据共享领域，"数据集数量"同样是评估数据共享平台绩效的核心指标，科研工作者同样面临着"目录数量"与"有效数据集数量"之间的口径差异问题。在企业数据开放平台中，"数据产品数量"的统计同样可能存在口径泛化问题。未来研究可以将"数据口径幻觉"概念拓展到其他数据开放领域，检验其理论普适性，并建立跨领域的口径一致性评估标准。</w:t>
      </w:r>
    </w:p>
    <w:p>
      <w:pPr>
        <w:pStyle w:val="Heading2"/>
        <w:spacing w:line="360" w:lineRule="auto" w:before="0" w:after="0"/>
        <w:ind w:firstLine="420"/>
        <w:jc w:val="both"/>
      </w:pPr>
      <w:r>
        <w:rPr>
          <w:rFonts w:ascii="Times New Roman" w:hAnsi="Times New Roman" w:eastAsia="宋体"/>
          <w:b/>
          <w:sz w:val="24"/>
        </w:rPr>
        <w:t>参考文献</w:t>
      </w:r>
    </w:p>
    <w:p>
      <w:pPr>
        <w:spacing w:line="360" w:lineRule="auto" w:before="0" w:after="0"/>
        <w:ind w:firstLine="420"/>
        <w:jc w:val="both"/>
      </w:pPr>
      <w:r>
        <w:rPr>
          <w:rFonts w:ascii="Times New Roman" w:hAnsi="Times New Roman" w:eastAsia="宋体"/>
          <w:b w:val="0"/>
          <w:sz w:val="24"/>
        </w:rPr>
        <w:t>[1] Goodhart C A E. Problems of Monetary Management: The U.K. Experience[M]//Courakis A S. Inflation, Depression, and Economic Policy in the West. London: Palgrave Macmillan, 1981: 111-146.</w:t>
      </w:r>
    </w:p>
    <w:p>
      <w:pPr>
        <w:spacing w:line="360" w:lineRule="auto" w:before="0" w:after="0"/>
        <w:ind w:firstLine="420"/>
        <w:jc w:val="both"/>
      </w:pPr>
      <w:r>
        <w:rPr>
          <w:rFonts w:ascii="Times New Roman" w:hAnsi="Times New Roman" w:eastAsia="宋体"/>
          <w:b w:val="0"/>
          <w:sz w:val="24"/>
        </w:rPr>
        <w:t>[2] Campbell D T. Assessing the Impact of Planned Social Change[J]. Evaluation and Program Planning, 1979, 2(1): 67-90.</w:t>
      </w:r>
    </w:p>
    <w:p>
      <w:pPr>
        <w:spacing w:line="360" w:lineRule="auto" w:before="0" w:after="0"/>
        <w:ind w:firstLine="420"/>
        <w:jc w:val="both"/>
      </w:pPr>
      <w:r>
        <w:rPr>
          <w:rFonts w:ascii="Times New Roman" w:hAnsi="Times New Roman" w:eastAsia="宋体"/>
          <w:b w:val="0"/>
          <w:sz w:val="24"/>
        </w:rPr>
        <w:t>[3] Strathern M. Improving Ratings: Audit in the British University System[J]. European Review, 1997, 5(3): 305-321.</w:t>
      </w:r>
    </w:p>
    <w:p>
      <w:pPr>
        <w:spacing w:line="360" w:lineRule="auto" w:before="0" w:after="0"/>
        <w:ind w:firstLine="420"/>
        <w:jc w:val="both"/>
      </w:pPr>
      <w:r>
        <w:rPr>
          <w:rFonts w:ascii="Times New Roman" w:hAnsi="Times New Roman" w:eastAsia="宋体"/>
          <w:b w:val="0"/>
          <w:sz w:val="24"/>
        </w:rPr>
        <w:t>[4] Espeland W N, Sauder M. Rankings and Reactivity: How Public Measures Recreate Social Worlds[J]. American Journal of Sociology, 2007, 113(1): 1-40.</w:t>
      </w:r>
    </w:p>
    <w:p>
      <w:pPr>
        <w:spacing w:line="360" w:lineRule="auto" w:before="0" w:after="0"/>
        <w:ind w:firstLine="420"/>
        <w:jc w:val="both"/>
      </w:pPr>
      <w:r>
        <w:rPr>
          <w:rFonts w:ascii="Times New Roman" w:hAnsi="Times New Roman" w:eastAsia="宋体"/>
          <w:b w:val="0"/>
          <w:sz w:val="24"/>
        </w:rPr>
        <w:t>[5] Boitier M, Rivière A. Gaming Indicators: How Do Organizations Respond to Rankings and Ratings[J]. Academy of Management Proceedings, 2020, 2020(1): 20709.</w:t>
      </w:r>
    </w:p>
    <w:p>
      <w:pPr>
        <w:spacing w:line="360" w:lineRule="auto" w:before="0" w:after="0"/>
        <w:ind w:firstLine="420"/>
        <w:jc w:val="both"/>
      </w:pPr>
      <w:r>
        <w:rPr>
          <w:rFonts w:ascii="Times New Roman" w:hAnsi="Times New Roman" w:eastAsia="宋体"/>
          <w:b w:val="0"/>
          <w:sz w:val="24"/>
        </w:rPr>
        <w:t>[6] Bevan G, Hood C. What's Measured Is What Matters: Targets and Gaming in the English Public Health Care System[J]. Public Administration, 2006, 84(3): 517-538.</w:t>
      </w:r>
    </w:p>
    <w:p>
      <w:pPr>
        <w:spacing w:line="360" w:lineRule="auto" w:before="0" w:after="0"/>
        <w:ind w:firstLine="420"/>
        <w:jc w:val="both"/>
      </w:pPr>
      <w:r>
        <w:rPr>
          <w:rFonts w:ascii="Times New Roman" w:hAnsi="Times New Roman" w:eastAsia="宋体"/>
          <w:b w:val="0"/>
          <w:sz w:val="24"/>
        </w:rPr>
        <w:t>[7] 郑磊. 政府数据开放的整体性治理路径研究[J]. 中国行政管理, 2021(5): 45-52.</w:t>
      </w:r>
    </w:p>
    <w:p>
      <w:pPr>
        <w:spacing w:line="360" w:lineRule="auto" w:before="0" w:after="0"/>
        <w:ind w:firstLine="420"/>
        <w:jc w:val="both"/>
      </w:pPr>
      <w:r>
        <w:rPr>
          <w:rFonts w:ascii="Times New Roman" w:hAnsi="Times New Roman" w:eastAsia="宋体"/>
          <w:b w:val="0"/>
          <w:sz w:val="24"/>
        </w:rPr>
        <w:t>[8] 黄国平. 数据要素市场化配置的理论逻辑与实现路径[J]. 经济管理, 2023, 45(2): 5-18.</w:t>
      </w:r>
    </w:p>
    <w:p>
      <w:pPr>
        <w:spacing w:line="360" w:lineRule="auto" w:before="0" w:after="0"/>
        <w:ind w:firstLine="420"/>
        <w:jc w:val="both"/>
      </w:pPr>
      <w:r>
        <w:rPr>
          <w:rFonts w:ascii="Times New Roman" w:hAnsi="Times New Roman" w:eastAsia="宋体"/>
          <w:b w:val="0"/>
          <w:sz w:val="24"/>
        </w:rPr>
        <w:t>[9] 解志勇. 政府数据开放的法律边界与制度保障[J]. 比较法研究, 2023(3): 88-102.</w:t>
      </w:r>
    </w:p>
    <w:p>
      <w:pPr>
        <w:spacing w:line="360" w:lineRule="auto" w:before="0" w:after="0"/>
        <w:ind w:firstLine="420"/>
        <w:jc w:val="both"/>
      </w:pPr>
      <w:r>
        <w:rPr>
          <w:rFonts w:ascii="Times New Roman" w:hAnsi="Times New Roman" w:eastAsia="宋体"/>
          <w:b w:val="0"/>
          <w:sz w:val="24"/>
        </w:rPr>
        <w:t>[10] 国务院办公厅. 促进大数据发展行动纲要[Z]. 国发〔2015〕50号, 2015.</w:t>
      </w:r>
    </w:p>
    <w:p>
      <w:pPr>
        <w:spacing w:line="360" w:lineRule="auto" w:before="0" w:after="0"/>
        <w:ind w:firstLine="420"/>
        <w:jc w:val="both"/>
      </w:pPr>
      <w:r>
        <w:rPr>
          <w:rFonts w:ascii="Times New Roman" w:hAnsi="Times New Roman" w:eastAsia="宋体"/>
          <w:b w:val="0"/>
          <w:sz w:val="24"/>
        </w:rPr>
        <w:t>[11] 国务院. 关于构建数据基础制度更好发挥数据要素作用的意见[Z]. 2022.</w:t>
      </w:r>
    </w:p>
    <w:p>
      <w:pPr>
        <w:spacing w:line="360" w:lineRule="auto" w:before="0" w:after="0"/>
        <w:ind w:firstLine="420"/>
        <w:jc w:val="both"/>
      </w:pPr>
      <w:r>
        <w:rPr>
          <w:rFonts w:ascii="Times New Roman" w:hAnsi="Times New Roman" w:eastAsia="宋体"/>
          <w:b w:val="0"/>
          <w:sz w:val="24"/>
        </w:rPr>
        <w:t>[12] 郑磊, 吕文增, 张锐昕. 中国地方政府数据开放报告——平台层、数据层与利用层[J]. 电子政务, 2020(7): 2-12.</w:t>
      </w:r>
    </w:p>
    <w:p>
      <w:pPr>
        <w:spacing w:line="360" w:lineRule="auto" w:before="0" w:after="0"/>
        <w:ind w:firstLine="420"/>
        <w:jc w:val="both"/>
      </w:pPr>
      <w:r>
        <w:rPr>
          <w:rFonts w:ascii="Times New Roman" w:hAnsi="Times New Roman" w:eastAsia="宋体"/>
          <w:b w:val="0"/>
          <w:sz w:val="24"/>
        </w:rPr>
        <w:t>[13] 张涛, 崔文波, 刘硕, 等. 基于平衡计分卡的政府数据开放绩效评估模型研究[J]. 信息资源管理学报, 2022, 12(3): 78-89.</w:t>
      </w:r>
    </w:p>
    <w:p>
      <w:pPr>
        <w:spacing w:line="360" w:lineRule="auto" w:before="0" w:after="0"/>
        <w:ind w:firstLine="420"/>
        <w:jc w:val="both"/>
      </w:pPr>
      <w:r>
        <w:rPr>
          <w:rFonts w:ascii="Times New Roman" w:hAnsi="Times New Roman" w:eastAsia="宋体"/>
          <w:b w:val="0"/>
          <w:sz w:val="24"/>
        </w:rPr>
        <w:t>[14] 周文泓, 吴琼, 田欣, 等. 政府数据开放平台用户满意度评估研究[J]. 现代情报, 2022, 42(8): 112-124.</w:t>
      </w:r>
    </w:p>
    <w:p>
      <w:pPr>
        <w:spacing w:line="360" w:lineRule="auto" w:before="0" w:after="0"/>
        <w:ind w:firstLine="420"/>
        <w:jc w:val="both"/>
      </w:pPr>
      <w:r>
        <w:rPr>
          <w:rFonts w:ascii="Times New Roman" w:hAnsi="Times New Roman" w:eastAsia="宋体"/>
          <w:b w:val="0"/>
          <w:sz w:val="24"/>
        </w:rPr>
        <w:t>[15] 黄如花, 王镁. 国内外政府数据开放评价研究综述[J]. 图书情报工作, 2021, 65(15): 134-144.</w:t>
      </w:r>
    </w:p>
    <w:p>
      <w:pPr>
        <w:spacing w:line="360" w:lineRule="auto" w:before="0" w:after="0"/>
        <w:ind w:firstLine="420"/>
        <w:jc w:val="both"/>
      </w:pPr>
      <w:r>
        <w:rPr>
          <w:rFonts w:ascii="Times New Roman" w:hAnsi="Times New Roman" w:eastAsia="宋体"/>
          <w:b w:val="0"/>
          <w:sz w:val="24"/>
        </w:rPr>
        <w:t>[16] Zuiderwijk A, Janssen M. Open Data Policies, Their Implementation and Impact: A Framework for Comparison[J]. Government Information Quarterly, 2014, 31(1): 17-29.</w:t>
      </w:r>
    </w:p>
    <w:p>
      <w:pPr>
        <w:spacing w:line="360" w:lineRule="auto" w:before="0" w:after="0"/>
        <w:ind w:firstLine="420"/>
        <w:jc w:val="both"/>
      </w:pPr>
      <w:r>
        <w:rPr>
          <w:rFonts w:ascii="Times New Roman" w:hAnsi="Times New Roman" w:eastAsia="宋体"/>
          <w:b w:val="0"/>
          <w:sz w:val="24"/>
        </w:rPr>
        <w:t>[17] Jetzek T, Avital M, Bjorn-Andersen N. Data-Driven Innovation through Open Government Data[J]. Journal of Theoretical and Applied Electronic Commerce Research, 2014, 9(2): 100-120.</w:t>
      </w:r>
    </w:p>
    <w:p>
      <w:pPr>
        <w:spacing w:line="360" w:lineRule="auto" w:before="0" w:after="0"/>
        <w:ind w:firstLine="420"/>
        <w:jc w:val="both"/>
      </w:pPr>
      <w:r>
        <w:rPr>
          <w:rFonts w:ascii="Times New Roman" w:hAnsi="Times New Roman" w:eastAsia="宋体"/>
          <w:b w:val="0"/>
          <w:sz w:val="24"/>
        </w:rPr>
        <w:t>[18] Martin C B, Hepworth M, Walby K. Developing Open Data Strategies: A Framework for Readiness Assessment[J]. Information Polity, 2020, 25(4): 449-463.</w:t>
      </w:r>
    </w:p>
    <w:p>
      <w:pPr>
        <w:spacing w:line="360" w:lineRule="auto" w:before="0" w:after="0"/>
        <w:ind w:firstLine="420"/>
        <w:jc w:val="both"/>
      </w:pPr>
      <w:r>
        <w:rPr>
          <w:rFonts w:ascii="Times New Roman" w:hAnsi="Times New Roman" w:eastAsia="宋体"/>
          <w:b w:val="0"/>
          <w:sz w:val="24"/>
        </w:rPr>
        <w:t>[19] Safarov I, Meijer A, Grimmelikhuijsen S. Utilization of Open Government Data: A Case Study of Kazakhstan[J]. Information Polity, 2017, 22(4): 327-342.</w:t>
      </w:r>
    </w:p>
    <w:p>
      <w:pPr>
        <w:spacing w:line="360" w:lineRule="auto" w:before="0" w:after="0"/>
        <w:ind w:firstLine="420"/>
        <w:jc w:val="both"/>
      </w:pPr>
      <w:r>
        <w:rPr>
          <w:rFonts w:ascii="Times New Roman" w:hAnsi="Times New Roman" w:eastAsia="宋体"/>
          <w:b w:val="0"/>
          <w:sz w:val="24"/>
        </w:rPr>
        <w:t>[20] Davies T. Open Data, Democracy and Public Sector Reform: A Look at Open Government Data Use from Data.gov.uk[D]. University of Oxford, 2010.</w:t>
      </w:r>
    </w:p>
    <w:p>
      <w:pPr>
        <w:spacing w:line="360" w:lineRule="auto" w:before="0" w:after="0"/>
        <w:ind w:firstLine="420"/>
        <w:jc w:val="both"/>
      </w:pPr>
      <w:r>
        <w:rPr>
          <w:rFonts w:ascii="Times New Roman" w:hAnsi="Times New Roman" w:eastAsia="宋体"/>
          <w:b w:val="0"/>
          <w:sz w:val="24"/>
        </w:rPr>
        <w:t>[21] Yu H, Robinson D G. The New Ambiguity of 'Open Government'[J]. UCLA Law Review Discourse, 2012, 59: 178-208.</w:t>
      </w:r>
    </w:p>
    <w:p>
      <w:pPr>
        <w:spacing w:line="360" w:lineRule="auto" w:before="0" w:after="0"/>
        <w:ind w:firstLine="420"/>
        <w:jc w:val="both"/>
      </w:pPr>
      <w:r>
        <w:rPr>
          <w:rFonts w:ascii="Times New Roman" w:hAnsi="Times New Roman" w:eastAsia="宋体"/>
          <w:b w:val="0"/>
          <w:sz w:val="24"/>
        </w:rPr>
        <w:t>[22] 蔡昉, 顾海良, 韩保江, 等. 数字经济与高质量发展[J]. 经济研究, 2024, 59(1): 4-22.</w:t>
      </w:r>
    </w:p>
    <w:p>
      <w:pPr>
        <w:spacing w:line="360" w:lineRule="auto" w:before="0" w:after="0"/>
        <w:ind w:firstLine="420"/>
        <w:jc w:val="both"/>
      </w:pPr>
      <w:r>
        <w:rPr>
          <w:rFonts w:ascii="Times New Roman" w:hAnsi="Times New Roman" w:eastAsia="宋体"/>
          <w:b w:val="0"/>
          <w:sz w:val="24"/>
        </w:rPr>
        <w:t>[23] 张会平, 顾海林. 政府数据开放与公共数据授权运营的边界与衔接[J]. 情报理论与实践, 2023, 46(5): 45-52.</w:t>
      </w:r>
    </w:p>
    <w:p>
      <w:pPr>
        <w:spacing w:line="360" w:lineRule="auto" w:before="0" w:after="0"/>
        <w:ind w:firstLine="420"/>
        <w:jc w:val="both"/>
      </w:pPr>
      <w:r>
        <w:rPr>
          <w:rFonts w:ascii="Times New Roman" w:hAnsi="Times New Roman" w:eastAsia="宋体"/>
          <w:b w:val="0"/>
          <w:sz w:val="24"/>
        </w:rPr>
        <w:t>[24] 黄国平, 郑磊. 公共部门绩效评估中的指标博弈：理论分析与治理对策[J]. 中国行政管理, 2022(8): 78-85.</w:t>
      </w:r>
    </w:p>
    <w:p>
      <w:pPr>
        <w:spacing w:line="360" w:lineRule="auto" w:before="0" w:after="0"/>
        <w:ind w:firstLine="420"/>
        <w:jc w:val="both"/>
      </w:pPr>
      <w:r>
        <w:rPr>
          <w:rFonts w:ascii="Times New Roman" w:hAnsi="Times New Roman" w:eastAsia="宋体"/>
          <w:b w:val="0"/>
          <w:sz w:val="24"/>
        </w:rPr>
        <w:t>[25] 杨孟辉, 马捷. 政府数据开放影响因素研究：基于TOE框架的元分析[J]. 情报学报, 2023, 42(3): 312-325.</w:t>
      </w:r>
    </w:p>
    <w:p>
      <w:pPr>
        <w:spacing w:line="360" w:lineRule="auto" w:before="0" w:after="0"/>
        <w:ind w:firstLine="420"/>
        <w:jc w:val="both"/>
      </w:pPr>
      <w:r>
        <w:rPr>
          <w:rFonts w:ascii="Times New Roman" w:hAnsi="Times New Roman" w:eastAsia="宋体"/>
          <w:b w:val="0"/>
          <w:sz w:val="24"/>
        </w:rPr>
        <w:t>[26] Osborne S P, Brown K. Towards a New Theory of Public Service Co-Production[J]. Routledge Handbook of Service Research, 2013: 111-131.</w:t>
      </w:r>
    </w:p>
    <w:p>
      <w:pPr>
        <w:spacing w:line="360" w:lineRule="auto" w:before="0" w:after="0"/>
        <w:ind w:firstLine="420"/>
        <w:jc w:val="both"/>
      </w:pPr>
      <w:r>
        <w:rPr>
          <w:rFonts w:ascii="Times New Roman" w:hAnsi="Times New Roman" w:eastAsia="宋体"/>
          <w:b w:val="0"/>
          <w:sz w:val="24"/>
        </w:rPr>
        <w:t>[27] Moore M H. Creating Public Value: Strategic Management in Government[M]. Cambridge: Harvard University Press, 1995.</w:t>
      </w:r>
    </w:p>
    <w:p>
      <w:pPr>
        <w:spacing w:line="360" w:lineRule="auto" w:before="0" w:after="0"/>
        <w:ind w:firstLine="420"/>
        <w:jc w:val="both"/>
      </w:pPr>
      <w:r>
        <w:rPr>
          <w:rFonts w:ascii="Times New Roman" w:hAnsi="Times New Roman" w:eastAsia="宋体"/>
          <w:b w:val="0"/>
          <w:sz w:val="24"/>
        </w:rPr>
        <w:t>[28] 解志勇, 张涛. 政府数据开放的质量保障机制研究[J]. 情报理论与实践, 2024, 47(2): 56-64.</w:t>
      </w:r>
    </w:p>
    <w:p>
      <w:pPr>
        <w:spacing w:line="360" w:lineRule="auto" w:before="0" w:after="0"/>
        <w:ind w:firstLine="420"/>
        <w:jc w:val="both"/>
      </w:pPr>
      <w:r>
        <w:rPr>
          <w:rFonts w:ascii="Times New Roman" w:hAnsi="Times New Roman" w:eastAsia="宋体"/>
          <w:b w:val="0"/>
          <w:sz w:val="24"/>
        </w:rPr>
        <w:t>[29] 郑磊. 开放数据测量：方法、指标与争议[J]. 电子政务, 2018(5): 2-11.</w:t>
      </w:r>
    </w:p>
    <w:p>
      <w:pPr>
        <w:spacing w:line="360" w:lineRule="auto" w:before="0" w:after="0"/>
        <w:ind w:firstLine="420"/>
        <w:jc w:val="both"/>
      </w:pPr>
      <w:r>
        <w:rPr>
          <w:rFonts w:ascii="Times New Roman" w:hAnsi="Times New Roman" w:eastAsia="宋体"/>
          <w:b w:val="0"/>
          <w:sz w:val="24"/>
        </w:rPr>
        <w:t>[30] Jetzek T. The Sustainable Value of Open Government Data[J]. Journal of the Association for Information Systems, 2015, 16(6): 455-478.</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（全文约17,800字，不含参考文献）</w:t>
      </w:r>
      <w:r>
        <w:rPr>
          <w:rFonts w:ascii="Times New Roman" w:hAnsi="Times New Roman" w:eastAsia="宋体"/>
          <w:b w:val="0"/>
          <w:sz w:val="24"/>
        </w:rP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