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0" w:after="0"/>
        <w:ind w:firstLine="420"/>
        <w:jc w:val="both"/>
      </w:pPr>
      <w:r>
        <w:rPr>
          <w:rFonts w:ascii="Times New Roman" w:hAnsi="Times New Roman" w:eastAsia="宋体"/>
          <w:b/>
          <w:sz w:val="24"/>
        </w:rPr>
        <w:t>效果导向的政府数据开放评估框架构建</w:t>
      </w:r>
    </w:p>
    <w:p>
      <w:pPr>
        <w:pStyle w:val="Heading2"/>
        <w:spacing w:line="360" w:lineRule="auto" w:before="0" w:after="0"/>
        <w:ind w:firstLine="420"/>
        <w:jc w:val="both"/>
      </w:pPr>
      <w:r>
        <w:rPr>
          <w:rFonts w:ascii="Times New Roman" w:hAnsi="Times New Roman" w:eastAsia="宋体"/>
          <w:b/>
          <w:sz w:val="24"/>
        </w:rPr>
        <w:t>——基于4E框架的迁移与适配</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摘要：</w:t>
      </w:r>
      <w:r>
        <w:rPr>
          <w:rFonts w:ascii="Times New Roman" w:hAnsi="Times New Roman" w:eastAsia="宋体"/>
          <w:b w:val="0"/>
          <w:sz w:val="24"/>
        </w:rPr>
        <w:t xml:space="preserve"> 现有政府数据开放评估体系存在"重供给轻效果"的系统性偏差，过度关注"开放了多少数据集"而忽视"数据产生了多少价值"。本研究基于4E绩效评估框架（供给保障-平台服务-数据质量-利用效果-公平性），结合公共价值理论和数据要素价值化理论，构建了涵盖5个一级维度、24个具体指标的政府数据开放平台评估体系。研究采用AHP-熵权组合赋权确定指标权重，将"利用效果"维度的权重提升至30%，并引入了授权运营成效、API调用深度等前瞻性指标。通过与开放数林指数、ODI指数等主流评估工具的系统比较，本研究揭示了现有评估体系的结构性局限，论证了效果导向评估的理论合理性和实践可行性。研究为政府数据开放评估从"供给导向"向"效果导向"的范式转型提供了理论框架和操作工具。</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 xml:space="preserve"> 政府数据开放；绩效评估；4E框架；效果导向；公共价值；数据要素价值化</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Abstract:</w:t>
      </w:r>
      <w:r>
        <w:rPr>
          <w:rFonts w:ascii="Times New Roman" w:hAnsi="Times New Roman" w:eastAsia="宋体"/>
          <w:b w:val="0"/>
          <w:sz w:val="24"/>
        </w:rPr>
        <w:t xml:space="preserve"> Existing government open data evaluation systems suffer from a systemic bias of emphasizing supply over effect—over-focusing on "how many datasets were released" while neglecting "how much value data has generated." Based on the 4E performance evaluation framework (Supply Assurance-Platform Service-Data Quality-Utilization Effect-Equity), and integrating public value theory and data要素 valueization theory, this study constructs an evaluation system for government open data platforms comprising 5 first-level dimensions and 24 specific indicators. Using AHP-entropy weight combination for indicator weighting, this study raises the weight of the "Utilization Effect" dimension to 30% and introduces forward-looking indicators such as authorized operation effectiveness and API call depth. Through systematic comparison with mainstream evaluation tools including the Open Data Index and ODI, this study reveals the structural limitations of existing evaluation systems and demonstrates the theoretical rationality and practical feasibility of effect-oriented evaluation. The research provides a theoretical framework and operational tools for the paradigm shift of government open data evaluation from "supply-oriented" to "effect-oriented."</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Keywords:</w:t>
      </w:r>
      <w:r>
        <w:rPr>
          <w:rFonts w:ascii="Times New Roman" w:hAnsi="Times New Roman" w:eastAsia="宋体"/>
          <w:b w:val="0"/>
          <w:sz w:val="24"/>
        </w:rPr>
        <w:t xml:space="preserve"> Open Government Data; Performance Evaluation; 4E Framework; Effect-Oriented; Public Value; Data要素 Valueization</w:t>
      </w:r>
    </w:p>
    <w:p>
      <w:pPr>
        <w:pStyle w:val="Heading2"/>
        <w:spacing w:before="360" w:after="240" w:line="360" w:lineRule="auto"/>
        <w:ind w:firstLine="0"/>
        <w:jc w:val="left"/>
      </w:pPr>
      <w:r>
        <w:rPr>
          <w:rFonts w:ascii="Times New Roman" w:hAnsi="Times New Roman" w:eastAsia="黑体"/>
          <w:b/>
          <w:sz w:val="32"/>
        </w:rPr>
        <w:t>1 引言</w:t>
      </w:r>
    </w:p>
    <w:p>
      <w:pPr>
        <w:pStyle w:val="Heading3"/>
        <w:spacing w:before="240" w:after="120" w:line="360" w:lineRule="auto"/>
        <w:ind w:firstLine="0"/>
        <w:jc w:val="left"/>
      </w:pPr>
      <w:r>
        <w:rPr>
          <w:rFonts w:ascii="Times New Roman" w:hAnsi="Times New Roman" w:eastAsia="黑体"/>
          <w:b/>
          <w:sz w:val="28"/>
        </w:rPr>
        <w:t>1.1 政府数据开放评估的重要性</w:t>
      </w:r>
    </w:p>
    <w:p>
      <w:pPr>
        <w:spacing w:line="360" w:lineRule="auto" w:before="0" w:after="0"/>
        <w:ind w:firstLine="420"/>
        <w:jc w:val="both"/>
      </w:pPr>
      <w:r>
        <w:rPr>
          <w:rFonts w:ascii="Times New Roman" w:hAnsi="Times New Roman" w:eastAsia="宋体"/>
          <w:b w:val="0"/>
          <w:sz w:val="24"/>
        </w:rPr>
        <w:t>政府数据开放（Open Government Data, OGD）是数字政府建设的重要组成部分，也是数据要素价值释放的关键路径。自2009年美国Data.gov上线以来，全球已有超过100个国家和地区建立了政府数据开放平台。我国自2015年《促进大数据发展行动纲要》发布以来，政府数据开放平台建设进入快车道。截至2025年3月，全国31个省级行政区中已有28个建立了独立的政府数据开放门户，平台数量呈现快速扩张态势。</w:t>
      </w:r>
    </w:p>
    <w:p>
      <w:pPr>
        <w:spacing w:line="360" w:lineRule="auto" w:before="0" w:after="0"/>
        <w:ind w:firstLine="420"/>
        <w:jc w:val="both"/>
      </w:pPr>
      <w:r>
        <w:rPr>
          <w:rFonts w:ascii="Times New Roman" w:hAnsi="Times New Roman" w:eastAsia="宋体"/>
          <w:b w:val="0"/>
          <w:sz w:val="24"/>
        </w:rPr>
        <w:t>然而，与平台建设"数量繁荣"形成鲜明对比的是评估体系的"效果贫瘠"。评估体系不仅是对平台绩效的测量工具，更是对平台运营者行为的引导机制——评估指标和权重的设定，隐性塑造了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Heading3"/>
        <w:spacing w:before="240" w:after="120" w:line="360" w:lineRule="auto"/>
        <w:ind w:firstLine="0"/>
        <w:jc w:val="left"/>
      </w:pPr>
      <w:r>
        <w:rPr>
          <w:rFonts w:ascii="Times New Roman" w:hAnsi="Times New Roman" w:eastAsia="黑体"/>
          <w:b/>
          <w:sz w:val="28"/>
        </w:rPr>
        <w:t>1.2 现有评估的"供给导向"偏差</w:t>
      </w:r>
    </w:p>
    <w:p>
      <w:pPr>
        <w:spacing w:line="360" w:lineRule="auto" w:before="0" w:after="0"/>
        <w:ind w:firstLine="420"/>
        <w:jc w:val="both"/>
      </w:pPr>
      <w:r>
        <w:rPr>
          <w:rFonts w:ascii="Times New Roman" w:hAnsi="Times New Roman" w:eastAsia="宋体"/>
          <w:b w:val="0"/>
          <w:sz w:val="24"/>
        </w:rP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w:t>
      </w:r>
    </w:p>
    <w:p>
      <w:pPr>
        <w:spacing w:line="360" w:lineRule="auto" w:before="0" w:after="0"/>
        <w:ind w:firstLine="420"/>
        <w:jc w:val="both"/>
      </w:pPr>
      <w:r>
        <w:rPr>
          <w:rFonts w:ascii="Times New Roman" w:hAnsi="Times New Roman" w:eastAsia="宋体"/>
          <w:b w:val="0"/>
          <w:sz w:val="24"/>
        </w:rPr>
        <w:t>"供给导向"偏差的形成有深刻的理论和实践根源。从理论层面看，供给导向的评估源于"可及性"范式的支配——早期研究将"开放"界定为"数据的可获取性"，评估焦点自然锁定在供给侧指标。从实践层面看，供给侧指标（如数据集数量、更新频率）可以通过自动化采集系统轻松获取，而效果侧指标（如数据利用的经济价值、社会影响力）则需要复杂的追踪和评估。在评估资源有限的情况下，评估机构自然倾向于选择"容易测量"的指标。</w:t>
      </w:r>
    </w:p>
    <w:p>
      <w:pPr>
        <w:spacing w:line="360" w:lineRule="auto" w:before="0" w:after="0"/>
        <w:ind w:firstLine="420"/>
        <w:jc w:val="both"/>
      </w:pPr>
      <w:r>
        <w:rPr>
          <w:rFonts w:ascii="Times New Roman" w:hAnsi="Times New Roman" w:eastAsia="宋体"/>
          <w:b w:val="0"/>
          <w:sz w:val="24"/>
        </w:rPr>
        <w:t>然而，"供给导向"偏差的后果是严重的。它不仅导致评估结果无法全面反映平台的真实绩效，还塑造了平台运营者的"数量最大化"行为——批量上传空壳数据集、创建虚拟目录、重复发布同一数据的不同切片。这种行为策略在短期可以显著提升平台的"评估排名"，但实质上并未增加有效的数据供给，反而加剧了"数据口径幻觉"现象。</w:t>
      </w:r>
    </w:p>
    <w:p>
      <w:pPr>
        <w:pStyle w:val="Heading3"/>
        <w:spacing w:before="240" w:after="120" w:line="360" w:lineRule="auto"/>
        <w:ind w:firstLine="0"/>
        <w:jc w:val="left"/>
      </w:pPr>
      <w:r>
        <w:rPr>
          <w:rFonts w:ascii="Times New Roman" w:hAnsi="Times New Roman" w:eastAsia="黑体"/>
          <w:b/>
          <w:sz w:val="28"/>
        </w:rPr>
        <w:t>1.3 研究目标：构建"效果导向"评估框架</w:t>
      </w:r>
    </w:p>
    <w:p>
      <w:pPr>
        <w:spacing w:line="360" w:lineRule="auto" w:before="0" w:after="0"/>
        <w:ind w:firstLine="420"/>
        <w:jc w:val="both"/>
      </w:pPr>
      <w:r>
        <w:rPr>
          <w:rFonts w:ascii="Times New Roman" w:hAnsi="Times New Roman" w:eastAsia="宋体"/>
          <w:b w:val="0"/>
          <w:sz w:val="24"/>
        </w:rPr>
        <w:t>基于上述分析，本研究旨在构建一个"效果导向"的政府数据开放平台评估框架，推动评估范式从"供给导向"向"效果导向"转型。具体目标包括：</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目标一：</w:t>
      </w:r>
      <w:r>
        <w:rPr>
          <w:rFonts w:ascii="Times New Roman" w:hAnsi="Times New Roman" w:eastAsia="宋体"/>
          <w:b w:val="0"/>
          <w:sz w:val="24"/>
        </w:rPr>
        <w:t xml:space="preserve"> 基于4E评估框架，构建涵盖"供给-平台-质量-效果-公平"全链条的评估指标体系。</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目标二：</w:t>
      </w:r>
      <w:r>
        <w:rPr>
          <w:rFonts w:ascii="Times New Roman" w:hAnsi="Times New Roman" w:eastAsia="宋体"/>
          <w:b w:val="0"/>
          <w:sz w:val="24"/>
        </w:rPr>
        <w:t xml:space="preserve"> 采用AHP-熵权组合赋权确定指标权重，将"利用效果"维度的权重提升至30%以上。</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目标三：</w:t>
      </w:r>
      <w:r>
        <w:rPr>
          <w:rFonts w:ascii="Times New Roman" w:hAnsi="Times New Roman" w:eastAsia="宋体"/>
          <w:b w:val="0"/>
          <w:sz w:val="24"/>
        </w:rPr>
        <w:t xml:space="preserve"> 通过与现有评估体系的系统比较，论证效果导向评估的理论合理性和实践可行性。</w:t>
      </w:r>
    </w:p>
    <w:p>
      <w:pPr>
        <w:pStyle w:val="Heading2"/>
        <w:spacing w:before="360" w:after="240" w:line="360" w:lineRule="auto"/>
        <w:ind w:firstLine="0"/>
        <w:jc w:val="left"/>
      </w:pPr>
      <w:r>
        <w:rPr>
          <w:rFonts w:ascii="Times New Roman" w:hAnsi="Times New Roman" w:eastAsia="黑体"/>
          <w:b/>
          <w:sz w:val="32"/>
        </w:rPr>
        <w:t>2 现有评估体系评述</w:t>
      </w:r>
    </w:p>
    <w:p>
      <w:pPr>
        <w:pStyle w:val="Heading3"/>
        <w:spacing w:before="240" w:after="120" w:line="360" w:lineRule="auto"/>
        <w:ind w:firstLine="0"/>
        <w:jc w:val="left"/>
      </w:pPr>
      <w:r>
        <w:rPr>
          <w:rFonts w:ascii="Times New Roman" w:hAnsi="Times New Roman" w:eastAsia="黑体"/>
          <w:b/>
          <w:sz w:val="28"/>
        </w:rPr>
        <w:t>2.1 国际评估工具</w:t>
      </w:r>
    </w:p>
    <w:p>
      <w:pPr>
        <w:spacing w:line="360" w:lineRule="auto" w:before="0" w:after="0"/>
        <w:ind w:firstLine="420"/>
        <w:jc w:val="both"/>
      </w:pPr>
      <w:r>
        <w:rPr>
          <w:rFonts w:ascii="Times New Roman" w:hAnsi="Times New Roman" w:eastAsia="宋体"/>
          <w:b w:val="0"/>
          <w:sz w:val="24"/>
        </w:rPr>
        <w:t>国际学术界和政策界开发了多种政府数据开放评估工具，本研究重点评述四种具有代表性的工具。</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开放数据晴雨表（Open Data Barometer, ODB）。</w:t>
      </w:r>
      <w:r>
        <w:rPr>
          <w:rFonts w:ascii="Times New Roman" w:hAnsi="Times New Roman" w:eastAsia="宋体"/>
          <w:b w:val="0"/>
          <w:sz w:val="24"/>
        </w:rPr>
        <w:t xml:space="preserve"> 由World Wide Web Foundation开发，从准备度、执行力和影响力三个维度评估各国政府数据开放水平。准备度维度考察政策法规、制度框架和资金支持；执行力维度考察数据开放的范围、质量和可访问性；影响力维度考察开放数据在政治、社会和经济领域的影响。ODB的评估方法是"定量+定性"的混合方法——部分指标基于客观数据采集，部分指标基于专家评议。ODB的优点是评估维度全面，覆盖了从准备到影响的完整链条；缺点是评估周期较长（每两年发布一次），且对影响力的测量依赖于主观判断。</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开放数据指数（Open Data Index, ODI）。</w:t>
      </w:r>
      <w:r>
        <w:rPr>
          <w:rFonts w:ascii="Times New Roman" w:hAnsi="Times New Roman" w:eastAsia="宋体"/>
          <w:b w:val="0"/>
          <w:sz w:val="24"/>
        </w:rPr>
        <w:t xml:space="preserve"> 由Open Knowledge Foundation开发，从数据集可用性维度评估各国政府数据开放水平。ODI选取特定主题领域的数据集（如交通、预算、环境等），评估这些数据集是否开放、是否可机读、是否可批量获取等。ODI的评估方法是"众包+专家验证"——由全球志愿者提交数据，再由专家进行验证。ODI的优点是评估方法简单透明，数据可得性高；缺点是评估维度单一（仅关注数据集可用性），且众包数据的质量参差不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全球开放数据指数（Global Open Data Index, GODI）。</w:t>
      </w:r>
      <w:r>
        <w:rPr>
          <w:rFonts w:ascii="Times New Roman" w:hAnsi="Times New Roman" w:eastAsia="宋体"/>
          <w:b w:val="0"/>
          <w:sz w:val="24"/>
        </w:rPr>
        <w:t xml:space="preserve"> 是ODI的升级版，评估维度和方法基本与ODI相同，但覆盖范围更广、数据集主题更多。GODI的优点是提供了全球范围内的可比数据；缺点是同样存在评估维度单一的问题。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开放数据监测器（Open Data Monitor, ODM）。</w:t>
      </w:r>
      <w:r>
        <w:rPr>
          <w:rFonts w:ascii="Times New Roman" w:hAnsi="Times New Roman" w:eastAsia="宋体"/>
          <w:b w:val="0"/>
          <w:sz w:val="24"/>
        </w:rPr>
        <w:t xml:space="preserve"> 由欧盟资助开发，采用自动化爬虫技术持续监测欧盟各国的数据开放平台，提供实时的平台性能指标（如数据集数量、更新频率、API可用性等）。ODM的优点是数据更新及时、采集过程自动化；缺点是评估维度较为单一，主要关注供给侧指标。ODM的技术架构对本研究具有重要的借鉴意义——它证明了自动化爬虫技术在政府数据开放平台监测中的可行性和可靠性。本研究的OGD-Collector Pro系统在技术路线上与ODM类似，但在覆盖范围（中国31个省级平台 vs 欧盟成员国平台）和评估深度（多维度绩效评估 vs 单维度性能监测）上进行了扩展。</w:t>
      </w:r>
    </w:p>
    <w:p>
      <w:pPr>
        <w:pStyle w:val="Heading3"/>
        <w:spacing w:before="240" w:after="120" w:line="360" w:lineRule="auto"/>
        <w:ind w:firstLine="0"/>
        <w:jc w:val="left"/>
      </w:pPr>
      <w:r>
        <w:rPr>
          <w:rFonts w:ascii="Times New Roman" w:hAnsi="Times New Roman" w:eastAsia="黑体"/>
          <w:b/>
          <w:sz w:val="28"/>
        </w:rPr>
        <w:t>2.2 国内评估工具</w:t>
      </w:r>
    </w:p>
    <w:p>
      <w:pPr>
        <w:spacing w:line="360" w:lineRule="auto" w:before="0" w:after="0"/>
        <w:ind w:firstLine="420"/>
        <w:jc w:val="both"/>
      </w:pPr>
      <w:r>
        <w:rPr>
          <w:rFonts w:ascii="Times New Roman" w:hAnsi="Times New Roman" w:eastAsia="宋体"/>
          <w:b w:val="0"/>
          <w:sz w:val="24"/>
        </w:rPr>
        <w:t>国内最具影响力的政府数据开放评估工具是复旦大学数字与移动治理实验室开发的"中国开放数林指数"。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中国开放数林指数。</w:t>
      </w:r>
      <w:r>
        <w:rPr>
          <w:rFonts w:ascii="Times New Roman" w:hAnsi="Times New Roman" w:eastAsia="宋体"/>
          <w:b w:val="0"/>
          <w:sz w:val="24"/>
        </w:rPr>
        <w:t xml:space="preserve"> 从准备度、数据层、平台层和利用层四个维度评估地方政府数据开放水平，自2017年以来已连续发布8期，覆盖了省级、副省级和地市级平台。准备度维度考察政策法规、组织保障、标准规范等制度条件；数据层维度考察数据集数量、质量、主题覆盖等供给指标；平台层维度考察平台功能、用户体验、API服务等技术指标；利用层维度考察应用数量、创新比赛等效果指标。</w:t>
      </w:r>
    </w:p>
    <w:p>
      <w:pPr>
        <w:spacing w:line="360" w:lineRule="auto" w:before="0" w:after="0"/>
        <w:ind w:firstLine="420"/>
        <w:jc w:val="both"/>
      </w:pPr>
      <w:r>
        <w:rPr>
          <w:rFonts w:ascii="Times New Roman" w:hAnsi="Times New Roman" w:eastAsia="宋体"/>
          <w:b w:val="0"/>
          <w:sz w:val="24"/>
        </w:rPr>
        <w:t>开放数林指数的数据采集方法较为规范，每年由研究团队对各平台进行实地访问和数据采集，评估结果具有较高的可信度和可比性。开放数林指数的评估方法经历了从"专家打分为主"到"客观数据为主"的演进——早期版本（2017-2019年）较多依赖专家主观评议，后期版本（2020年至今）逐步加强了客观数据采集的比重，提升了评估结果的客观性。此外，开放数林指数在评估范围上不断扩展——从最初的省级平台扩展到副省级和地市级平台，从政府机构扩展到国有企业，评估覆盖面持续扩大。</w:t>
      </w:r>
    </w:p>
    <w:p>
      <w:pPr>
        <w:spacing w:line="360" w:lineRule="auto" w:before="0" w:after="0"/>
        <w:ind w:firstLine="420"/>
        <w:jc w:val="both"/>
      </w:pPr>
      <w:r>
        <w:rPr>
          <w:rFonts w:ascii="Times New Roman" w:hAnsi="Times New Roman" w:eastAsia="宋体"/>
          <w:b w:val="0"/>
          <w:sz w:val="24"/>
        </w:rPr>
        <w:t>然而，开放数林指数存在三个结构性局限：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局限一："利用层"权重偏低。</w:t>
      </w:r>
      <w:r>
        <w:rPr>
          <w:rFonts w:ascii="Times New Roman" w:hAnsi="Times New Roman" w:eastAsia="宋体"/>
          <w:b w:val="0"/>
          <w:sz w:val="24"/>
        </w:rPr>
        <w:t xml:space="preserve"> 四个维度中利用层仅占总权重的约15%，无法全面反映数据的实际利用深度和广度。一个拥有500个应用但API月调用量仅1000次的平台，与一个拥有50个应用但API月调用量达100万次的平台，在"利用层"得分上可能并无显著差异——但后者的数据利用深度实则远超前者。权重偏低的深层原因在于利用效果的数据获取难度——下载量、API调用量等利用效果数据通常需要平台运营者的配合才能获取，而开放数林指数作为第三方评估机构，难以独立验证这些数据的准确性。因此，评估工具的设计者在权重分配上不自觉地"回避"了数据获取困难的维度，导致利用效果的权重被系统性低估。本研究通过OGD-Collector Pro系统的独立采集能力，克服了这一数据获取障碍，为提升利用效果权重提供了技术基础。</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局限二：缺乏效率维度。</w:t>
      </w:r>
      <w:r>
        <w:rPr>
          <w:rFonts w:ascii="Times New Roman" w:hAnsi="Times New Roman" w:eastAsia="宋体"/>
          <w:b w:val="0"/>
          <w:sz w:val="24"/>
        </w:rPr>
        <w:t xml:space="preserve"> 开放数林指数衡量了"开放了多少"和"利用了多少"，但未衡量"投入了多少资源来获得这些产出"。一个投入1亿元获得500个应用的平台与一个投入1000万元获得200个应用的平台，哪个更"高效"？开放数林指数无法回答这一问题。效率维度的缺失使得评估结果无法为资源配置决策提供指导——在财政资源有限的情况下，政策制定者需要知道"哪些平台用最少的投入产生了最大的产出"，以便将有限的资源投入到"高效率"平台。本研究通过引入DEA效率评价，填补了这一空白。DEA分析不仅揭示了各平台的效率水平，还识别了效率改进的方向和幅度——对于DEA无效的平台，DEA可以提供"目标参照平台"（即效率前沿上的标杆平台），为平台运营者提供明确的改进目标。</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局限三：评估方法单一。</w:t>
      </w:r>
      <w:r>
        <w:rPr>
          <w:rFonts w:ascii="Times New Roman" w:hAnsi="Times New Roman" w:eastAsia="宋体"/>
          <w:b w:val="0"/>
          <w:sz w:val="24"/>
        </w:rPr>
        <w:t xml:space="preserve"> 仅采用加权综合评分法，无法揭示绩效差异的形成机制和优化路径。加权综合评分法虽然能够对各平台进行排序和分级，但它假设各维度之间是线性可加的关系——即总得分等于各维度得分的加权之和。然而，现实中的政府数据开放绩效可能并非线性关系——某些维度之间可能存在交互效应（如平台服务质量和数据质量共同影响利用效果），某些维度之间可能存在阈值效应（如只有当数据质量达到一定门槛后，平台服务才能产生显著的利用效果）。加权综合评分法无法揭示这些复杂的非线性关系。此外，现有评估工具无法回答"哪些因素的组合能够产生高绩效"这一问题——加权评分法只能识别"哪个平台绩效高"，但不能揭示"高绩效平台做对了什么"。本研究通过引入fsQCA组态分析，填补了这一方法论空白——fsQCA能够识别导致高绩效的多条等效路径，揭示因素之间的组合效应和替代效应，为平台运营者提供更精细的改进指引。</w:t>
      </w:r>
    </w:p>
    <w:p>
      <w:pPr>
        <w:pStyle w:val="Heading3"/>
        <w:spacing w:before="240" w:after="120" w:line="360" w:lineRule="auto"/>
        <w:ind w:firstLine="0"/>
        <w:jc w:val="left"/>
      </w:pPr>
      <w:r>
        <w:rPr>
          <w:rFonts w:ascii="Times New Roman" w:hAnsi="Times New Roman" w:eastAsia="黑体"/>
          <w:b/>
          <w:sz w:val="28"/>
        </w:rPr>
        <w:t>2.3 现有评估体系的结构性局限</w:t>
      </w:r>
    </w:p>
    <w:p>
      <w:pPr>
        <w:spacing w:line="360" w:lineRule="auto" w:before="0" w:after="0"/>
        <w:ind w:firstLine="420"/>
        <w:jc w:val="both"/>
      </w:pPr>
      <w:r>
        <w:rPr>
          <w:rFonts w:ascii="Times New Roman" w:hAnsi="Times New Roman" w:eastAsia="宋体"/>
          <w:b w:val="0"/>
          <w:sz w:val="24"/>
        </w:rPr>
        <w:t>综合比较国内外主要评估工具（表2-1），本研究识别出现有评估体系的三个结构性局限。</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表2-1 主要评估体系比较</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t>维度</w:t>
            </w:r>
          </w:p>
        </w:tc>
        <w:tc>
          <w:tcPr>
            <w:tcW w:type="dxa" w:w="1440"/>
          </w:tcPr>
          <w:p>
            <w:pPr>
              <w:spacing w:line="240" w:lineRule="auto" w:before="0" w:after="0"/>
              <w:jc w:val="center"/>
            </w:pPr>
            <w:r>
              <w:rPr>
                <w:rFonts w:ascii="Times New Roman" w:hAnsi="Times New Roman" w:eastAsia="宋体"/>
                <w:b w:val="0"/>
                <w:sz w:val="21"/>
              </w:rPr>
              <w:t>开放数林指数</w:t>
            </w:r>
          </w:p>
        </w:tc>
        <w:tc>
          <w:tcPr>
            <w:tcW w:type="dxa" w:w="1440"/>
          </w:tcPr>
          <w:p>
            <w:pPr>
              <w:spacing w:line="240" w:lineRule="auto" w:before="0" w:after="0"/>
              <w:jc w:val="center"/>
            </w:pPr>
            <w:r>
              <w:rPr>
                <w:rFonts w:ascii="Times New Roman" w:hAnsi="Times New Roman" w:eastAsia="宋体"/>
                <w:b w:val="0"/>
                <w:sz w:val="21"/>
              </w:rPr>
              <w:t>ODI指数</w:t>
            </w:r>
          </w:p>
        </w:tc>
        <w:tc>
          <w:tcPr>
            <w:tcW w:type="dxa" w:w="1440"/>
          </w:tcPr>
          <w:p>
            <w:pPr>
              <w:spacing w:line="240" w:lineRule="auto" w:before="0" w:after="0"/>
              <w:jc w:val="center"/>
            </w:pPr>
            <w:r>
              <w:rPr>
                <w:rFonts w:ascii="Times New Roman" w:hAnsi="Times New Roman" w:eastAsia="宋体"/>
                <w:b w:val="0"/>
                <w:sz w:val="21"/>
              </w:rPr>
              <w:t>GODI指数</w:t>
            </w:r>
          </w:p>
        </w:tc>
        <w:tc>
          <w:tcPr>
            <w:tcW w:type="dxa" w:w="1440"/>
          </w:tcPr>
          <w:p>
            <w:pPr>
              <w:spacing w:line="240" w:lineRule="auto" w:before="0" w:after="0"/>
              <w:jc w:val="center"/>
            </w:pPr>
            <w:r>
              <w:rPr>
                <w:rFonts w:ascii="Times New Roman" w:hAnsi="Times New Roman" w:eastAsia="宋体"/>
                <w:b w:val="0"/>
                <w:sz w:val="21"/>
              </w:rPr>
              <w:t>ODM监测器</w:t>
            </w:r>
          </w:p>
        </w:tc>
        <w:tc>
          <w:tcPr>
            <w:tcW w:type="dxa" w:w="1440"/>
          </w:tcPr>
          <w:p>
            <w:pPr>
              <w:spacing w:line="240" w:lineRule="auto" w:before="0" w:after="0"/>
              <w:jc w:val="center"/>
            </w:pPr>
            <w:r>
              <w:rPr>
                <w:rFonts w:ascii="Times New Roman" w:hAnsi="Times New Roman" w:eastAsia="宋体"/>
                <w:b w:val="0"/>
                <w:sz w:val="21"/>
              </w:rPr>
              <w:t>本研究4E框架</w:t>
            </w:r>
          </w:p>
        </w:tc>
      </w:tr>
      <w:tr>
        <w:tc>
          <w:tcPr>
            <w:tcW w:type="dxa" w:w="1440"/>
          </w:tcPr>
          <w:p>
            <w:pPr>
              <w:spacing w:line="240" w:lineRule="auto" w:before="0" w:after="0"/>
              <w:jc w:val="center"/>
            </w:pPr>
            <w:r>
              <w:rPr>
                <w:rFonts w:ascii="Times New Roman" w:hAnsi="Times New Roman" w:eastAsia="宋体"/>
                <w:b w:val="0"/>
                <w:sz w:val="21"/>
              </w:rPr>
              <w:t>供给/准备度</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r>
      <w:tr>
        <w:tc>
          <w:tcPr>
            <w:tcW w:type="dxa" w:w="1440"/>
          </w:tcPr>
          <w:p>
            <w:pPr>
              <w:spacing w:line="240" w:lineRule="auto" w:before="0" w:after="0"/>
              <w:jc w:val="center"/>
            </w:pPr>
            <w:r>
              <w:rPr>
                <w:rFonts w:ascii="Times New Roman" w:hAnsi="Times New Roman" w:eastAsia="宋体"/>
                <w:b w:val="0"/>
                <w:sz w:val="21"/>
              </w:rPr>
              <w:t>平台/数据层</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r>
      <w:tr>
        <w:tc>
          <w:tcPr>
            <w:tcW w:type="dxa" w:w="1440"/>
          </w:tcPr>
          <w:p>
            <w:pPr>
              <w:spacing w:line="240" w:lineRule="auto" w:before="0" w:after="0"/>
              <w:jc w:val="center"/>
            </w:pPr>
            <w:r>
              <w:rPr>
                <w:rFonts w:ascii="Times New Roman" w:hAnsi="Times New Roman" w:eastAsia="宋体"/>
                <w:b w:val="0"/>
                <w:sz w:val="21"/>
              </w:rPr>
              <w:t>质量维度</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r>
      <w:tr>
        <w:tc>
          <w:tcPr>
            <w:tcW w:type="dxa" w:w="1440"/>
          </w:tcPr>
          <w:p>
            <w:pPr>
              <w:spacing w:line="240" w:lineRule="auto" w:before="0" w:after="0"/>
              <w:jc w:val="center"/>
            </w:pPr>
            <w:r>
              <w:rPr>
                <w:rFonts w:ascii="Times New Roman" w:hAnsi="Times New Roman" w:eastAsia="宋体"/>
                <w:b w:val="0"/>
                <w:sz w:val="21"/>
              </w:rPr>
              <w:t>利用层</w:t>
            </w:r>
          </w:p>
        </w:tc>
        <w:tc>
          <w:tcPr>
            <w:tcW w:type="dxa" w:w="1440"/>
          </w:tcPr>
          <w:p>
            <w:pPr>
              <w:spacing w:line="240" w:lineRule="auto" w:before="0" w:after="0"/>
              <w:jc w:val="center"/>
            </w:pPr>
            <w:r>
              <w:rPr>
                <w:rFonts w:ascii="Times New Roman" w:hAnsi="Times New Roman" w:eastAsia="宋体"/>
                <w:b w:val="0"/>
                <w:sz w:val="21"/>
              </w:rPr>
              <w:t>★★☆☆☆ (15%)</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 (30%)</w:t>
            </w:r>
          </w:p>
        </w:tc>
      </w:tr>
      <w:tr>
        <w:tc>
          <w:tcPr>
            <w:tcW w:type="dxa" w:w="1440"/>
          </w:tcPr>
          <w:p>
            <w:pPr>
              <w:spacing w:line="240" w:lineRule="auto" w:before="0" w:after="0"/>
              <w:jc w:val="center"/>
            </w:pPr>
            <w:r>
              <w:rPr>
                <w:rFonts w:ascii="Times New Roman" w:hAnsi="Times New Roman" w:eastAsia="宋体"/>
                <w:b w:val="0"/>
                <w:sz w:val="21"/>
              </w:rPr>
              <w:t>公平性</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r>
      <w:tr>
        <w:tc>
          <w:tcPr>
            <w:tcW w:type="dxa" w:w="1440"/>
          </w:tcPr>
          <w:p>
            <w:pPr>
              <w:spacing w:line="240" w:lineRule="auto" w:before="0" w:after="0"/>
              <w:jc w:val="center"/>
            </w:pPr>
            <w:r>
              <w:rPr>
                <w:rFonts w:ascii="Times New Roman" w:hAnsi="Times New Roman" w:eastAsia="宋体"/>
                <w:b w:val="0"/>
                <w:sz w:val="21"/>
              </w:rPr>
              <w:t>效率评价</w:t>
            </w:r>
          </w:p>
        </w:tc>
        <w:tc>
          <w:tcPr>
            <w:tcW w:type="dxa" w:w="1440"/>
          </w:tcPr>
          <w:p>
            <w:pPr>
              <w:spacing w:line="240" w:lineRule="auto" w:before="0" w:after="0"/>
              <w:jc w:val="center"/>
            </w:pPr>
            <w:r>
              <w:rPr>
                <w:rFonts w:ascii="Times New Roman" w:hAnsi="Times New Roman" w:eastAsia="宋体"/>
                <w:b w:val="0"/>
                <w:sz w:val="21"/>
              </w:rPr>
              <w:t>无</w:t>
            </w:r>
          </w:p>
        </w:tc>
        <w:tc>
          <w:tcPr>
            <w:tcW w:type="dxa" w:w="1440"/>
          </w:tcPr>
          <w:p>
            <w:pPr>
              <w:spacing w:line="240" w:lineRule="auto" w:before="0" w:after="0"/>
              <w:jc w:val="center"/>
            </w:pPr>
            <w:r>
              <w:rPr>
                <w:rFonts w:ascii="Times New Roman" w:hAnsi="Times New Roman" w:eastAsia="宋体"/>
                <w:b w:val="0"/>
                <w:sz w:val="21"/>
              </w:rPr>
              <w:t>无</w:t>
            </w:r>
          </w:p>
        </w:tc>
        <w:tc>
          <w:tcPr>
            <w:tcW w:type="dxa" w:w="1440"/>
          </w:tcPr>
          <w:p>
            <w:pPr>
              <w:spacing w:line="240" w:lineRule="auto" w:before="0" w:after="0"/>
              <w:jc w:val="center"/>
            </w:pPr>
            <w:r>
              <w:rPr>
                <w:rFonts w:ascii="Times New Roman" w:hAnsi="Times New Roman" w:eastAsia="宋体"/>
                <w:b w:val="0"/>
                <w:sz w:val="21"/>
              </w:rPr>
              <w:t>无</w:t>
            </w:r>
          </w:p>
        </w:tc>
        <w:tc>
          <w:tcPr>
            <w:tcW w:type="dxa" w:w="1440"/>
          </w:tcPr>
          <w:p>
            <w:pPr>
              <w:spacing w:line="240" w:lineRule="auto" w:before="0" w:after="0"/>
              <w:jc w:val="center"/>
            </w:pPr>
            <w:r>
              <w:rPr>
                <w:rFonts w:ascii="Times New Roman" w:hAnsi="Times New Roman" w:eastAsia="宋体"/>
                <w:b w:val="0"/>
                <w:sz w:val="21"/>
              </w:rPr>
              <w:t>无</w:t>
            </w:r>
          </w:p>
        </w:tc>
        <w:tc>
          <w:tcPr>
            <w:tcW w:type="dxa" w:w="1440"/>
          </w:tcPr>
          <w:p>
            <w:pPr>
              <w:spacing w:line="240" w:lineRule="auto" w:before="0" w:after="0"/>
              <w:jc w:val="center"/>
            </w:pPr>
            <w:r>
              <w:rPr>
                <w:rFonts w:ascii="Times New Roman" w:hAnsi="Times New Roman" w:eastAsia="宋体"/>
                <w:b w:val="0"/>
                <w:sz w:val="21"/>
              </w:rPr>
              <w:t>有(DEA)</w:t>
            </w:r>
          </w:p>
        </w:tc>
      </w:tr>
      <w:tr>
        <w:tc>
          <w:tcPr>
            <w:tcW w:type="dxa" w:w="1440"/>
          </w:tcPr>
          <w:p>
            <w:pPr>
              <w:spacing w:line="240" w:lineRule="auto" w:before="0" w:after="0"/>
              <w:jc w:val="center"/>
            </w:pPr>
            <w:r>
              <w:rPr>
                <w:rFonts w:ascii="Times New Roman" w:hAnsi="Times New Roman" w:eastAsia="宋体"/>
                <w:b w:val="0"/>
                <w:sz w:val="21"/>
              </w:rPr>
              <w:t>采集方式</w:t>
            </w:r>
          </w:p>
        </w:tc>
        <w:tc>
          <w:tcPr>
            <w:tcW w:type="dxa" w:w="1440"/>
          </w:tcPr>
          <w:p>
            <w:pPr>
              <w:spacing w:line="240" w:lineRule="auto" w:before="0" w:after="0"/>
              <w:jc w:val="center"/>
            </w:pPr>
            <w:r>
              <w:rPr>
                <w:rFonts w:ascii="Times New Roman" w:hAnsi="Times New Roman" w:eastAsia="宋体"/>
                <w:b w:val="0"/>
                <w:sz w:val="21"/>
              </w:rPr>
              <w:t>实地访问</w:t>
            </w:r>
          </w:p>
        </w:tc>
        <w:tc>
          <w:tcPr>
            <w:tcW w:type="dxa" w:w="1440"/>
          </w:tcPr>
          <w:p>
            <w:pPr>
              <w:spacing w:line="240" w:lineRule="auto" w:before="0" w:after="0"/>
              <w:jc w:val="center"/>
            </w:pPr>
            <w:r>
              <w:rPr>
                <w:rFonts w:ascii="Times New Roman" w:hAnsi="Times New Roman" w:eastAsia="宋体"/>
                <w:b w:val="0"/>
                <w:sz w:val="21"/>
              </w:rPr>
              <w:t>众包</w:t>
            </w:r>
          </w:p>
        </w:tc>
        <w:tc>
          <w:tcPr>
            <w:tcW w:type="dxa" w:w="1440"/>
          </w:tcPr>
          <w:p>
            <w:pPr>
              <w:spacing w:line="240" w:lineRule="auto" w:before="0" w:after="0"/>
              <w:jc w:val="center"/>
            </w:pPr>
            <w:r>
              <w:rPr>
                <w:rFonts w:ascii="Times New Roman" w:hAnsi="Times New Roman" w:eastAsia="宋体"/>
                <w:b w:val="0"/>
                <w:sz w:val="21"/>
              </w:rPr>
              <w:t>众包</w:t>
            </w:r>
          </w:p>
        </w:tc>
        <w:tc>
          <w:tcPr>
            <w:tcW w:type="dxa" w:w="1440"/>
          </w:tcPr>
          <w:p>
            <w:pPr>
              <w:spacing w:line="240" w:lineRule="auto" w:before="0" w:after="0"/>
              <w:jc w:val="center"/>
            </w:pPr>
            <w:r>
              <w:rPr>
                <w:rFonts w:ascii="Times New Roman" w:hAnsi="Times New Roman" w:eastAsia="宋体"/>
                <w:b w:val="0"/>
                <w:sz w:val="21"/>
              </w:rPr>
              <w:t>自动化爬虫</w:t>
            </w:r>
          </w:p>
        </w:tc>
        <w:tc>
          <w:tcPr>
            <w:tcW w:type="dxa" w:w="1440"/>
          </w:tcPr>
          <w:p>
            <w:pPr>
              <w:spacing w:line="240" w:lineRule="auto" w:before="0" w:after="0"/>
              <w:jc w:val="center"/>
            </w:pPr>
            <w:r>
              <w:rPr>
                <w:rFonts w:ascii="Times New Roman" w:hAnsi="Times New Roman" w:eastAsia="宋体"/>
                <w:b w:val="0"/>
                <w:sz w:val="21"/>
              </w:rPr>
              <w:t>自动化采集</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注：★数量表示该维度在该评估工具中的受重视程度。数据来源：作者整理。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2-1可以看出，本研究4E框架在"利用效果""公平性"和"效率评价"三个维度上实现了对现有评估工具的补充和超越。特别是"利用效果"维度的权重提升至30%，是开放数林指数的2倍，体现了从"供给导向"到"效果导向"的范式转变。这一范式转变的理论基础是公共价值理论——政府数据开放作为一种公共服务，其最终目的不是"开放了多少数据"，而是"产生了多少公共价值"。公共价值包括政治价值（提升政府透明度和问责性）、社会价值（促进社会创新和公共服务改善）和经济价值（推动数字经济发展和创业创新）。只有将利用效果作为评估的核心维度，才能真正衡量政府数据开放是否创造了公共价值。4E框架通过将利用效果权重提升至30%，并引入授权运营成效等前瞻性指标，为公共价值理论在政府数据开放评估中的应用提供了可操作的工具。</w:t>
      </w:r>
    </w:p>
    <w:p>
      <w:pPr>
        <w:pStyle w:val="Heading2"/>
        <w:spacing w:before="360" w:after="240" w:line="360" w:lineRule="auto"/>
        <w:ind w:firstLine="0"/>
        <w:jc w:val="left"/>
      </w:pPr>
      <w:r>
        <w:rPr>
          <w:rFonts w:ascii="Times New Roman" w:hAnsi="Times New Roman" w:eastAsia="黑体"/>
          <w:b/>
          <w:sz w:val="32"/>
        </w:rPr>
        <w:t>3 理论基础</w:t>
      </w:r>
    </w:p>
    <w:p>
      <w:pPr>
        <w:pStyle w:val="Heading3"/>
        <w:spacing w:before="240" w:after="120" w:line="360" w:lineRule="auto"/>
        <w:ind w:firstLine="0"/>
        <w:jc w:val="left"/>
      </w:pPr>
      <w:r>
        <w:rPr>
          <w:rFonts w:ascii="Times New Roman" w:hAnsi="Times New Roman" w:eastAsia="黑体"/>
          <w:b/>
          <w:sz w:val="28"/>
        </w:rPr>
        <w:t>3.1 公共价值理论</w:t>
      </w:r>
    </w:p>
    <w:p>
      <w:pPr>
        <w:spacing w:line="360" w:lineRule="auto" w:before="0" w:after="0"/>
        <w:ind w:firstLine="420"/>
        <w:jc w:val="both"/>
      </w:pPr>
      <w:r>
        <w:rPr>
          <w:rFonts w:ascii="Times New Roman" w:hAnsi="Times New Roman" w:eastAsia="宋体"/>
          <w:b w:val="0"/>
          <w:sz w:val="24"/>
        </w:rPr>
        <w:t>公共价值理论为效果导向评估提供了坚实的理论基础。Mark Moore于1995年提出的"公共价值三角"框架将公共价值创造分解为"战略三角"——授权环境（Authorizing Environment）、组织能力（Operational Capability）和公共价值（Public Value）三个维度。三个维度相互支撑、缺一不可：公共价值是目标，授权环境是合法性基础，组织能力是实现条件。</w:t>
      </w:r>
    </w:p>
    <w:p>
      <w:pPr>
        <w:spacing w:line="360" w:lineRule="auto" w:before="0" w:after="0"/>
        <w:ind w:firstLine="420"/>
        <w:jc w:val="both"/>
      </w:pPr>
      <w:r>
        <w:rPr>
          <w:rFonts w:ascii="Times New Roman" w:hAnsi="Times New Roman" w:eastAsia="宋体"/>
          <w:b w:val="0"/>
          <w:sz w:val="24"/>
        </w:rPr>
        <w:t>本研究将公共价值三角框架应用于政府数据开放领域，形成了以下理论映射：</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授权环境对应供给保障维度。</w:t>
      </w:r>
      <w:r>
        <w:rPr>
          <w:rFonts w:ascii="Times New Roman" w:hAnsi="Times New Roman" w:eastAsia="宋体"/>
          <w:b w:val="0"/>
          <w:sz w:val="24"/>
        </w:rPr>
        <w:t xml:space="preserve"> 政府数据开放的合法性来源于政策法规的授权——没有政策法规的支持，数据开放就缺乏合法性基础。供给保障维度衡量平台所处的授权环境，包括政策法规的完备性、标准规范的建设程度等。</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组织能力对应平台服务和数据质量维度。</w:t>
      </w:r>
      <w:r>
        <w:rPr>
          <w:rFonts w:ascii="Times New Roman" w:hAnsi="Times New Roman" w:eastAsia="宋体"/>
          <w:b w:val="0"/>
          <w:sz w:val="24"/>
        </w:rPr>
        <w:t xml:space="preserve"> 平台服务衡量平台的技术能力（能否提供便捷的数据获取服务），数据质量衡量平台的数据处理能力（能否提供高质量的数据资源）。二者共同构成了数据从"授权"到"价值"转化的组织能力。</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公共价值对应利用效果和公平性维度。</w:t>
      </w:r>
      <w:r>
        <w:rPr>
          <w:rFonts w:ascii="Times New Roman" w:hAnsi="Times New Roman" w:eastAsia="宋体"/>
          <w:b w:val="0"/>
          <w:sz w:val="24"/>
        </w:rPr>
        <w:t xml:space="preserve"> 利用效果衡量数据开放产生的实际社会价值（经济价值、创新价值、治理价值等），公平性衡量数据开放价值的分配是否公平（不同区域、不同群体是否能够平等地获取和利用数据）。二者共同构成了数据开放的最终目标——公共价值的实现。</w:t>
      </w:r>
    </w:p>
    <w:p>
      <w:pPr>
        <w:spacing w:line="360" w:lineRule="auto" w:before="0" w:after="0"/>
        <w:ind w:firstLine="420"/>
        <w:jc w:val="both"/>
      </w:pPr>
      <w:r>
        <w:rPr>
          <w:rFonts w:ascii="Times New Roman" w:hAnsi="Times New Roman" w:eastAsia="宋体"/>
          <w:b w:val="0"/>
          <w:sz w:val="24"/>
        </w:rPr>
        <w:t>这一理论映射为4E框架在政府数据开放领域的应用提供了坚实的理论基础。它揭示了评估的本质：评估不是为了测量"开放了多少"，而是为了判断"开放产生了多少公共价值"。</w:t>
      </w:r>
    </w:p>
    <w:p>
      <w:pPr>
        <w:pStyle w:val="Heading3"/>
        <w:spacing w:before="240" w:after="120" w:line="360" w:lineRule="auto"/>
        <w:ind w:firstLine="0"/>
        <w:jc w:val="left"/>
      </w:pPr>
      <w:r>
        <w:rPr>
          <w:rFonts w:ascii="Times New Roman" w:hAnsi="Times New Roman" w:eastAsia="黑体"/>
          <w:b/>
          <w:sz w:val="28"/>
        </w:rPr>
        <w:t>3.2 数据要素价值化理论</w:t>
      </w:r>
    </w:p>
    <w:p>
      <w:pPr>
        <w:spacing w:line="360" w:lineRule="auto" w:before="0" w:after="0"/>
        <w:ind w:firstLine="420"/>
        <w:jc w:val="both"/>
      </w:pPr>
      <w:r>
        <w:rPr>
          <w:rFonts w:ascii="Times New Roman" w:hAnsi="Times New Roman" w:eastAsia="宋体"/>
          <w:b w:val="0"/>
          <w:sz w:val="24"/>
        </w:rPr>
        <w:t>数据要素价值化理论为4E框架的维度设计提供了价值链逻辑。数据要素的价值化过程通常被描述为三个阶段：</w:t>
      </w:r>
      <w:r>
        <w:rPr>
          <w:rFonts w:ascii="Times New Roman" w:hAnsi="Times New Roman" w:eastAsia="宋体"/>
          <w:b/>
          <w:sz w:val="24"/>
        </w:rPr>
        <w:t>数据资源化</w:t>
      </w:r>
      <w:r>
        <w:rPr>
          <w:rFonts w:ascii="Times New Roman" w:hAnsi="Times New Roman" w:eastAsia="宋体"/>
          <w:b w:val="0"/>
          <w:sz w:val="24"/>
        </w:rPr>
        <w:t>→</w:t>
      </w:r>
      <w:r>
        <w:rPr>
          <w:rFonts w:ascii="Times New Roman" w:hAnsi="Times New Roman" w:eastAsia="宋体"/>
          <w:b/>
          <w:sz w:val="24"/>
        </w:rPr>
        <w:t>数据资产化</w:t>
      </w:r>
      <w:r>
        <w:rPr>
          <w:rFonts w:ascii="Times New Roman" w:hAnsi="Times New Roman" w:eastAsia="宋体"/>
          <w:b w:val="0"/>
          <w:sz w:val="24"/>
        </w:rPr>
        <w:t>→</w:t>
      </w:r>
      <w:r>
        <w:rPr>
          <w:rFonts w:ascii="Times New Roman" w:hAnsi="Times New Roman" w:eastAsia="宋体"/>
          <w:b/>
          <w:sz w:val="24"/>
        </w:rPr>
        <w:t>数据资本化</w:t>
      </w: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数据资源化</w:t>
      </w:r>
      <w:r>
        <w:rPr>
          <w:rFonts w:ascii="Times New Roman" w:hAnsi="Times New Roman" w:eastAsia="宋体"/>
          <w:b w:val="0"/>
          <w:sz w:val="24"/>
        </w:rPr>
        <w:t>是数据价值化的第一阶段，关注数据资源的获取和积累。原始数据通过采集、清洗、标注等加工过程，成为可供利用的数据资源。在政府数据开放领域，数据资源化对应"供给保障"维度——平台是否开放了充足的数据资源，数据资源的主题覆盖是否广泛，数据更新是否及时。数据资源化是价值化的基础——没有充足的数据供给，后续的价值化就无从谈起。然而，数据资源化仅解决了"有没有"的问题，尚未解决"好不好"和"用不用"的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数据资产化</w:t>
      </w:r>
      <w:r>
        <w:rPr>
          <w:rFonts w:ascii="Times New Roman" w:hAnsi="Times New Roman" w:eastAsia="宋体"/>
          <w:b w:val="0"/>
          <w:sz w:val="24"/>
        </w:rPr>
        <w:t>是数据价值化的第二阶段，关注数据资源的加工和标准化。数据资源通过质量提升、格式标准化、元数据完善等加工过程，成为可管理、可利用的数据资产，具备了价值实现的基础条件。在政府数据开放领域，数据资产化对应"平台服务"和"数据质量"维度——平台是否提供了便捷的数据获取服务，数据本身的质量是否满足利用需求。数据资产化是价值化的关键转折点——只有当数据从"原始资源"转化为"标准化资产"时，才能被广泛地利用和流通。</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数据资本化</w:t>
      </w:r>
      <w:r>
        <w:rPr>
          <w:rFonts w:ascii="Times New Roman" w:hAnsi="Times New Roman" w:eastAsia="宋体"/>
          <w:b w:val="0"/>
          <w:sz w:val="24"/>
        </w:rPr>
        <w:t>是数据价值化的第三阶段，关注数据资产的价值实现。数据资产通过应用开发、流通交易、授权运营等方式，转化为产生经济收益和社会价值的数据资本。在政府数据开放领域，数据资本化对应"利用效果"维度——数据是否被有效利用，利用产生了多少经济价值和社会价值。数据资本化是价值化的最终目标——只有当数据资产被成功利用并产生价值时，数据要素的价值化过程才算完成。然而，数据资本化并非自动发生的——它需要平台提供便捷的数据获取服务（平台服务维度）、数据本身具备较高的质量（数据质量维度），以及外部用户具备利用数据的能力和意愿（利用效果维度）。4E框架通过覆盖数据价值化的全过程，为评估数据要素的价值实现程度提供了系统性的工具。</w:t>
      </w:r>
    </w:p>
    <w:p>
      <w:pPr>
        <w:spacing w:line="360" w:lineRule="auto" w:before="0" w:after="0"/>
        <w:ind w:firstLine="420"/>
        <w:jc w:val="both"/>
      </w:pPr>
      <w:r>
        <w:rPr>
          <w:rFonts w:ascii="Times New Roman" w:hAnsi="Times New Roman" w:eastAsia="宋体"/>
          <w:b w:val="0"/>
          <w:sz w:val="24"/>
        </w:rPr>
        <w:t>数据要素价值化理论与4E框架的映射关系如表3-1所示。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表3-1 数据要素价值化理论与4E框架的映射</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价值化阶段</w:t>
            </w:r>
          </w:p>
        </w:tc>
        <w:tc>
          <w:tcPr>
            <w:tcW w:type="dxa" w:w="2160"/>
          </w:tcPr>
          <w:p>
            <w:pPr>
              <w:spacing w:line="240" w:lineRule="auto" w:before="0" w:after="0"/>
              <w:jc w:val="center"/>
            </w:pPr>
            <w:r>
              <w:rPr>
                <w:rFonts w:ascii="Times New Roman" w:hAnsi="Times New Roman" w:eastAsia="宋体"/>
                <w:b w:val="0"/>
                <w:sz w:val="21"/>
              </w:rPr>
              <w:t>理论内涵</w:t>
            </w:r>
          </w:p>
        </w:tc>
        <w:tc>
          <w:tcPr>
            <w:tcW w:type="dxa" w:w="2160"/>
          </w:tcPr>
          <w:p>
            <w:pPr>
              <w:spacing w:line="240" w:lineRule="auto" w:before="0" w:after="0"/>
              <w:jc w:val="center"/>
            </w:pPr>
            <w:r>
              <w:rPr>
                <w:rFonts w:ascii="Times New Roman" w:hAnsi="Times New Roman" w:eastAsia="宋体"/>
                <w:b w:val="0"/>
                <w:sz w:val="21"/>
              </w:rPr>
              <w:t>4E维度</w:t>
            </w:r>
          </w:p>
        </w:tc>
        <w:tc>
          <w:tcPr>
            <w:tcW w:type="dxa" w:w="2160"/>
          </w:tcPr>
          <w:p>
            <w:pPr>
              <w:spacing w:line="240" w:lineRule="auto" w:before="0" w:after="0"/>
              <w:jc w:val="center"/>
            </w:pPr>
            <w:r>
              <w:rPr>
                <w:rFonts w:ascii="Times New Roman" w:hAnsi="Times New Roman" w:eastAsia="宋体"/>
                <w:b w:val="0"/>
                <w:sz w:val="21"/>
              </w:rPr>
              <w:t>核心问题</w:t>
            </w:r>
          </w:p>
        </w:tc>
      </w:tr>
      <w:tr>
        <w:tc>
          <w:tcPr>
            <w:tcW w:type="dxa" w:w="2160"/>
          </w:tcPr>
          <w:p>
            <w:pPr>
              <w:spacing w:line="240" w:lineRule="auto" w:before="0" w:after="0"/>
              <w:jc w:val="center"/>
            </w:pPr>
            <w:r>
              <w:rPr>
                <w:rFonts w:ascii="Times New Roman" w:hAnsi="Times New Roman" w:eastAsia="宋体"/>
                <w:b w:val="0"/>
                <w:sz w:val="21"/>
              </w:rPr>
              <w:t>数据资源化</w:t>
            </w:r>
          </w:p>
        </w:tc>
        <w:tc>
          <w:tcPr>
            <w:tcW w:type="dxa" w:w="2160"/>
          </w:tcPr>
          <w:p>
            <w:pPr>
              <w:spacing w:line="240" w:lineRule="auto" w:before="0" w:after="0"/>
              <w:jc w:val="center"/>
            </w:pPr>
            <w:r>
              <w:rPr>
                <w:rFonts w:ascii="Times New Roman" w:hAnsi="Times New Roman" w:eastAsia="宋体"/>
                <w:b w:val="0"/>
                <w:sz w:val="21"/>
              </w:rPr>
              <w:t>数据资源的获取和积累</w:t>
            </w:r>
          </w:p>
        </w:tc>
        <w:tc>
          <w:tcPr>
            <w:tcW w:type="dxa" w:w="2160"/>
          </w:tcPr>
          <w:p>
            <w:pPr>
              <w:spacing w:line="240" w:lineRule="auto" w:before="0" w:after="0"/>
              <w:jc w:val="center"/>
            </w:pPr>
            <w:r>
              <w:rPr>
                <w:rFonts w:ascii="Times New Roman" w:hAnsi="Times New Roman" w:eastAsia="宋体"/>
                <w:b w:val="0"/>
                <w:sz w:val="21"/>
              </w:rPr>
              <w:t>供给保障</w:t>
            </w:r>
          </w:p>
        </w:tc>
        <w:tc>
          <w:tcPr>
            <w:tcW w:type="dxa" w:w="2160"/>
          </w:tcPr>
          <w:p>
            <w:pPr>
              <w:spacing w:line="240" w:lineRule="auto" w:before="0" w:after="0"/>
              <w:jc w:val="center"/>
            </w:pPr>
            <w:r>
              <w:rPr>
                <w:rFonts w:ascii="Times New Roman" w:hAnsi="Times New Roman" w:eastAsia="宋体"/>
                <w:b w:val="0"/>
                <w:sz w:val="21"/>
              </w:rPr>
              <w:t>数据供给是否充分？</w:t>
            </w:r>
          </w:p>
        </w:tc>
      </w:tr>
      <w:tr>
        <w:tc>
          <w:tcPr>
            <w:tcW w:type="dxa" w:w="2160"/>
          </w:tcPr>
          <w:p>
            <w:pPr>
              <w:spacing w:line="240" w:lineRule="auto" w:before="0" w:after="0"/>
              <w:jc w:val="center"/>
            </w:pPr>
            <w:r>
              <w:rPr>
                <w:rFonts w:ascii="Times New Roman" w:hAnsi="Times New Roman" w:eastAsia="宋体"/>
                <w:b w:val="0"/>
                <w:sz w:val="21"/>
              </w:rPr>
              <w:t>数据资产化</w:t>
            </w:r>
          </w:p>
        </w:tc>
        <w:tc>
          <w:tcPr>
            <w:tcW w:type="dxa" w:w="2160"/>
          </w:tcPr>
          <w:p>
            <w:pPr>
              <w:spacing w:line="240" w:lineRule="auto" w:before="0" w:after="0"/>
              <w:jc w:val="center"/>
            </w:pPr>
            <w:r>
              <w:rPr>
                <w:rFonts w:ascii="Times New Roman" w:hAnsi="Times New Roman" w:eastAsia="宋体"/>
                <w:b w:val="0"/>
                <w:sz w:val="21"/>
              </w:rPr>
              <w:t>数据资源的加工和标准化</w:t>
            </w:r>
          </w:p>
        </w:tc>
        <w:tc>
          <w:tcPr>
            <w:tcW w:type="dxa" w:w="2160"/>
          </w:tcPr>
          <w:p>
            <w:pPr>
              <w:spacing w:line="240" w:lineRule="auto" w:before="0" w:after="0"/>
              <w:jc w:val="center"/>
            </w:pPr>
            <w:r>
              <w:rPr>
                <w:rFonts w:ascii="Times New Roman" w:hAnsi="Times New Roman" w:eastAsia="宋体"/>
                <w:b w:val="0"/>
                <w:sz w:val="21"/>
              </w:rPr>
              <w:t>平台服务+数据质量</w:t>
            </w:r>
          </w:p>
        </w:tc>
        <w:tc>
          <w:tcPr>
            <w:tcW w:type="dxa" w:w="2160"/>
          </w:tcPr>
          <w:p>
            <w:pPr>
              <w:spacing w:line="240" w:lineRule="auto" w:before="0" w:after="0"/>
              <w:jc w:val="center"/>
            </w:pPr>
            <w:r>
              <w:rPr>
                <w:rFonts w:ascii="Times New Roman" w:hAnsi="Times New Roman" w:eastAsia="宋体"/>
                <w:b w:val="0"/>
                <w:sz w:val="21"/>
              </w:rPr>
              <w:t>数据是否可用？</w:t>
            </w:r>
          </w:p>
        </w:tc>
      </w:tr>
      <w:tr>
        <w:tc>
          <w:tcPr>
            <w:tcW w:type="dxa" w:w="2160"/>
          </w:tcPr>
          <w:p>
            <w:pPr>
              <w:spacing w:line="240" w:lineRule="auto" w:before="0" w:after="0"/>
              <w:jc w:val="center"/>
            </w:pPr>
            <w:r>
              <w:rPr>
                <w:rFonts w:ascii="Times New Roman" w:hAnsi="Times New Roman" w:eastAsia="宋体"/>
                <w:b w:val="0"/>
                <w:sz w:val="21"/>
              </w:rPr>
              <w:t>数据资本化</w:t>
            </w:r>
          </w:p>
        </w:tc>
        <w:tc>
          <w:tcPr>
            <w:tcW w:type="dxa" w:w="2160"/>
          </w:tcPr>
          <w:p>
            <w:pPr>
              <w:spacing w:line="240" w:lineRule="auto" w:before="0" w:after="0"/>
              <w:jc w:val="center"/>
            </w:pPr>
            <w:r>
              <w:rPr>
                <w:rFonts w:ascii="Times New Roman" w:hAnsi="Times New Roman" w:eastAsia="宋体"/>
                <w:b w:val="0"/>
                <w:sz w:val="21"/>
              </w:rPr>
              <w:t>数据资产的价值实现</w:t>
            </w:r>
          </w:p>
        </w:tc>
        <w:tc>
          <w:tcPr>
            <w:tcW w:type="dxa" w:w="2160"/>
          </w:tcPr>
          <w:p>
            <w:pPr>
              <w:spacing w:line="240" w:lineRule="auto" w:before="0" w:after="0"/>
              <w:jc w:val="center"/>
            </w:pPr>
            <w:r>
              <w:rPr>
                <w:rFonts w:ascii="Times New Roman" w:hAnsi="Times New Roman" w:eastAsia="宋体"/>
                <w:b w:val="0"/>
                <w:sz w:val="21"/>
              </w:rPr>
              <w:t>利用效果</w:t>
            </w:r>
          </w:p>
        </w:tc>
        <w:tc>
          <w:tcPr>
            <w:tcW w:type="dxa" w:w="2160"/>
          </w:tcPr>
          <w:p>
            <w:pPr>
              <w:spacing w:line="240" w:lineRule="auto" w:before="0" w:after="0"/>
              <w:jc w:val="center"/>
            </w:pPr>
            <w:r>
              <w:rPr>
                <w:rFonts w:ascii="Times New Roman" w:hAnsi="Times New Roman" w:eastAsia="宋体"/>
                <w:b w:val="0"/>
                <w:sz w:val="21"/>
              </w:rPr>
              <w:t>数据产生了多少价值？</w:t>
            </w:r>
          </w:p>
        </w:tc>
      </w:tr>
      <w:tr>
        <w:tc>
          <w:tcPr>
            <w:tcW w:type="dxa" w:w="2160"/>
          </w:tcPr>
          <w:p>
            <w:pPr>
              <w:spacing w:line="240" w:lineRule="auto" w:before="0" w:after="0"/>
              <w:jc w:val="center"/>
            </w:pPr>
            <w:r>
              <w:rPr>
                <w:rFonts w:ascii="Times New Roman" w:hAnsi="Times New Roman" w:eastAsia="宋体"/>
                <w:b w:val="0"/>
                <w:sz w:val="21"/>
              </w:rPr>
              <w:t>价值分配</w:t>
            </w:r>
          </w:p>
        </w:tc>
        <w:tc>
          <w:tcPr>
            <w:tcW w:type="dxa" w:w="2160"/>
          </w:tcPr>
          <w:p>
            <w:pPr>
              <w:spacing w:line="240" w:lineRule="auto" w:before="0" w:after="0"/>
              <w:jc w:val="center"/>
            </w:pPr>
            <w:r>
              <w:rPr>
                <w:rFonts w:ascii="Times New Roman" w:hAnsi="Times New Roman" w:eastAsia="宋体"/>
                <w:b w:val="0"/>
                <w:sz w:val="21"/>
              </w:rPr>
              <w:t>数据红利的公平分配</w:t>
            </w:r>
          </w:p>
        </w:tc>
        <w:tc>
          <w:tcPr>
            <w:tcW w:type="dxa" w:w="2160"/>
          </w:tcPr>
          <w:p>
            <w:pPr>
              <w:spacing w:line="240" w:lineRule="auto" w:before="0" w:after="0"/>
              <w:jc w:val="center"/>
            </w:pPr>
            <w:r>
              <w:rPr>
                <w:rFonts w:ascii="Times New Roman" w:hAnsi="Times New Roman" w:eastAsia="宋体"/>
                <w:b w:val="0"/>
                <w:sz w:val="21"/>
              </w:rPr>
              <w:t>公平性</w:t>
            </w:r>
          </w:p>
        </w:tc>
        <w:tc>
          <w:tcPr>
            <w:tcW w:type="dxa" w:w="2160"/>
          </w:tcPr>
          <w:p>
            <w:pPr>
              <w:spacing w:line="240" w:lineRule="auto" w:before="0" w:after="0"/>
              <w:jc w:val="center"/>
            </w:pPr>
            <w:r>
              <w:rPr>
                <w:rFonts w:ascii="Times New Roman" w:hAnsi="Times New Roman" w:eastAsia="宋体"/>
                <w:b w:val="0"/>
                <w:sz w:val="21"/>
              </w:rPr>
              <w:t>红利分配是否公平？</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这一映射关系揭示了4E框架的内在逻辑：从"供给保障"到"平台服务"到"数据质量"到"利用效果"，构成了一个完整的"投入-转化-产出"价值链。评估不应仅关注价值链的某一环节，而应覆盖全链条，才能全面反映平台的真实绩效。这一全链条设计还体现了"系统思维"的方法论特征——传统的评估工具往往将评估视为一个"线性过程"，从投入（供给）到产出（效果）的简单因果关系。然而，政府数据开放绩效的形成实际上是一个"复杂系统"——供给保障影响平台服务和数据质量，平台服务和数据质量共同影响利用效果，利用效果的反馈又反过来影响供给决策（如根据用户需求调整开放数据主题）。五个维度之间形成了复杂的反馈回路，而非简单的线性链条。4E框架虽然将五个维度并列呈现，但其内在逻辑是"系统性的"——各维度之间相互影响、相互制约，共同决定了平台的综合绩效。</w:t>
      </w:r>
    </w:p>
    <w:p>
      <w:pPr>
        <w:pStyle w:val="Heading3"/>
        <w:spacing w:before="240" w:after="120" w:line="360" w:lineRule="auto"/>
        <w:ind w:firstLine="0"/>
        <w:jc w:val="left"/>
      </w:pPr>
      <w:r>
        <w:rPr>
          <w:rFonts w:ascii="Times New Roman" w:hAnsi="Times New Roman" w:eastAsia="黑体"/>
          <w:b/>
          <w:sz w:val="28"/>
        </w:rPr>
        <w:t>3.3 4E框架的概念重构</w:t>
      </w:r>
    </w:p>
    <w:p>
      <w:pPr>
        <w:spacing w:line="360" w:lineRule="auto" w:before="0" w:after="0"/>
        <w:ind w:firstLine="420"/>
        <w:jc w:val="both"/>
      </w:pPr>
      <w:r>
        <w:rPr>
          <w:rFonts w:ascii="Times New Roman" w:hAnsi="Times New Roman" w:eastAsia="宋体"/>
          <w:b w:val="0"/>
          <w:sz w:val="24"/>
        </w:rPr>
        <w:t>本研究将4E绩效评估框架从公共财政领域迁移到政府数据开放领域，并结合数据要素价值化理论进行了概念重构（表3-2）。4E框架最初由英国审计委员会（Audit Commission）于1983年提出，用于地方政府绩效评估，其核心维度包括经济性（Economy）、效率性（Efficiency）、效果性（Effectiveness）和公平性（Equity）。这四个维度在公共财政领域形成了较为成熟的评估范式，但将其迁移到政府数据开放领域时，需要进行相应的概念调整和维度拓展。本研究的概念重构遵循了"保留核心、适应场景、填补空白"的原则——保留了经济性（对应供给保障）、效率性（重新界定为平台服务）、效果性（重新界定为利用效果）和公平性四个核心维度，同时新增了质量性维度以填补数据质量评估的空白。</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表3-2 4E框架概念重构</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原4E维度</w:t>
            </w:r>
          </w:p>
        </w:tc>
        <w:tc>
          <w:tcPr>
            <w:tcW w:type="dxa" w:w="2160"/>
          </w:tcPr>
          <w:p>
            <w:pPr>
              <w:spacing w:line="240" w:lineRule="auto" w:before="0" w:after="0"/>
              <w:jc w:val="center"/>
            </w:pPr>
            <w:r>
              <w:rPr>
                <w:rFonts w:ascii="Times New Roman" w:hAnsi="Times New Roman" w:eastAsia="宋体"/>
                <w:b w:val="0"/>
                <w:sz w:val="21"/>
              </w:rPr>
              <w:t>公共财政内涵</w:t>
            </w:r>
          </w:p>
        </w:tc>
        <w:tc>
          <w:tcPr>
            <w:tcW w:type="dxa" w:w="2160"/>
          </w:tcPr>
          <w:p>
            <w:pPr>
              <w:spacing w:line="240" w:lineRule="auto" w:before="0" w:after="0"/>
              <w:jc w:val="center"/>
            </w:pPr>
            <w:r>
              <w:rPr>
                <w:rFonts w:ascii="Times New Roman" w:hAnsi="Times New Roman" w:eastAsia="宋体"/>
                <w:b w:val="0"/>
                <w:sz w:val="21"/>
              </w:rPr>
              <w:t>政府数据开放适配</w:t>
            </w:r>
          </w:p>
        </w:tc>
        <w:tc>
          <w:tcPr>
            <w:tcW w:type="dxa" w:w="2160"/>
          </w:tcPr>
          <w:p>
            <w:pPr>
              <w:spacing w:line="240" w:lineRule="auto" w:before="0" w:after="0"/>
              <w:jc w:val="center"/>
            </w:pPr>
            <w:r>
              <w:rPr>
                <w:rFonts w:ascii="Times New Roman" w:hAnsi="Times New Roman" w:eastAsia="宋体"/>
                <w:b w:val="0"/>
                <w:sz w:val="21"/>
              </w:rPr>
              <w:t>价值链对应</w:t>
            </w:r>
          </w:p>
        </w:tc>
      </w:tr>
      <w:tr>
        <w:tc>
          <w:tcPr>
            <w:tcW w:type="dxa" w:w="2160"/>
          </w:tcPr>
          <w:p>
            <w:pPr>
              <w:spacing w:line="240" w:lineRule="auto" w:before="0" w:after="0"/>
              <w:jc w:val="center"/>
            </w:pPr>
            <w:r>
              <w:rPr>
                <w:rFonts w:ascii="Times New Roman" w:hAnsi="Times New Roman" w:eastAsia="宋体"/>
                <w:b w:val="0"/>
                <w:sz w:val="21"/>
              </w:rPr>
              <w:t>Economy(经济性)</w:t>
            </w:r>
          </w:p>
        </w:tc>
        <w:tc>
          <w:tcPr>
            <w:tcW w:type="dxa" w:w="2160"/>
          </w:tcPr>
          <w:p>
            <w:pPr>
              <w:spacing w:line="240" w:lineRule="auto" w:before="0" w:after="0"/>
              <w:jc w:val="center"/>
            </w:pPr>
            <w:r>
              <w:rPr>
                <w:rFonts w:ascii="Times New Roman" w:hAnsi="Times New Roman" w:eastAsia="宋体"/>
                <w:b w:val="0"/>
                <w:sz w:val="21"/>
              </w:rPr>
              <w:t>是否以最低成本获取资源</w:t>
            </w:r>
          </w:p>
        </w:tc>
        <w:tc>
          <w:tcPr>
            <w:tcW w:type="dxa" w:w="2160"/>
          </w:tcPr>
          <w:p>
            <w:pPr>
              <w:spacing w:line="240" w:lineRule="auto" w:before="0" w:after="0"/>
              <w:jc w:val="center"/>
            </w:pPr>
            <w:r>
              <w:rPr>
                <w:rFonts w:ascii="Times New Roman" w:hAnsi="Times New Roman" w:eastAsia="宋体"/>
                <w:b w:val="0"/>
                <w:sz w:val="21"/>
              </w:rPr>
              <w:t>供给保障：数据供给是否充分？</w:t>
            </w:r>
          </w:p>
        </w:tc>
        <w:tc>
          <w:tcPr>
            <w:tcW w:type="dxa" w:w="2160"/>
          </w:tcPr>
          <w:p>
            <w:pPr>
              <w:spacing w:line="240" w:lineRule="auto" w:before="0" w:after="0"/>
              <w:jc w:val="center"/>
            </w:pPr>
            <w:r>
              <w:rPr>
                <w:rFonts w:ascii="Times New Roman" w:hAnsi="Times New Roman" w:eastAsia="宋体"/>
                <w:b w:val="0"/>
                <w:sz w:val="21"/>
              </w:rPr>
              <w:t>数据资源化</w:t>
            </w:r>
          </w:p>
        </w:tc>
      </w:tr>
      <w:tr>
        <w:tc>
          <w:tcPr>
            <w:tcW w:type="dxa" w:w="2160"/>
          </w:tcPr>
          <w:p>
            <w:pPr>
              <w:spacing w:line="240" w:lineRule="auto" w:before="0" w:after="0"/>
              <w:jc w:val="center"/>
            </w:pPr>
            <w:r>
              <w:rPr>
                <w:rFonts w:ascii="Times New Roman" w:hAnsi="Times New Roman" w:eastAsia="宋体"/>
                <w:b w:val="0"/>
                <w:sz w:val="21"/>
              </w:rPr>
              <w:t>Efficiency(效率性)</w:t>
            </w:r>
          </w:p>
        </w:tc>
        <w:tc>
          <w:tcPr>
            <w:tcW w:type="dxa" w:w="2160"/>
          </w:tcPr>
          <w:p>
            <w:pPr>
              <w:spacing w:line="240" w:lineRule="auto" w:before="0" w:after="0"/>
              <w:jc w:val="center"/>
            </w:pPr>
            <w:r>
              <w:rPr>
                <w:rFonts w:ascii="Times New Roman" w:hAnsi="Times New Roman" w:eastAsia="宋体"/>
                <w:b w:val="0"/>
                <w:sz w:val="21"/>
              </w:rPr>
              <w:t>投入产出比是否最优</w:t>
            </w:r>
          </w:p>
        </w:tc>
        <w:tc>
          <w:tcPr>
            <w:tcW w:type="dxa" w:w="2160"/>
          </w:tcPr>
          <w:p>
            <w:pPr>
              <w:spacing w:line="240" w:lineRule="auto" w:before="0" w:after="0"/>
              <w:jc w:val="center"/>
            </w:pPr>
            <w:r>
              <w:rPr>
                <w:rFonts w:ascii="Times New Roman" w:hAnsi="Times New Roman" w:eastAsia="宋体"/>
                <w:b w:val="0"/>
                <w:sz w:val="21"/>
              </w:rPr>
              <w:t>平台服务：数据转化效率如何？</w:t>
            </w:r>
          </w:p>
        </w:tc>
        <w:tc>
          <w:tcPr>
            <w:tcW w:type="dxa" w:w="2160"/>
          </w:tcPr>
          <w:p>
            <w:pPr>
              <w:spacing w:line="240" w:lineRule="auto" w:before="0" w:after="0"/>
              <w:jc w:val="center"/>
            </w:pPr>
            <w:r>
              <w:rPr>
                <w:rFonts w:ascii="Times New Roman" w:hAnsi="Times New Roman" w:eastAsia="宋体"/>
                <w:b w:val="0"/>
                <w:sz w:val="21"/>
              </w:rPr>
              <w:t>数据资产化(服务)</w:t>
            </w:r>
          </w:p>
        </w:tc>
      </w:tr>
      <w:tr>
        <w:tc>
          <w:tcPr>
            <w:tcW w:type="dxa" w:w="2160"/>
          </w:tcPr>
          <w:p>
            <w:pPr>
              <w:spacing w:line="240" w:lineRule="auto" w:before="0" w:after="0"/>
              <w:jc w:val="center"/>
            </w:pPr>
            <w:r>
              <w:rPr>
                <w:rFonts w:ascii="Times New Roman" w:hAnsi="Times New Roman" w:eastAsia="宋体"/>
                <w:b w:val="0"/>
                <w:sz w:val="21"/>
              </w:rPr>
              <w:t>Quality(质量性)</w:t>
            </w:r>
          </w:p>
        </w:tc>
        <w:tc>
          <w:tcPr>
            <w:tcW w:type="dxa" w:w="2160"/>
          </w:tcPr>
          <w:p>
            <w:pPr>
              <w:spacing w:line="240" w:lineRule="auto" w:before="0" w:after="0"/>
              <w:jc w:val="center"/>
            </w:pPr>
            <w:r>
              <w:rPr>
                <w:rFonts w:ascii="Times New Roman" w:hAnsi="Times New Roman" w:eastAsia="宋体"/>
                <w:b w:val="0"/>
                <w:sz w:val="21"/>
              </w:rPr>
              <w:t>—（新增维度）</w:t>
            </w:r>
          </w:p>
        </w:tc>
        <w:tc>
          <w:tcPr>
            <w:tcW w:type="dxa" w:w="2160"/>
          </w:tcPr>
          <w:p>
            <w:pPr>
              <w:spacing w:line="240" w:lineRule="auto" w:before="0" w:after="0"/>
              <w:jc w:val="center"/>
            </w:pPr>
            <w:r>
              <w:rPr>
                <w:rFonts w:ascii="Times New Roman" w:hAnsi="Times New Roman" w:eastAsia="宋体"/>
                <w:b w:val="0"/>
                <w:sz w:val="21"/>
              </w:rPr>
              <w:t>数据质量：数据是否可用？</w:t>
            </w:r>
          </w:p>
        </w:tc>
        <w:tc>
          <w:tcPr>
            <w:tcW w:type="dxa" w:w="2160"/>
          </w:tcPr>
          <w:p>
            <w:pPr>
              <w:spacing w:line="240" w:lineRule="auto" w:before="0" w:after="0"/>
              <w:jc w:val="center"/>
            </w:pPr>
            <w:r>
              <w:rPr>
                <w:rFonts w:ascii="Times New Roman" w:hAnsi="Times New Roman" w:eastAsia="宋体"/>
                <w:b w:val="0"/>
                <w:sz w:val="21"/>
              </w:rPr>
              <w:t>数据资产化(质量)</w:t>
            </w:r>
          </w:p>
        </w:tc>
      </w:tr>
      <w:tr>
        <w:tc>
          <w:tcPr>
            <w:tcW w:type="dxa" w:w="2160"/>
          </w:tcPr>
          <w:p>
            <w:pPr>
              <w:spacing w:line="240" w:lineRule="auto" w:before="0" w:after="0"/>
              <w:jc w:val="center"/>
            </w:pPr>
            <w:r>
              <w:rPr>
                <w:rFonts w:ascii="Times New Roman" w:hAnsi="Times New Roman" w:eastAsia="宋体"/>
                <w:b w:val="0"/>
                <w:sz w:val="21"/>
              </w:rPr>
              <w:t>Effectiveness(效果性)</w:t>
            </w:r>
          </w:p>
        </w:tc>
        <w:tc>
          <w:tcPr>
            <w:tcW w:type="dxa" w:w="2160"/>
          </w:tcPr>
          <w:p>
            <w:pPr>
              <w:spacing w:line="240" w:lineRule="auto" w:before="0" w:after="0"/>
              <w:jc w:val="center"/>
            </w:pPr>
            <w:r>
              <w:rPr>
                <w:rFonts w:ascii="Times New Roman" w:hAnsi="Times New Roman" w:eastAsia="宋体"/>
                <w:b w:val="0"/>
                <w:sz w:val="21"/>
              </w:rPr>
              <w:t>是否达成预定目标</w:t>
            </w:r>
          </w:p>
        </w:tc>
        <w:tc>
          <w:tcPr>
            <w:tcW w:type="dxa" w:w="2160"/>
          </w:tcPr>
          <w:p>
            <w:pPr>
              <w:spacing w:line="240" w:lineRule="auto" w:before="0" w:after="0"/>
              <w:jc w:val="center"/>
            </w:pPr>
            <w:r>
              <w:rPr>
                <w:rFonts w:ascii="Times New Roman" w:hAnsi="Times New Roman" w:eastAsia="宋体"/>
                <w:b w:val="0"/>
                <w:sz w:val="21"/>
              </w:rPr>
              <w:t>利用效果：数据产生多少价值？</w:t>
            </w:r>
          </w:p>
        </w:tc>
        <w:tc>
          <w:tcPr>
            <w:tcW w:type="dxa" w:w="2160"/>
          </w:tcPr>
          <w:p>
            <w:pPr>
              <w:spacing w:line="240" w:lineRule="auto" w:before="0" w:after="0"/>
              <w:jc w:val="center"/>
            </w:pPr>
            <w:r>
              <w:rPr>
                <w:rFonts w:ascii="Times New Roman" w:hAnsi="Times New Roman" w:eastAsia="宋体"/>
                <w:b w:val="0"/>
                <w:sz w:val="21"/>
              </w:rPr>
              <w:t>数据资本化</w:t>
            </w:r>
          </w:p>
        </w:tc>
      </w:tr>
      <w:tr>
        <w:tc>
          <w:tcPr>
            <w:tcW w:type="dxa" w:w="2160"/>
          </w:tcPr>
          <w:p>
            <w:pPr>
              <w:spacing w:line="240" w:lineRule="auto" w:before="0" w:after="0"/>
              <w:jc w:val="center"/>
            </w:pPr>
            <w:r>
              <w:rPr>
                <w:rFonts w:ascii="Times New Roman" w:hAnsi="Times New Roman" w:eastAsia="宋体"/>
                <w:b w:val="0"/>
                <w:sz w:val="21"/>
              </w:rPr>
              <w:t>Equity(公平性)</w:t>
            </w:r>
          </w:p>
        </w:tc>
        <w:tc>
          <w:tcPr>
            <w:tcW w:type="dxa" w:w="2160"/>
          </w:tcPr>
          <w:p>
            <w:pPr>
              <w:spacing w:line="240" w:lineRule="auto" w:before="0" w:after="0"/>
              <w:jc w:val="center"/>
            </w:pPr>
            <w:r>
              <w:rPr>
                <w:rFonts w:ascii="Times New Roman" w:hAnsi="Times New Roman" w:eastAsia="宋体"/>
                <w:b w:val="0"/>
                <w:sz w:val="21"/>
              </w:rPr>
              <w:t>红利分配是否公平</w:t>
            </w:r>
          </w:p>
        </w:tc>
        <w:tc>
          <w:tcPr>
            <w:tcW w:type="dxa" w:w="2160"/>
          </w:tcPr>
          <w:p>
            <w:pPr>
              <w:spacing w:line="240" w:lineRule="auto" w:before="0" w:after="0"/>
              <w:jc w:val="center"/>
            </w:pPr>
            <w:r>
              <w:rPr>
                <w:rFonts w:ascii="Times New Roman" w:hAnsi="Times New Roman" w:eastAsia="宋体"/>
                <w:b w:val="0"/>
                <w:sz w:val="21"/>
              </w:rPr>
              <w:t>公平性：红利分配是否公平？</w:t>
            </w:r>
          </w:p>
        </w:tc>
        <w:tc>
          <w:tcPr>
            <w:tcW w:type="dxa" w:w="2160"/>
          </w:tcPr>
          <w:p>
            <w:pPr>
              <w:spacing w:line="240" w:lineRule="auto" w:before="0" w:after="0"/>
              <w:jc w:val="center"/>
            </w:pPr>
            <w:r>
              <w:rPr>
                <w:rFonts w:ascii="Times New Roman" w:hAnsi="Times New Roman" w:eastAsia="宋体"/>
                <w:b w:val="0"/>
                <w:sz w:val="21"/>
              </w:rPr>
              <w:t>价值分配</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概念重构的关键变化包括：</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第一，增加"质量性"（Quality）作为独立维度。</w:t>
      </w:r>
      <w:r>
        <w:rPr>
          <w:rFonts w:ascii="Times New Roman" w:hAnsi="Times New Roman" w:eastAsia="宋体"/>
          <w:b w:val="0"/>
          <w:sz w:val="24"/>
        </w:rPr>
        <w:t xml:space="preserve"> 传统的4E框架（经济性-效率性-效果性-公平性）虽然被广泛应用于公共部门绩效评估，但在政府数据开放领域存在一个明显的缺口——对"数据质量"的独立评估。数据质量是数据从"资源"到"资产"转化的关键条件，低质量数据不仅无法产生价值，还可能因"垃圾进垃圾出"效应导致错误的决策后果。因此，本研究将"数据质量"从"效率性"维度中独立出来，成为第五维度。这一调整的合理性在于：在公共财政领域，"效率性"已经涵盖了对服务质量的隐含要求（如高效的服务通常意味着优质的服务），但在政府数据开放领域，"平台服务效率"和"数据本身质量"是两个不同的概念——一个平台可能提供了极为便捷的下载服务（平台服务效率高），但其提供的数据本身却存在严重的质量问题（如数据缺失、格式混乱、更新滞后）。将数据质量独立为第五维度，使得评估能够分别衡量"服务的便捷性"和"数据的质量"，避免了二者相互掩盖的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第二，将"效率性"重新界定为"平台服务"。</w:t>
      </w:r>
      <w:r>
        <w:rPr>
          <w:rFonts w:ascii="Times New Roman" w:hAnsi="Times New Roman" w:eastAsia="宋体"/>
          <w:b w:val="0"/>
          <w:sz w:val="24"/>
        </w:rPr>
        <w:t xml:space="preserve"> 在公共财政领域，"效率性"关注投入产出比——即单位投入产生了多少产出。在政府数据开放领域，这一概念被重新界定为"平台服务"——关注平台的技术功能和用户体验，即数据从"供给"到"需求"的转化效率。平台服务越好，用户获取和利用数据的效率越高。这种重新界定体现了政府数据开放的特殊性——在公共财政领域，"效率"的核心问题是"花多少钱办多少事"；而在政府数据开放领域，"效率"的核心问题是"用户能否便捷地找到并获取所需数据"。平台服务维度通过衡量检索功能、预览功能、下载功能和API开放度等指标，直接反映了用户获取数据的便捷程度。</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第三，将"效果性"重新界定为"利用效果"。</w:t>
      </w:r>
      <w:r>
        <w:rPr>
          <w:rFonts w:ascii="Times New Roman" w:hAnsi="Times New Roman" w:eastAsia="宋体"/>
          <w:b w:val="0"/>
          <w:sz w:val="24"/>
        </w:rPr>
        <w:t xml:space="preserve"> 在公共财政领域，"效果性"关注是否达成预定目标——如政策执行是否达到了预期的社会效果。在政府数据开放领域，这一概念被重新界定为"利用效果"——关注数据利用产生的外部成果和社会价值。利用效果是数据开放的最终目标，也是评估的核心维度。这种重新界定的深层原因在于：政府数据开放的根本目的不是"发布数据"，而是"促进数据利用"。一个平台即使开放了数十万条数据集，但如果这些数据从未被下载、从未被应用、从未产生任何社会价值，那么该平台在本质上并未实现数据开放的目标。因此，将"利用效果"作为核心维度（权重30%），是对数据开放本质的回归——评估应关注"数据产生了多少价值"，而非"开放了多少数据"。</w:t>
      </w:r>
    </w:p>
    <w:p>
      <w:pPr>
        <w:pStyle w:val="Heading3"/>
        <w:spacing w:before="240" w:after="120" w:line="360" w:lineRule="auto"/>
        <w:ind w:firstLine="0"/>
        <w:jc w:val="left"/>
      </w:pPr>
      <w:r>
        <w:rPr>
          <w:rFonts w:ascii="Times New Roman" w:hAnsi="Times New Roman" w:eastAsia="黑体"/>
          <w:b/>
          <w:sz w:val="28"/>
        </w:rPr>
        <w:t>3.4 理论整合：从"供给导向"到"效果导向"</w:t>
      </w:r>
    </w:p>
    <w:p>
      <w:pPr>
        <w:spacing w:line="360" w:lineRule="auto" w:before="0" w:after="0"/>
        <w:ind w:firstLine="420"/>
        <w:jc w:val="both"/>
      </w:pPr>
      <w:r>
        <w:rPr>
          <w:rFonts w:ascii="Times New Roman" w:hAnsi="Times New Roman" w:eastAsia="宋体"/>
          <w:b w:val="0"/>
          <w:sz w:val="24"/>
        </w:rPr>
        <w:t>公共价值理论和数据要素价值化理论共同为4E框架提供了理论支撑，二者形成了互补关系（图3-1）。</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图3-1 理论整合框架</w:t>
      </w:r>
      <w:r>
        <w:rPr>
          <w:rFonts w:ascii="Times New Roman" w:hAnsi="Times New Roman" w:eastAsia="黑体"/>
          <w:b w:val="0"/>
          <w:sz w:val="21"/>
        </w:rPr>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公共价值理论                            │</w:t>
      </w:r>
    </w:p>
    <w:p>
      <w:pPr>
        <w:spacing w:line="360" w:lineRule="auto" w:before="0" w:after="0"/>
        <w:ind w:firstLine="420"/>
        <w:jc w:val="both"/>
      </w:pPr>
      <w:r>
        <w:rPr>
          <w:rFonts w:ascii="Times New Roman" w:hAnsi="Times New Roman" w:eastAsia="宋体"/>
          <w:b w:val="0"/>
          <w:sz w:val="24"/>
        </w:rPr>
        <w:t>│  ┌─────────────┐  ┌─────────────┐  ┌─────────────┐     │</w:t>
      </w:r>
    </w:p>
    <w:p>
      <w:pPr>
        <w:spacing w:line="360" w:lineRule="auto" w:before="0" w:after="0"/>
        <w:ind w:firstLine="420"/>
        <w:jc w:val="both"/>
      </w:pPr>
      <w:r>
        <w:rPr>
          <w:rFonts w:ascii="Times New Roman" w:hAnsi="Times New Roman" w:eastAsia="宋体"/>
          <w:b w:val="0"/>
          <w:sz w:val="24"/>
        </w:rPr>
        <w:t>│  │  授权环境    │  │  组织能力    │  │  公共价值    │     │</w:t>
      </w:r>
    </w:p>
    <w:p>
      <w:pPr>
        <w:spacing w:line="360" w:lineRule="auto" w:before="0" w:after="0"/>
        <w:ind w:firstLine="420"/>
        <w:jc w:val="both"/>
      </w:pPr>
      <w:r>
        <w:rPr>
          <w:rFonts w:ascii="Times New Roman" w:hAnsi="Times New Roman" w:eastAsia="宋体"/>
          <w:b w:val="0"/>
          <w:sz w:val="24"/>
        </w:rPr>
        <w:t>│  │ (政策法规)   │→ │ (平台+质量)  │→ │ (效果+公平)  │     │</w:t>
      </w:r>
    </w:p>
    <w:p>
      <w:pPr>
        <w:spacing w:line="360" w:lineRule="auto" w:before="0" w:after="0"/>
        <w:ind w:firstLine="420"/>
        <w:jc w:val="both"/>
      </w:pPr>
      <w:r>
        <w:rPr>
          <w:rFonts w:ascii="Times New Roman" w:hAnsi="Times New Roman" w:eastAsia="宋体"/>
          <w:b w:val="0"/>
          <w:sz w:val="24"/>
        </w:rPr>
        <w:t>│  └─────────────┘  └─────────────┘  └─────────────┘     │</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理论映射</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数据要素价值化理论                        │</w:t>
      </w:r>
    </w:p>
    <w:p>
      <w:pPr>
        <w:spacing w:line="360" w:lineRule="auto" w:before="0" w:after="0"/>
        <w:ind w:firstLine="420"/>
        <w:jc w:val="both"/>
      </w:pPr>
      <w:r>
        <w:rPr>
          <w:rFonts w:ascii="Times New Roman" w:hAnsi="Times New Roman" w:eastAsia="宋体"/>
          <w:b w:val="0"/>
          <w:sz w:val="24"/>
        </w:rPr>
        <w:t>│  ┌─────────────┐  ┌─────────────┐  ┌─────────────┐     │</w:t>
      </w:r>
    </w:p>
    <w:p>
      <w:pPr>
        <w:spacing w:line="360" w:lineRule="auto" w:before="0" w:after="0"/>
        <w:ind w:firstLine="420"/>
        <w:jc w:val="both"/>
      </w:pPr>
      <w:r>
        <w:rPr>
          <w:rFonts w:ascii="Times New Roman" w:hAnsi="Times New Roman" w:eastAsia="宋体"/>
          <w:b w:val="0"/>
          <w:sz w:val="24"/>
        </w:rPr>
        <w:t>│  │  数据资源化  │→ │  数据资产化  │→ │  数据资本化  │     │</w:t>
      </w:r>
    </w:p>
    <w:p>
      <w:pPr>
        <w:spacing w:line="360" w:lineRule="auto" w:before="0" w:after="0"/>
        <w:ind w:firstLine="420"/>
        <w:jc w:val="both"/>
      </w:pPr>
      <w:r>
        <w:rPr>
          <w:rFonts w:ascii="Times New Roman" w:hAnsi="Times New Roman" w:eastAsia="宋体"/>
          <w:b w:val="0"/>
          <w:sz w:val="24"/>
        </w:rPr>
        <w:t>│  │ (供给保障)   │  │ (服务+质量)  │  │ (利用效果)   │     │</w:t>
      </w:r>
    </w:p>
    <w:p>
      <w:pPr>
        <w:spacing w:line="360" w:lineRule="auto" w:before="0" w:after="0"/>
        <w:ind w:firstLine="420"/>
        <w:jc w:val="both"/>
      </w:pPr>
      <w:r>
        <w:rPr>
          <w:rFonts w:ascii="Times New Roman" w:hAnsi="Times New Roman" w:eastAsia="宋体"/>
          <w:b w:val="0"/>
          <w:sz w:val="24"/>
        </w:rPr>
        <w:t>│  └─────────────┘  └─────────────┘  └─────────────┘     │</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维度设计</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4E评估框架                           │</w:t>
      </w:r>
    </w:p>
    <w:p>
      <w:pPr>
        <w:spacing w:line="360" w:lineRule="auto" w:before="0" w:after="0"/>
        <w:ind w:firstLine="420"/>
        <w:jc w:val="both"/>
      </w:pPr>
      <w:r>
        <w:rPr>
          <w:rFonts w:ascii="Times New Roman" w:hAnsi="Times New Roman" w:eastAsia="宋体"/>
          <w:b w:val="0"/>
          <w:sz w:val="24"/>
        </w:rPr>
        <w:t>│  ┌─────┐ ┌─────┐ ┌─────┐ ┌─────┐ ┌─────┐               │</w:t>
      </w:r>
    </w:p>
    <w:p>
      <w:pPr>
        <w:spacing w:line="360" w:lineRule="auto" w:before="0" w:after="0"/>
        <w:ind w:firstLine="420"/>
        <w:jc w:val="both"/>
      </w:pPr>
      <w:r>
        <w:rPr>
          <w:rFonts w:ascii="Times New Roman" w:hAnsi="Times New Roman" w:eastAsia="宋体"/>
          <w:b w:val="0"/>
          <w:sz w:val="24"/>
        </w:rPr>
        <w:t>│  │供给 │ │平台 │ │数据 │ │利用 │ │公平 │               │</w:t>
      </w:r>
    </w:p>
    <w:p>
      <w:pPr>
        <w:spacing w:line="360" w:lineRule="auto" w:before="0" w:after="0"/>
        <w:ind w:firstLine="420"/>
        <w:jc w:val="both"/>
      </w:pPr>
      <w:r>
        <w:rPr>
          <w:rFonts w:ascii="Times New Roman" w:hAnsi="Times New Roman" w:eastAsia="宋体"/>
          <w:b w:val="0"/>
          <w:sz w:val="24"/>
        </w:rPr>
        <w:t>│  │保障 │ │服务 │ │质量 │ │效果 │ │性   │               │</w:t>
      </w:r>
    </w:p>
    <w:p>
      <w:pPr>
        <w:spacing w:line="360" w:lineRule="auto" w:before="0" w:after="0"/>
        <w:ind w:firstLine="420"/>
        <w:jc w:val="both"/>
      </w:pPr>
      <w:r>
        <w:rPr>
          <w:rFonts w:ascii="Times New Roman" w:hAnsi="Times New Roman" w:eastAsia="宋体"/>
          <w:b w:val="0"/>
          <w:sz w:val="24"/>
        </w:rPr>
        <w:t>│  └─────┘ └─────┘ └─────┘ └─────┘ └─────┘               │</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数据来源：作者绘制。</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公共价值理论提供了评估的"目标逻辑"——评估的最终目的是判断平台是否创造了公共价值。数据要素价值化理论提供了评估的"过程逻辑"——评估应覆盖从"资源"到"资产"到"资本"的完整价值链。4E框架将两种理论整合为可操作的评估维度，实现了"目标逻辑"和"过程逻辑"的统一。</w:t>
      </w:r>
    </w:p>
    <w:p>
      <w:pPr>
        <w:pStyle w:val="Heading2"/>
        <w:spacing w:before="360" w:after="240" w:line="360" w:lineRule="auto"/>
        <w:ind w:firstLine="0"/>
        <w:jc w:val="left"/>
      </w:pPr>
      <w:r>
        <w:rPr>
          <w:rFonts w:ascii="Times New Roman" w:hAnsi="Times New Roman" w:eastAsia="黑体"/>
          <w:b/>
          <w:sz w:val="32"/>
        </w:rPr>
        <w:t>4 评估指标体系构建</w:t>
      </w:r>
    </w:p>
    <w:p>
      <w:pPr>
        <w:pStyle w:val="Heading3"/>
        <w:spacing w:before="240" w:after="120" w:line="360" w:lineRule="auto"/>
        <w:ind w:firstLine="0"/>
        <w:jc w:val="left"/>
      </w:pPr>
      <w:r>
        <w:rPr>
          <w:rFonts w:ascii="Times New Roman" w:hAnsi="Times New Roman" w:eastAsia="黑体"/>
          <w:b/>
          <w:sz w:val="28"/>
        </w:rPr>
        <w:t>4.1 指标体系设计原则</w:t>
      </w:r>
    </w:p>
    <w:p>
      <w:pPr>
        <w:spacing w:line="360" w:lineRule="auto" w:before="0" w:after="0"/>
        <w:ind w:firstLine="420"/>
        <w:jc w:val="both"/>
      </w:pPr>
      <w:r>
        <w:rPr>
          <w:rFonts w:ascii="Times New Roman" w:hAnsi="Times New Roman" w:eastAsia="宋体"/>
          <w:b w:val="0"/>
          <w:sz w:val="24"/>
        </w:rPr>
        <w:t>本研究在构建评估指标体系时遵循了以下原则：</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SMART原则。</w:t>
      </w:r>
      <w:r>
        <w:rPr>
          <w:rFonts w:ascii="Times New Roman" w:hAnsi="Times New Roman" w:eastAsia="宋体"/>
          <w:b w:val="0"/>
          <w:sz w:val="24"/>
        </w:rPr>
        <w:t xml:space="preserve"> 所有指标均满足具体（Specific）、可测量（Measurable）、可达成（Achievable）、相关（Relevant）和有时限（Time-bound）的要求。例如，"数据集数量"通过自动化采集系统统计，"年均下载量"通过平台统计接口获取，"应用数量"通过平台公示和人工核验确认。SMART原则确保了每个指标都有明确的操作化定义和可获取的数据来源，避免了"概念模糊"和"数据不可得"的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独立性原则。</w:t>
      </w:r>
      <w:r>
        <w:rPr>
          <w:rFonts w:ascii="Times New Roman" w:hAnsi="Times New Roman" w:eastAsia="宋体"/>
          <w:b w:val="0"/>
          <w:sz w:val="24"/>
        </w:rPr>
        <w:t xml:space="preserve"> 各指标之间相互独立，避免信息冗余。例如，"数据集数量"和"主题覆盖度"虽然都衡量供给规模，但前者衡量"数量"，后者衡量"广度"，二者提供了不同维度的信息。独立性原则的检验方法包括：计算指标间的相关系数，若相关系数超过0.80，则认为存在信息冗余，需要剔除或合并。本研究对所有24个指标进行了相关性分析，最大相关系数为0.72（数据集数量与主题覆盖度之间），未超过0.80的阈值，表明指标间保持了较好的独立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可比性原则。</w:t>
      </w:r>
      <w:r>
        <w:rPr>
          <w:rFonts w:ascii="Times New Roman" w:hAnsi="Times New Roman" w:eastAsia="宋体"/>
          <w:b w:val="0"/>
          <w:sz w:val="24"/>
        </w:rPr>
        <w:t xml:space="preserve"> 所有指标均可进行跨平台比较。例如，"元数据完整率"的计算采用统一的字段标准（包括数据名称、描述、发布机构、更新日期、数据格式、主题分类、关键词等8个核心字段），"结构化格式占比"采用统一的格式分类标准（CSV、JSON、XML、Excel、GeoJSON等归为"结构化/可机读"格式；PDF、图片、网页等归为"非结构化/不可机读"格式）。可比性原则确保了不同平台之间的得分具有"同口径"比较的基础。</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效果导向原则。</w:t>
      </w:r>
      <w:r>
        <w:rPr>
          <w:rFonts w:ascii="Times New Roman" w:hAnsi="Times New Roman" w:eastAsia="宋体"/>
          <w:b w:val="0"/>
          <w:sz w:val="24"/>
        </w:rPr>
        <w:t xml:space="preserve"> 指标体系将"利用效果"维度的权重提升至30%，并引入了授权运营成效、API调用深度等前瞻性指标，超越了简单的"应用数量统计"。效果导向原则体现在两个层面：第一，权重分配向效果维度倾斜（30%为最高权重）；第二，效果维度的指标设计注重"深度"而非"广度"——不仅统计应用数量，还测量下载量（反映利用频率）和授权运营成效（反映利用创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可操作性原则。</w:t>
      </w:r>
      <w:r>
        <w:rPr>
          <w:rFonts w:ascii="Times New Roman" w:hAnsi="Times New Roman" w:eastAsia="宋体"/>
          <w:b w:val="0"/>
          <w:sz w:val="24"/>
        </w:rPr>
        <w:t xml:space="preserve"> 所有指标的数据均可通过自动化采集或公开渠道获取，不依赖平台运营者的自我申报。这一原则确保了评估数据的客观性和可验证性。例如，"数据集数量"由OGD-Collector Pro系统自动采集，"更新及时率"通过检查数据集的最后更新日期计算，"API接口数"通过平台功能测试统计。可操作性原则排除了主观评分和专家打分等容易引入偏差的评估方式，确保评估结果的客观性和可重复性。可操作性原则的另一个重要含义是"低成本可复现"——其他研究者或评估机构可以在不依赖特殊资源或独家渠道的情况下，复现本研究的评估过程并验证评估结果。这种"可复现性"是科学评估的基本要求，也是本研究4E框架区别于部分"黑箱式"评估工具的核心特征。</w:t>
      </w:r>
    </w:p>
    <w:p>
      <w:pPr>
        <w:pStyle w:val="Heading3"/>
        <w:spacing w:before="240" w:after="120" w:line="360" w:lineRule="auto"/>
        <w:ind w:firstLine="0"/>
        <w:jc w:val="left"/>
      </w:pPr>
      <w:r>
        <w:rPr>
          <w:rFonts w:ascii="Times New Roman" w:hAnsi="Times New Roman" w:eastAsia="黑体"/>
          <w:b/>
          <w:sz w:val="28"/>
        </w:rPr>
        <w:t>4.2 5维度24指标体系</w:t>
      </w:r>
    </w:p>
    <w:p>
      <w:pPr>
        <w:spacing w:line="360" w:lineRule="auto" w:before="0" w:after="0"/>
        <w:ind w:firstLine="420"/>
        <w:jc w:val="both"/>
      </w:pPr>
      <w:r>
        <w:rPr>
          <w:rFonts w:ascii="Times New Roman" w:hAnsi="Times New Roman" w:eastAsia="宋体"/>
          <w:b w:val="0"/>
          <w:sz w:val="24"/>
        </w:rPr>
        <w:t>基于上述原则，本研究构建了涵盖5个一级维度、9个二级维度和24个具体指标的评估体系（表4-1）。</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表4-1 4E评估指标体系</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before="0" w:after="0"/>
              <w:jc w:val="center"/>
            </w:pPr>
            <w:r>
              <w:rPr>
                <w:rFonts w:ascii="Times New Roman" w:hAnsi="Times New Roman" w:eastAsia="宋体"/>
                <w:b w:val="0"/>
                <w:sz w:val="21"/>
              </w:rPr>
              <w:t>一级维度</w:t>
            </w:r>
          </w:p>
        </w:tc>
        <w:tc>
          <w:tcPr>
            <w:tcW w:type="dxa" w:w="1234"/>
          </w:tcPr>
          <w:p>
            <w:pPr>
              <w:spacing w:line="240" w:lineRule="auto" w:before="0" w:after="0"/>
              <w:jc w:val="center"/>
            </w:pPr>
            <w:r>
              <w:rPr>
                <w:rFonts w:ascii="Times New Roman" w:hAnsi="Times New Roman" w:eastAsia="宋体"/>
                <w:b w:val="0"/>
                <w:sz w:val="21"/>
              </w:rPr>
              <w:t>权重</w:t>
            </w:r>
          </w:p>
        </w:tc>
        <w:tc>
          <w:tcPr>
            <w:tcW w:type="dxa" w:w="1234"/>
          </w:tcPr>
          <w:p>
            <w:pPr>
              <w:spacing w:line="240" w:lineRule="auto" w:before="0" w:after="0"/>
              <w:jc w:val="center"/>
            </w:pPr>
            <w:r>
              <w:rPr>
                <w:rFonts w:ascii="Times New Roman" w:hAnsi="Times New Roman" w:eastAsia="宋体"/>
                <w:b w:val="0"/>
                <w:sz w:val="21"/>
              </w:rPr>
              <w:t>二级指标</w:t>
            </w:r>
          </w:p>
        </w:tc>
        <w:tc>
          <w:tcPr>
            <w:tcW w:type="dxa" w:w="1234"/>
          </w:tcPr>
          <w:p>
            <w:pPr>
              <w:spacing w:line="240" w:lineRule="auto" w:before="0" w:after="0"/>
              <w:jc w:val="center"/>
            </w:pPr>
            <w:r>
              <w:rPr>
                <w:rFonts w:ascii="Times New Roman" w:hAnsi="Times New Roman" w:eastAsia="宋体"/>
                <w:b w:val="0"/>
                <w:sz w:val="21"/>
              </w:rPr>
              <w:t>权重</w:t>
            </w:r>
          </w:p>
        </w:tc>
        <w:tc>
          <w:tcPr>
            <w:tcW w:type="dxa" w:w="1234"/>
          </w:tcPr>
          <w:p>
            <w:pPr>
              <w:spacing w:line="240" w:lineRule="auto" w:before="0" w:after="0"/>
              <w:jc w:val="center"/>
            </w:pPr>
            <w:r>
              <w:rPr>
                <w:rFonts w:ascii="Times New Roman" w:hAnsi="Times New Roman" w:eastAsia="宋体"/>
                <w:b w:val="0"/>
                <w:sz w:val="21"/>
              </w:rPr>
              <w:t>三级指标</w:t>
            </w:r>
          </w:p>
        </w:tc>
        <w:tc>
          <w:tcPr>
            <w:tcW w:type="dxa" w:w="1234"/>
          </w:tcPr>
          <w:p>
            <w:pPr>
              <w:spacing w:line="240" w:lineRule="auto" w:before="0" w:after="0"/>
              <w:jc w:val="center"/>
            </w:pPr>
            <w:r>
              <w:rPr>
                <w:rFonts w:ascii="Times New Roman" w:hAnsi="Times New Roman" w:eastAsia="宋体"/>
                <w:b w:val="0"/>
                <w:sz w:val="21"/>
              </w:rPr>
              <w:t>指标说明</w:t>
            </w:r>
          </w:p>
        </w:tc>
        <w:tc>
          <w:tcPr>
            <w:tcW w:type="dxa" w:w="1234"/>
          </w:tcPr>
          <w:p>
            <w:pPr>
              <w:spacing w:line="240" w:lineRule="auto" w:before="0" w:after="0"/>
              <w:jc w:val="center"/>
            </w:pPr>
            <w:r>
              <w:rPr>
                <w:rFonts w:ascii="Times New Roman" w:hAnsi="Times New Roman" w:eastAsia="宋体"/>
                <w:b w:val="0"/>
                <w:sz w:val="21"/>
              </w:rPr>
              <w:t>数据来源</w:t>
            </w:r>
          </w:p>
        </w:tc>
      </w:tr>
      <w:tr>
        <w:tc>
          <w:tcPr>
            <w:tcW w:type="dxa" w:w="1234"/>
          </w:tcPr>
          <w:p>
            <w:pPr>
              <w:spacing w:line="240" w:lineRule="auto" w:before="0" w:after="0"/>
              <w:jc w:val="center"/>
            </w:pPr>
            <w:r>
              <w:rPr>
                <w:rFonts w:ascii="Times New Roman" w:hAnsi="Times New Roman" w:eastAsia="宋体"/>
                <w:b w:val="0"/>
                <w:sz w:val="21"/>
              </w:rPr>
              <w:t>供给保障</w:t>
            </w:r>
          </w:p>
        </w:tc>
        <w:tc>
          <w:tcPr>
            <w:tcW w:type="dxa" w:w="1234"/>
          </w:tcPr>
          <w:p>
            <w:pPr>
              <w:spacing w:line="240" w:lineRule="auto" w:before="0" w:after="0"/>
              <w:jc w:val="center"/>
            </w:pPr>
            <w:r>
              <w:rPr>
                <w:rFonts w:ascii="Times New Roman" w:hAnsi="Times New Roman" w:eastAsia="宋体"/>
                <w:b w:val="0"/>
                <w:sz w:val="21"/>
              </w:rPr>
              <w:t>0.20</w:t>
            </w:r>
          </w:p>
        </w:tc>
        <w:tc>
          <w:tcPr>
            <w:tcW w:type="dxa" w:w="1234"/>
          </w:tcPr>
          <w:p>
            <w:pPr>
              <w:spacing w:line="240" w:lineRule="auto" w:before="0" w:after="0"/>
              <w:jc w:val="center"/>
            </w:pPr>
            <w:r>
              <w:rPr>
                <w:rFonts w:ascii="Times New Roman" w:hAnsi="Times New Roman" w:eastAsia="宋体"/>
                <w:b w:val="0"/>
                <w:sz w:val="21"/>
              </w:rPr>
              <w:t>数据规模</w:t>
            </w:r>
          </w:p>
        </w:tc>
        <w:tc>
          <w:tcPr>
            <w:tcW w:type="dxa" w:w="1234"/>
          </w:tcPr>
          <w:p>
            <w:pPr>
              <w:spacing w:line="240" w:lineRule="auto" w:before="0" w:after="0"/>
              <w:jc w:val="center"/>
            </w:pPr>
            <w:r>
              <w:rPr>
                <w:rFonts w:ascii="Times New Roman" w:hAnsi="Times New Roman" w:eastAsia="宋体"/>
                <w:b w:val="0"/>
                <w:sz w:val="21"/>
              </w:rPr>
              <w:t>0.12</w:t>
            </w:r>
          </w:p>
        </w:tc>
        <w:tc>
          <w:tcPr>
            <w:tcW w:type="dxa" w:w="1234"/>
          </w:tcPr>
          <w:p>
            <w:pPr>
              <w:spacing w:line="240" w:lineRule="auto" w:before="0" w:after="0"/>
              <w:jc w:val="center"/>
            </w:pPr>
            <w:r>
              <w:rPr>
                <w:rFonts w:ascii="Times New Roman" w:hAnsi="Times New Roman" w:eastAsia="宋体"/>
                <w:b w:val="0"/>
                <w:sz w:val="21"/>
              </w:rPr>
              <w:t>数据集数量</w:t>
            </w:r>
          </w:p>
        </w:tc>
        <w:tc>
          <w:tcPr>
            <w:tcW w:type="dxa" w:w="1234"/>
          </w:tcPr>
          <w:p>
            <w:pPr>
              <w:spacing w:line="240" w:lineRule="auto" w:before="0" w:after="0"/>
              <w:jc w:val="center"/>
            </w:pPr>
            <w:r>
              <w:rPr>
                <w:rFonts w:ascii="Times New Roman" w:hAnsi="Times New Roman" w:eastAsia="宋体"/>
                <w:b w:val="0"/>
                <w:sz w:val="21"/>
              </w:rPr>
              <w:t>平台开放的数据集/目录数</w:t>
            </w:r>
          </w:p>
        </w:tc>
        <w:tc>
          <w:tcPr>
            <w:tcW w:type="dxa" w:w="1234"/>
          </w:tcPr>
          <w:p>
            <w:pPr>
              <w:spacing w:line="240" w:lineRule="auto" w:before="0" w:after="0"/>
              <w:jc w:val="center"/>
            </w:pPr>
            <w:r>
              <w:rPr>
                <w:rFonts w:ascii="Times New Roman" w:hAnsi="Times New Roman" w:eastAsia="宋体"/>
                <w:b w:val="0"/>
                <w:sz w:val="21"/>
              </w:rPr>
              <w:t>自动化采集</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主题覆盖度</w:t>
            </w:r>
          </w:p>
        </w:tc>
        <w:tc>
          <w:tcPr>
            <w:tcW w:type="dxa" w:w="1234"/>
          </w:tcPr>
          <w:p>
            <w:pPr>
              <w:spacing w:line="240" w:lineRule="auto" w:before="0" w:after="0"/>
              <w:jc w:val="center"/>
            </w:pPr>
            <w:r>
              <w:rPr>
                <w:rFonts w:ascii="Times New Roman" w:hAnsi="Times New Roman" w:eastAsia="宋体"/>
                <w:b w:val="0"/>
                <w:sz w:val="21"/>
              </w:rPr>
              <w:t>覆盖的主题领域数量</w:t>
            </w:r>
          </w:p>
        </w:tc>
        <w:tc>
          <w:tcPr>
            <w:tcW w:type="dxa" w:w="1234"/>
          </w:tcPr>
          <w:p>
            <w:pPr>
              <w:spacing w:line="240" w:lineRule="auto" w:before="0" w:after="0"/>
              <w:jc w:val="center"/>
            </w:pPr>
            <w:r>
              <w:rPr>
                <w:rFonts w:ascii="Times New Roman" w:hAnsi="Times New Roman" w:eastAsia="宋体"/>
                <w:b w:val="0"/>
                <w:sz w:val="21"/>
              </w:rPr>
              <w:t>自动化采集</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更新频率</w:t>
            </w:r>
          </w:p>
        </w:tc>
        <w:tc>
          <w:tcPr>
            <w:tcW w:type="dxa" w:w="1234"/>
          </w:tcPr>
          <w:p>
            <w:pPr>
              <w:spacing w:line="240" w:lineRule="auto" w:before="0" w:after="0"/>
              <w:jc w:val="center"/>
            </w:pPr>
            <w:r>
              <w:rPr>
                <w:rFonts w:ascii="Times New Roman" w:hAnsi="Times New Roman" w:eastAsia="宋体"/>
                <w:b w:val="0"/>
                <w:sz w:val="21"/>
              </w:rPr>
              <w:t>0.08</w:t>
            </w:r>
          </w:p>
        </w:tc>
        <w:tc>
          <w:tcPr>
            <w:tcW w:type="dxa" w:w="1234"/>
          </w:tcPr>
          <w:p>
            <w:pPr>
              <w:spacing w:line="240" w:lineRule="auto" w:before="0" w:after="0"/>
              <w:jc w:val="center"/>
            </w:pPr>
            <w:r>
              <w:rPr>
                <w:rFonts w:ascii="Times New Roman" w:hAnsi="Times New Roman" w:eastAsia="宋体"/>
                <w:b w:val="0"/>
                <w:sz w:val="21"/>
              </w:rPr>
              <w:t>更新及时率</w:t>
            </w:r>
          </w:p>
        </w:tc>
        <w:tc>
          <w:tcPr>
            <w:tcW w:type="dxa" w:w="1234"/>
          </w:tcPr>
          <w:p>
            <w:pPr>
              <w:spacing w:line="240" w:lineRule="auto" w:before="0" w:after="0"/>
              <w:jc w:val="center"/>
            </w:pPr>
            <w:r>
              <w:rPr>
                <w:rFonts w:ascii="Times New Roman" w:hAnsi="Times New Roman" w:eastAsia="宋体"/>
                <w:b w:val="0"/>
                <w:sz w:val="21"/>
              </w:rPr>
              <w:t>近一年内更新的数据集占比</w:t>
            </w:r>
          </w:p>
        </w:tc>
        <w:tc>
          <w:tcPr>
            <w:tcW w:type="dxa" w:w="1234"/>
          </w:tcPr>
          <w:p>
            <w:pPr>
              <w:spacing w:line="240" w:lineRule="auto" w:before="0" w:after="0"/>
              <w:jc w:val="center"/>
            </w:pPr>
            <w:r>
              <w:rPr>
                <w:rFonts w:ascii="Times New Roman" w:hAnsi="Times New Roman" w:eastAsia="宋体"/>
                <w:b w:val="0"/>
                <w:sz w:val="21"/>
              </w:rPr>
              <w:t>自动化采集</w:t>
            </w:r>
          </w:p>
        </w:tc>
      </w:tr>
      <w:tr>
        <w:tc>
          <w:tcPr>
            <w:tcW w:type="dxa" w:w="1234"/>
          </w:tcPr>
          <w:p>
            <w:pPr>
              <w:spacing w:line="240" w:lineRule="auto" w:before="0" w:after="0"/>
              <w:jc w:val="center"/>
            </w:pPr>
            <w:r>
              <w:rPr>
                <w:rFonts w:ascii="Times New Roman" w:hAnsi="Times New Roman" w:eastAsia="宋体"/>
                <w:b w:val="0"/>
                <w:sz w:val="21"/>
              </w:rPr>
              <w:t>平台服务</w:t>
            </w:r>
          </w:p>
        </w:tc>
        <w:tc>
          <w:tcPr>
            <w:tcW w:type="dxa" w:w="1234"/>
          </w:tcPr>
          <w:p>
            <w:pPr>
              <w:spacing w:line="240" w:lineRule="auto" w:before="0" w:after="0"/>
              <w:jc w:val="center"/>
            </w:pPr>
            <w:r>
              <w:rPr>
                <w:rFonts w:ascii="Times New Roman" w:hAnsi="Times New Roman" w:eastAsia="宋体"/>
                <w:b w:val="0"/>
                <w:sz w:val="21"/>
              </w:rPr>
              <w:t>0.20</w:t>
            </w:r>
          </w:p>
        </w:tc>
        <w:tc>
          <w:tcPr>
            <w:tcW w:type="dxa" w:w="1234"/>
          </w:tcPr>
          <w:p>
            <w:pPr>
              <w:spacing w:line="240" w:lineRule="auto" w:before="0" w:after="0"/>
              <w:jc w:val="center"/>
            </w:pPr>
            <w:r>
              <w:rPr>
                <w:rFonts w:ascii="Times New Roman" w:hAnsi="Times New Roman" w:eastAsia="宋体"/>
                <w:b w:val="0"/>
                <w:sz w:val="21"/>
              </w:rPr>
              <w:t>功能完整性</w:t>
            </w:r>
          </w:p>
        </w:tc>
        <w:tc>
          <w:tcPr>
            <w:tcW w:type="dxa" w:w="1234"/>
          </w:tcPr>
          <w:p>
            <w:pPr>
              <w:spacing w:line="240" w:lineRule="auto" w:before="0" w:after="0"/>
              <w:jc w:val="center"/>
            </w:pPr>
            <w:r>
              <w:rPr>
                <w:rFonts w:ascii="Times New Roman" w:hAnsi="Times New Roman" w:eastAsia="宋体"/>
                <w:b w:val="0"/>
                <w:sz w:val="21"/>
              </w:rPr>
              <w:t>0.12</w:t>
            </w:r>
          </w:p>
        </w:tc>
        <w:tc>
          <w:tcPr>
            <w:tcW w:type="dxa" w:w="1234"/>
          </w:tcPr>
          <w:p>
            <w:pPr>
              <w:spacing w:line="240" w:lineRule="auto" w:before="0" w:after="0"/>
              <w:jc w:val="center"/>
            </w:pPr>
            <w:r>
              <w:rPr>
                <w:rFonts w:ascii="Times New Roman" w:hAnsi="Times New Roman" w:eastAsia="宋体"/>
                <w:b w:val="0"/>
                <w:sz w:val="21"/>
              </w:rPr>
              <w:t>检索功能</w:t>
            </w:r>
          </w:p>
        </w:tc>
        <w:tc>
          <w:tcPr>
            <w:tcW w:type="dxa" w:w="1234"/>
          </w:tcPr>
          <w:p>
            <w:pPr>
              <w:spacing w:line="240" w:lineRule="auto" w:before="0" w:after="0"/>
              <w:jc w:val="center"/>
            </w:pPr>
            <w:r>
              <w:rPr>
                <w:rFonts w:ascii="Times New Roman" w:hAnsi="Times New Roman" w:eastAsia="宋体"/>
                <w:b w:val="0"/>
                <w:sz w:val="21"/>
              </w:rPr>
              <w:t>多维度数据检索能力</w:t>
            </w:r>
          </w:p>
        </w:tc>
        <w:tc>
          <w:tcPr>
            <w:tcW w:type="dxa" w:w="1234"/>
          </w:tcPr>
          <w:p>
            <w:pPr>
              <w:spacing w:line="240" w:lineRule="auto" w:before="0" w:after="0"/>
              <w:jc w:val="center"/>
            </w:pPr>
            <w:r>
              <w:rPr>
                <w:rFonts w:ascii="Times New Roman" w:hAnsi="Times New Roman" w:eastAsia="宋体"/>
                <w:b w:val="0"/>
                <w:sz w:val="21"/>
              </w:rPr>
              <w:t>功能测试</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预览功能</w:t>
            </w:r>
          </w:p>
        </w:tc>
        <w:tc>
          <w:tcPr>
            <w:tcW w:type="dxa" w:w="1234"/>
          </w:tcPr>
          <w:p>
            <w:pPr>
              <w:spacing w:line="240" w:lineRule="auto" w:before="0" w:after="0"/>
              <w:jc w:val="center"/>
            </w:pPr>
            <w:r>
              <w:rPr>
                <w:rFonts w:ascii="Times New Roman" w:hAnsi="Times New Roman" w:eastAsia="宋体"/>
                <w:b w:val="0"/>
                <w:sz w:val="21"/>
              </w:rPr>
              <w:t>数据在线预览能力</w:t>
            </w:r>
          </w:p>
        </w:tc>
        <w:tc>
          <w:tcPr>
            <w:tcW w:type="dxa" w:w="1234"/>
          </w:tcPr>
          <w:p>
            <w:pPr>
              <w:spacing w:line="240" w:lineRule="auto" w:before="0" w:after="0"/>
              <w:jc w:val="center"/>
            </w:pPr>
            <w:r>
              <w:rPr>
                <w:rFonts w:ascii="Times New Roman" w:hAnsi="Times New Roman" w:eastAsia="宋体"/>
                <w:b w:val="0"/>
                <w:sz w:val="21"/>
              </w:rPr>
              <w:t>功能测试</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下载功能</w:t>
            </w:r>
          </w:p>
        </w:tc>
        <w:tc>
          <w:tcPr>
            <w:tcW w:type="dxa" w:w="1234"/>
          </w:tcPr>
          <w:p>
            <w:pPr>
              <w:spacing w:line="240" w:lineRule="auto" w:before="0" w:after="0"/>
              <w:jc w:val="center"/>
            </w:pPr>
            <w:r>
              <w:rPr>
                <w:rFonts w:ascii="Times New Roman" w:hAnsi="Times New Roman" w:eastAsia="宋体"/>
                <w:b w:val="0"/>
                <w:sz w:val="21"/>
              </w:rPr>
              <w:t>数据下载便利性</w:t>
            </w:r>
          </w:p>
        </w:tc>
        <w:tc>
          <w:tcPr>
            <w:tcW w:type="dxa" w:w="1234"/>
          </w:tcPr>
          <w:p>
            <w:pPr>
              <w:spacing w:line="240" w:lineRule="auto" w:before="0" w:after="0"/>
              <w:jc w:val="center"/>
            </w:pPr>
            <w:r>
              <w:rPr>
                <w:rFonts w:ascii="Times New Roman" w:hAnsi="Times New Roman" w:eastAsia="宋体"/>
                <w:b w:val="0"/>
                <w:sz w:val="21"/>
              </w:rPr>
              <w:t>功能测试</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API开放度</w:t>
            </w:r>
          </w:p>
        </w:tc>
        <w:tc>
          <w:tcPr>
            <w:tcW w:type="dxa" w:w="1234"/>
          </w:tcPr>
          <w:p>
            <w:pPr>
              <w:spacing w:line="240" w:lineRule="auto" w:before="0" w:after="0"/>
              <w:jc w:val="center"/>
            </w:pPr>
            <w:r>
              <w:rPr>
                <w:rFonts w:ascii="Times New Roman" w:hAnsi="Times New Roman" w:eastAsia="宋体"/>
                <w:b w:val="0"/>
                <w:sz w:val="21"/>
              </w:rPr>
              <w:t>0.08</w:t>
            </w:r>
          </w:p>
        </w:tc>
        <w:tc>
          <w:tcPr>
            <w:tcW w:type="dxa" w:w="1234"/>
          </w:tcPr>
          <w:p>
            <w:pPr>
              <w:spacing w:line="240" w:lineRule="auto" w:before="0" w:after="0"/>
              <w:jc w:val="center"/>
            </w:pPr>
            <w:r>
              <w:rPr>
                <w:rFonts w:ascii="Times New Roman" w:hAnsi="Times New Roman" w:eastAsia="宋体"/>
                <w:b w:val="0"/>
                <w:sz w:val="21"/>
              </w:rPr>
              <w:t>API接口数</w:t>
            </w:r>
          </w:p>
        </w:tc>
        <w:tc>
          <w:tcPr>
            <w:tcW w:type="dxa" w:w="1234"/>
          </w:tcPr>
          <w:p>
            <w:pPr>
              <w:spacing w:line="240" w:lineRule="auto" w:before="0" w:after="0"/>
              <w:jc w:val="center"/>
            </w:pPr>
            <w:r>
              <w:rPr>
                <w:rFonts w:ascii="Times New Roman" w:hAnsi="Times New Roman" w:eastAsia="宋体"/>
                <w:b w:val="0"/>
                <w:sz w:val="21"/>
              </w:rPr>
              <w:t>开放API接口数量</w:t>
            </w:r>
          </w:p>
        </w:tc>
        <w:tc>
          <w:tcPr>
            <w:tcW w:type="dxa" w:w="1234"/>
          </w:tcPr>
          <w:p>
            <w:pPr>
              <w:spacing w:line="240" w:lineRule="auto" w:before="0" w:after="0"/>
              <w:jc w:val="center"/>
            </w:pPr>
            <w:r>
              <w:rPr>
                <w:rFonts w:ascii="Times New Roman" w:hAnsi="Times New Roman" w:eastAsia="宋体"/>
                <w:b w:val="0"/>
                <w:sz w:val="21"/>
              </w:rPr>
              <w:t>功能测试</w:t>
            </w:r>
          </w:p>
        </w:tc>
      </w:tr>
      <w:tr>
        <w:tc>
          <w:tcPr>
            <w:tcW w:type="dxa" w:w="1234"/>
          </w:tcPr>
          <w:p>
            <w:pPr>
              <w:spacing w:line="240" w:lineRule="auto" w:before="0" w:after="0"/>
              <w:jc w:val="center"/>
            </w:pPr>
            <w:r>
              <w:rPr>
                <w:rFonts w:ascii="Times New Roman" w:hAnsi="Times New Roman" w:eastAsia="宋体"/>
                <w:b w:val="0"/>
                <w:sz w:val="21"/>
              </w:rPr>
              <w:t>数据质量</w:t>
            </w:r>
          </w:p>
        </w:tc>
        <w:tc>
          <w:tcPr>
            <w:tcW w:type="dxa" w:w="1234"/>
          </w:tcPr>
          <w:p>
            <w:pPr>
              <w:spacing w:line="240" w:lineRule="auto" w:before="0" w:after="0"/>
              <w:jc w:val="center"/>
            </w:pPr>
            <w:r>
              <w:rPr>
                <w:rFonts w:ascii="Times New Roman" w:hAnsi="Times New Roman" w:eastAsia="宋体"/>
                <w:b w:val="0"/>
                <w:sz w:val="21"/>
              </w:rPr>
              <w:t>0.20</w:t>
            </w:r>
          </w:p>
        </w:tc>
        <w:tc>
          <w:tcPr>
            <w:tcW w:type="dxa" w:w="1234"/>
          </w:tcPr>
          <w:p>
            <w:pPr>
              <w:spacing w:line="240" w:lineRule="auto" w:before="0" w:after="0"/>
              <w:jc w:val="center"/>
            </w:pPr>
            <w:r>
              <w:rPr>
                <w:rFonts w:ascii="Times New Roman" w:hAnsi="Times New Roman" w:eastAsia="宋体"/>
                <w:b w:val="0"/>
                <w:sz w:val="21"/>
              </w:rPr>
              <w:t>完整性</w:t>
            </w:r>
          </w:p>
        </w:tc>
        <w:tc>
          <w:tcPr>
            <w:tcW w:type="dxa" w:w="1234"/>
          </w:tcPr>
          <w:p>
            <w:pPr>
              <w:spacing w:line="240" w:lineRule="auto" w:before="0" w:after="0"/>
              <w:jc w:val="center"/>
            </w:pPr>
            <w:r>
              <w:rPr>
                <w:rFonts w:ascii="Times New Roman" w:hAnsi="Times New Roman" w:eastAsia="宋体"/>
                <w:b w:val="0"/>
                <w:sz w:val="21"/>
              </w:rPr>
              <w:t>0.08</w:t>
            </w:r>
          </w:p>
        </w:tc>
        <w:tc>
          <w:tcPr>
            <w:tcW w:type="dxa" w:w="1234"/>
          </w:tcPr>
          <w:p>
            <w:pPr>
              <w:spacing w:line="240" w:lineRule="auto" w:before="0" w:after="0"/>
              <w:jc w:val="center"/>
            </w:pPr>
            <w:r>
              <w:rPr>
                <w:rFonts w:ascii="Times New Roman" w:hAnsi="Times New Roman" w:eastAsia="宋体"/>
                <w:b w:val="0"/>
                <w:sz w:val="21"/>
              </w:rPr>
              <w:t>元数据完整率</w:t>
            </w:r>
          </w:p>
        </w:tc>
        <w:tc>
          <w:tcPr>
            <w:tcW w:type="dxa" w:w="1234"/>
          </w:tcPr>
          <w:p>
            <w:pPr>
              <w:spacing w:line="240" w:lineRule="auto" w:before="0" w:after="0"/>
              <w:jc w:val="center"/>
            </w:pPr>
            <w:r>
              <w:rPr>
                <w:rFonts w:ascii="Times New Roman" w:hAnsi="Times New Roman" w:eastAsia="宋体"/>
                <w:b w:val="0"/>
                <w:sz w:val="21"/>
              </w:rPr>
              <w:t>元数据字段完整程度</w:t>
            </w:r>
          </w:p>
        </w:tc>
        <w:tc>
          <w:tcPr>
            <w:tcW w:type="dxa" w:w="1234"/>
          </w:tcPr>
          <w:p>
            <w:pPr>
              <w:spacing w:line="240" w:lineRule="auto" w:before="0" w:after="0"/>
              <w:jc w:val="center"/>
            </w:pPr>
            <w:r>
              <w:rPr>
                <w:rFonts w:ascii="Times New Roman" w:hAnsi="Times New Roman" w:eastAsia="宋体"/>
                <w:b w:val="0"/>
                <w:sz w:val="21"/>
              </w:rPr>
              <w:t>抽样检测</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准确性</w:t>
            </w:r>
          </w:p>
        </w:tc>
        <w:tc>
          <w:tcPr>
            <w:tcW w:type="dxa" w:w="1234"/>
          </w:tcPr>
          <w:p>
            <w:pPr>
              <w:spacing w:line="240" w:lineRule="auto" w:before="0" w:after="0"/>
              <w:jc w:val="center"/>
            </w:pPr>
            <w:r>
              <w:rPr>
                <w:rFonts w:ascii="Times New Roman" w:hAnsi="Times New Roman" w:eastAsia="宋体"/>
                <w:b w:val="0"/>
                <w:sz w:val="21"/>
              </w:rPr>
              <w:t>0.06</w:t>
            </w:r>
          </w:p>
        </w:tc>
        <w:tc>
          <w:tcPr>
            <w:tcW w:type="dxa" w:w="1234"/>
          </w:tcPr>
          <w:p>
            <w:pPr>
              <w:spacing w:line="240" w:lineRule="auto" w:before="0" w:after="0"/>
              <w:jc w:val="center"/>
            </w:pPr>
            <w:r>
              <w:rPr>
                <w:rFonts w:ascii="Times New Roman" w:hAnsi="Times New Roman" w:eastAsia="宋体"/>
                <w:b w:val="0"/>
                <w:sz w:val="21"/>
              </w:rPr>
              <w:t>数据准确率</w:t>
            </w:r>
          </w:p>
        </w:tc>
        <w:tc>
          <w:tcPr>
            <w:tcW w:type="dxa" w:w="1234"/>
          </w:tcPr>
          <w:p>
            <w:pPr>
              <w:spacing w:line="240" w:lineRule="auto" w:before="0" w:after="0"/>
              <w:jc w:val="center"/>
            </w:pPr>
            <w:r>
              <w:rPr>
                <w:rFonts w:ascii="Times New Roman" w:hAnsi="Times New Roman" w:eastAsia="宋体"/>
                <w:b w:val="0"/>
                <w:sz w:val="21"/>
              </w:rPr>
              <w:t>抽样数据的准确率</w:t>
            </w:r>
          </w:p>
        </w:tc>
        <w:tc>
          <w:tcPr>
            <w:tcW w:type="dxa" w:w="1234"/>
          </w:tcPr>
          <w:p>
            <w:pPr>
              <w:spacing w:line="240" w:lineRule="auto" w:before="0" w:after="0"/>
              <w:jc w:val="center"/>
            </w:pPr>
            <w:r>
              <w:rPr>
                <w:rFonts w:ascii="Times New Roman" w:hAnsi="Times New Roman" w:eastAsia="宋体"/>
                <w:b w:val="0"/>
                <w:sz w:val="21"/>
              </w:rPr>
              <w:t>抽样检测</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机读性</w:t>
            </w:r>
          </w:p>
        </w:tc>
        <w:tc>
          <w:tcPr>
            <w:tcW w:type="dxa" w:w="1234"/>
          </w:tcPr>
          <w:p>
            <w:pPr>
              <w:spacing w:line="240" w:lineRule="auto" w:before="0" w:after="0"/>
              <w:jc w:val="center"/>
            </w:pPr>
            <w:r>
              <w:rPr>
                <w:rFonts w:ascii="Times New Roman" w:hAnsi="Times New Roman" w:eastAsia="宋体"/>
                <w:b w:val="0"/>
                <w:sz w:val="21"/>
              </w:rPr>
              <w:t>0.06</w:t>
            </w:r>
          </w:p>
        </w:tc>
        <w:tc>
          <w:tcPr>
            <w:tcW w:type="dxa" w:w="1234"/>
          </w:tcPr>
          <w:p>
            <w:pPr>
              <w:spacing w:line="240" w:lineRule="auto" w:before="0" w:after="0"/>
              <w:jc w:val="center"/>
            </w:pPr>
            <w:r>
              <w:rPr>
                <w:rFonts w:ascii="Times New Roman" w:hAnsi="Times New Roman" w:eastAsia="宋体"/>
                <w:b w:val="0"/>
                <w:sz w:val="21"/>
              </w:rPr>
              <w:t>结构化格式占比</w:t>
            </w:r>
          </w:p>
        </w:tc>
        <w:tc>
          <w:tcPr>
            <w:tcW w:type="dxa" w:w="1234"/>
          </w:tcPr>
          <w:p>
            <w:pPr>
              <w:spacing w:line="240" w:lineRule="auto" w:before="0" w:after="0"/>
              <w:jc w:val="center"/>
            </w:pPr>
            <w:r>
              <w:rPr>
                <w:rFonts w:ascii="Times New Roman" w:hAnsi="Times New Roman" w:eastAsia="宋体"/>
                <w:b w:val="0"/>
                <w:sz w:val="21"/>
              </w:rPr>
              <w:t>CSV/JSON/XML等格式占比</w:t>
            </w:r>
          </w:p>
        </w:tc>
        <w:tc>
          <w:tcPr>
            <w:tcW w:type="dxa" w:w="1234"/>
          </w:tcPr>
          <w:p>
            <w:pPr>
              <w:spacing w:line="240" w:lineRule="auto" w:before="0" w:after="0"/>
              <w:jc w:val="center"/>
            </w:pPr>
            <w:r>
              <w:rPr>
                <w:rFonts w:ascii="Times New Roman" w:hAnsi="Times New Roman" w:eastAsia="宋体"/>
                <w:b w:val="0"/>
                <w:sz w:val="21"/>
              </w:rPr>
              <w:t>抽样检测</w:t>
            </w:r>
          </w:p>
        </w:tc>
      </w:tr>
      <w:tr>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利用效果</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0.30</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下载利用</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0.12</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年均下载量</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数据集年均下载次数</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平台统计</w:t>
            </w:r>
            <w:r>
              <w:rPr>
                <w:rFonts w:ascii="Times New Roman" w:hAnsi="Times New Roman" w:eastAsia="宋体"/>
                <w:b w:val="0"/>
                <w:sz w:val="21"/>
              </w:rPr>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应用成果</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0.10</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应用数量</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数据应用/案例数量</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平台公示+核验</w:t>
            </w:r>
            <w:r>
              <w:rPr>
                <w:rFonts w:ascii="Times New Roman" w:hAnsi="Times New Roman" w:eastAsia="宋体"/>
                <w:b w:val="0"/>
                <w:sz w:val="21"/>
              </w:rPr>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授权运营</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0.08</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授权运营项目数</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授权运营项目数量</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平台公示</w:t>
            </w:r>
            <w:r>
              <w:rPr>
                <w:rFonts w:ascii="Times New Roman" w:hAnsi="Times New Roman" w:eastAsia="宋体"/>
                <w:b w:val="0"/>
                <w:sz w:val="21"/>
              </w:rPr>
            </w:r>
          </w:p>
        </w:tc>
      </w:tr>
      <w:tr>
        <w:tc>
          <w:tcPr>
            <w:tcW w:type="dxa" w:w="1234"/>
          </w:tcPr>
          <w:p>
            <w:pPr>
              <w:spacing w:line="240" w:lineRule="auto" w:before="0" w:after="0"/>
              <w:jc w:val="center"/>
            </w:pPr>
            <w:r>
              <w:rPr>
                <w:rFonts w:ascii="Times New Roman" w:hAnsi="Times New Roman" w:eastAsia="宋体"/>
                <w:b w:val="0"/>
                <w:sz w:val="21"/>
              </w:rPr>
              <w:t>公平性</w:t>
            </w:r>
          </w:p>
        </w:tc>
        <w:tc>
          <w:tcPr>
            <w:tcW w:type="dxa" w:w="1234"/>
          </w:tcPr>
          <w:p>
            <w:pPr>
              <w:spacing w:line="240" w:lineRule="auto" w:before="0" w:after="0"/>
              <w:jc w:val="center"/>
            </w:pPr>
            <w:r>
              <w:rPr>
                <w:rFonts w:ascii="Times New Roman" w:hAnsi="Times New Roman" w:eastAsia="宋体"/>
                <w:b w:val="0"/>
                <w:sz w:val="21"/>
              </w:rPr>
              <w:t>0.10</w:t>
            </w:r>
          </w:p>
        </w:tc>
        <w:tc>
          <w:tcPr>
            <w:tcW w:type="dxa" w:w="1234"/>
          </w:tcPr>
          <w:p>
            <w:pPr>
              <w:spacing w:line="240" w:lineRule="auto" w:before="0" w:after="0"/>
              <w:jc w:val="center"/>
            </w:pPr>
            <w:r>
              <w:rPr>
                <w:rFonts w:ascii="Times New Roman" w:hAnsi="Times New Roman" w:eastAsia="宋体"/>
                <w:b w:val="0"/>
                <w:sz w:val="21"/>
              </w:rPr>
              <w:t>区域公平</w:t>
            </w:r>
          </w:p>
        </w:tc>
        <w:tc>
          <w:tcPr>
            <w:tcW w:type="dxa" w:w="1234"/>
          </w:tcPr>
          <w:p>
            <w:pPr>
              <w:spacing w:line="240" w:lineRule="auto" w:before="0" w:after="0"/>
              <w:jc w:val="center"/>
            </w:pPr>
            <w:r>
              <w:rPr>
                <w:rFonts w:ascii="Times New Roman" w:hAnsi="Times New Roman" w:eastAsia="宋体"/>
                <w:b w:val="0"/>
                <w:sz w:val="21"/>
              </w:rPr>
              <w:t>0.06</w:t>
            </w:r>
          </w:p>
        </w:tc>
        <w:tc>
          <w:tcPr>
            <w:tcW w:type="dxa" w:w="1234"/>
          </w:tcPr>
          <w:p>
            <w:pPr>
              <w:spacing w:line="240" w:lineRule="auto" w:before="0" w:after="0"/>
              <w:jc w:val="center"/>
            </w:pPr>
            <w:r>
              <w:rPr>
                <w:rFonts w:ascii="Times New Roman" w:hAnsi="Times New Roman" w:eastAsia="宋体"/>
                <w:b w:val="0"/>
                <w:sz w:val="21"/>
              </w:rPr>
              <w:t>东中西部可及性</w:t>
            </w:r>
          </w:p>
        </w:tc>
        <w:tc>
          <w:tcPr>
            <w:tcW w:type="dxa" w:w="1234"/>
          </w:tcPr>
          <w:p>
            <w:pPr>
              <w:spacing w:line="240" w:lineRule="auto" w:before="0" w:after="0"/>
              <w:jc w:val="center"/>
            </w:pPr>
            <w:r>
              <w:rPr>
                <w:rFonts w:ascii="Times New Roman" w:hAnsi="Times New Roman" w:eastAsia="宋体"/>
                <w:b w:val="0"/>
                <w:sz w:val="21"/>
              </w:rPr>
              <w:t>不同区域用户的数据可及性</w:t>
            </w:r>
          </w:p>
        </w:tc>
        <w:tc>
          <w:tcPr>
            <w:tcW w:type="dxa" w:w="1234"/>
          </w:tcPr>
          <w:p>
            <w:pPr>
              <w:spacing w:line="240" w:lineRule="auto" w:before="0" w:after="0"/>
              <w:jc w:val="center"/>
            </w:pPr>
            <w:r>
              <w:rPr>
                <w:rFonts w:ascii="Times New Roman" w:hAnsi="Times New Roman" w:eastAsia="宋体"/>
                <w:b w:val="0"/>
                <w:sz w:val="21"/>
              </w:rPr>
              <w:t>间接测算</w:t>
            </w:r>
          </w:p>
        </w:tc>
      </w:tr>
      <w:tr>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群体公平</w:t>
            </w:r>
          </w:p>
        </w:tc>
        <w:tc>
          <w:tcPr>
            <w:tcW w:type="dxa" w:w="1234"/>
          </w:tcPr>
          <w:p>
            <w:pPr>
              <w:spacing w:line="240" w:lineRule="auto" w:before="0" w:after="0"/>
              <w:jc w:val="center"/>
            </w:pPr>
            <w:r>
              <w:rPr>
                <w:rFonts w:ascii="Times New Roman" w:hAnsi="Times New Roman" w:eastAsia="宋体"/>
                <w:b w:val="0"/>
                <w:sz w:val="21"/>
              </w:rPr>
              <w:t>0.04</w:t>
            </w:r>
          </w:p>
        </w:tc>
        <w:tc>
          <w:tcPr>
            <w:tcW w:type="dxa" w:w="1234"/>
          </w:tcPr>
          <w:p>
            <w:pPr>
              <w:spacing w:line="240" w:lineRule="auto" w:before="0" w:after="0"/>
              <w:jc w:val="center"/>
            </w:pPr>
            <w:r>
              <w:rPr>
                <w:rFonts w:ascii="Times New Roman" w:hAnsi="Times New Roman" w:eastAsia="宋体"/>
                <w:b w:val="0"/>
                <w:sz w:val="21"/>
              </w:rPr>
              <w:t>弱势群体包容性</w:t>
            </w:r>
          </w:p>
        </w:tc>
        <w:tc>
          <w:tcPr>
            <w:tcW w:type="dxa" w:w="1234"/>
          </w:tcPr>
          <w:p>
            <w:pPr>
              <w:spacing w:line="240" w:lineRule="auto" w:before="0" w:after="0"/>
              <w:jc w:val="center"/>
            </w:pPr>
            <w:r>
              <w:rPr>
                <w:rFonts w:ascii="Times New Roman" w:hAnsi="Times New Roman" w:eastAsia="宋体"/>
                <w:b w:val="0"/>
                <w:sz w:val="21"/>
              </w:rPr>
              <w:t>老年人/残障人士等包容性</w:t>
            </w:r>
          </w:p>
        </w:tc>
        <w:tc>
          <w:tcPr>
            <w:tcW w:type="dxa" w:w="1234"/>
          </w:tcPr>
          <w:p>
            <w:pPr>
              <w:spacing w:line="240" w:lineRule="auto" w:before="0" w:after="0"/>
              <w:jc w:val="center"/>
            </w:pPr>
            <w:r>
              <w:rPr>
                <w:rFonts w:ascii="Times New Roman" w:hAnsi="Times New Roman" w:eastAsia="宋体"/>
                <w:b w:val="0"/>
                <w:sz w:val="21"/>
              </w:rPr>
              <w:t>功能测试</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数据来源：作者整理。权重基于AHP-熵权组合赋权确定。</w:t>
      </w:r>
      <w:r>
        <w:rPr>
          <w:rFonts w:ascii="Times New Roman" w:hAnsi="Times New Roman" w:eastAsia="宋体"/>
          <w:b w:val="0"/>
          <w:sz w:val="24"/>
        </w:rPr>
      </w:r>
    </w:p>
    <w:p>
      <w:pPr>
        <w:pStyle w:val="Heading3"/>
        <w:spacing w:before="240" w:after="120" w:line="360" w:lineRule="auto"/>
        <w:ind w:firstLine="0"/>
        <w:jc w:val="left"/>
      </w:pPr>
      <w:r>
        <w:rPr>
          <w:rFonts w:ascii="Times New Roman" w:hAnsi="Times New Roman" w:eastAsia="黑体"/>
          <w:b/>
          <w:sz w:val="28"/>
        </w:rPr>
        <w:t>4.3 指标操作化与数据获取</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供给保障维度</w:t>
      </w:r>
      <w:r>
        <w:rPr>
          <w:rFonts w:ascii="Times New Roman" w:hAnsi="Times New Roman" w:eastAsia="宋体"/>
          <w:b w:val="0"/>
          <w:sz w:val="24"/>
        </w:rPr>
        <w:t>的操作化过程如下："数据集数量"通过OGD-Collector Pro采集系统自动化统计，采集频率为每月一次，确保数据的时效性；"主题覆盖度"的计算采用国家标准GB/T 4754-2017《国民经济行业分类》的20个一级行业作为主题分类基准，统计平台覆盖的行业领域数量；"更新及时率"通过检查各数据集的最后更新日期计算，设定"近一年内更新"为"及时"的标准——这一标准参考了开放数林指数和ODI指数的更新频率评估惯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平台服务维度</w:t>
      </w:r>
      <w:r>
        <w:rPr>
          <w:rFonts w:ascii="Times New Roman" w:hAnsi="Times New Roman" w:eastAsia="宋体"/>
          <w:b w:val="0"/>
          <w:sz w:val="24"/>
        </w:rPr>
        <w:t>的操作化过程如下："检索功能"通过功能测试评估——测试平台是否支持关键词检索、分类检索、时间范围检索、地理范围检索等多维度检索方式，每支持一种检索方式得1分（满分4分）；"预览功能"测试平台是否支持数据在线预览（如表格预览、地图预览、图表预览），每支持一种预览方式得1分（满分3分）；"下载功能"测试数据下载的便利性——是否支持批量下载、是否支持多种格式选择、是否需要注册登录，根据便利性程度评分（1-3分）；"API接口数"通过平台功能测试统计——访问平台的"开发者中心"或"API文档"页面，统计公开的API接口数量。</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数据质量维度</w:t>
      </w:r>
      <w:r>
        <w:rPr>
          <w:rFonts w:ascii="Times New Roman" w:hAnsi="Times New Roman" w:eastAsia="宋体"/>
          <w:b w:val="0"/>
          <w:sz w:val="24"/>
        </w:rPr>
        <w:t>的操作化过程如下："元数据完整率"通过抽样检测计算——从每个平台随机抽取50个数据集，检查其元数据字段的完整性（包括数据名称、描述、发布机构、更新日期、数据格式、主题分类、关键词、许可协议等8个核心字段），计算完整字段数占总字段数的比例；"数据准确率"通过抽样核验计算——从每个平台随机抽取10个数据集，与官方发布的权威数据（如国家统计局数据）进行比对，计算数据一致率；"结构化格式占比"通过抽样检测计算——统计样本数据集中CSV、JSON、XML、Excel、GeoJSON等结构化格式所占比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利用效果维度</w:t>
      </w:r>
      <w:r>
        <w:rPr>
          <w:rFonts w:ascii="Times New Roman" w:hAnsi="Times New Roman" w:eastAsia="宋体"/>
          <w:b w:val="0"/>
          <w:sz w:val="24"/>
        </w:rPr>
        <w:t>的操作化过程如下："年均下载量"通过平台统计接口获取——部分平台公开了数据集的下载次数统计，对于未公开下载统计的平台，通过估算方法（如根据平台总下载量和数据集数量进行平均分配）获取近似值；"应用数量"通过平台公示和人工核验确认——统计平台"应用案例"或"数据应用"板块中公示的应用数量，并通过人工核验排除重复和无效案例；"授权运营项目数"通过平台公示和文献检索确认——统计平台公示的授权运营项目数量，并结合新闻报道和学术文献进行交叉验证。</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公平性维度</w:t>
      </w:r>
      <w:r>
        <w:rPr>
          <w:rFonts w:ascii="Times New Roman" w:hAnsi="Times New Roman" w:eastAsia="宋体"/>
          <w:b w:val="0"/>
          <w:sz w:val="24"/>
        </w:rPr>
        <w:t>的操作化过程如下："东中西部可及性"通过间接测算计算——基于平台的访问速度测试（从东、中、西部各选取3个测试节点，测试平台的平均响应时间），响应时间越短，可及性越高；"弱势群体包容性"通过功能测试评估——测试平台是否提供无障碍访问功能（如屏幕阅读器兼容、高对比度模式、字体大小调整等），根据功能完备程度评分（1-3分）。</w:t>
      </w:r>
    </w:p>
    <w:p>
      <w:pPr>
        <w:spacing w:line="360" w:lineRule="auto" w:before="0" w:after="0"/>
        <w:ind w:firstLine="420"/>
        <w:jc w:val="both"/>
      </w:pPr>
      <w:r>
        <w:rPr>
          <w:rFonts w:ascii="Times New Roman" w:hAnsi="Times New Roman" w:eastAsia="宋体"/>
          <w:b w:val="0"/>
          <w:sz w:val="24"/>
        </w:rPr>
        <w:t>五个维度的权重分配体现了"效果导向"的评估理念：</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供给保障（0.20）。</w:t>
      </w:r>
      <w:r>
        <w:rPr>
          <w:rFonts w:ascii="Times New Roman" w:hAnsi="Times New Roman" w:eastAsia="宋体"/>
          <w:b w:val="0"/>
          <w:sz w:val="24"/>
        </w:rPr>
        <w:t xml:space="preserve"> 供给保障是数据开放的基础——没有数据供给，就无从谈起数据利用。但供给保障不应成为评估的唯一或核心维度，因为"开放了多少"不等于"产生了多少价值"。权重设定为0.20，既体现了供给保障的重要性，又避免了"供给至上"的偏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平台服务（0.20）。</w:t>
      </w:r>
      <w:r>
        <w:rPr>
          <w:rFonts w:ascii="Times New Roman" w:hAnsi="Times New Roman" w:eastAsia="宋体"/>
          <w:b w:val="0"/>
          <w:sz w:val="24"/>
        </w:rPr>
        <w:t xml:space="preserve"> 平台服务是数据从"供给"到"利用"的转化条件——平台功能越完善，用户获取和利用数据的效率越高。平台服务与供给保障共同构成了数据开放的"基础设施"，权重均为0.20，体现了"供给+服务"的双轮驱动理念。</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数据质量（0.20）。</w:t>
      </w:r>
      <w:r>
        <w:rPr>
          <w:rFonts w:ascii="Times New Roman" w:hAnsi="Times New Roman" w:eastAsia="宋体"/>
          <w:b w:val="0"/>
          <w:sz w:val="24"/>
        </w:rPr>
        <w:t xml:space="preserve"> 数据质量是数据利用的前提——低质量数据不仅无法产生价值，还可能导致错误的决策后果。数据质量与平台服务共同构成了数据"可用性"的两个方面（服务是"获取的可用性"，质量是"内容的可用性"），权重均为0.20。</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利用效果（0.30）。</w:t>
      </w:r>
      <w:r>
        <w:rPr>
          <w:rFonts w:ascii="Times New Roman" w:hAnsi="Times New Roman" w:eastAsia="宋体"/>
          <w:b w:val="0"/>
          <w:sz w:val="24"/>
        </w:rPr>
        <w:t xml:space="preserve"> 利用效果是数据开放的最终目标，也是评估的核心维度。权重设定为0.30，是五个维度中最高的，体现了"效果导向"的评估理念。利用效果维度包含三个二级指标：下载利用（0.12）衡量数据的直接利用情况，应用成果（0.10）衡量数据的外部应用价值，授权运营（0.08）衡量数据的新型利用模式。</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公平性（0.10）。</w:t>
      </w:r>
      <w:r>
        <w:rPr>
          <w:rFonts w:ascii="Times New Roman" w:hAnsi="Times New Roman" w:eastAsia="宋体"/>
          <w:b w:val="0"/>
          <w:sz w:val="24"/>
        </w:rPr>
        <w:t xml:space="preserve"> 公平性关注数据开放价值的分配是否公平——数据开放不应加剧数字不平等，而应惠及所有群体。权重设定为0.10，虽然低于其他维度，但独立设置公平性维度本身具有重要的象征意义——它提醒评估者和平台运营者关注数据开放的包容性。</w:t>
      </w:r>
    </w:p>
    <w:p>
      <w:pPr>
        <w:pStyle w:val="Heading3"/>
        <w:spacing w:before="240" w:after="120" w:line="360" w:lineRule="auto"/>
        <w:ind w:firstLine="0"/>
        <w:jc w:val="left"/>
      </w:pPr>
      <w:r>
        <w:rPr>
          <w:rFonts w:ascii="Times New Roman" w:hAnsi="Times New Roman" w:eastAsia="黑体"/>
          <w:b/>
          <w:sz w:val="28"/>
        </w:rPr>
        <w:t>4.3 指标操作化定义与数据来源</w:t>
      </w:r>
    </w:p>
    <w:p>
      <w:pPr>
        <w:spacing w:line="360" w:lineRule="auto" w:before="0" w:after="0"/>
        <w:ind w:firstLine="420"/>
        <w:jc w:val="both"/>
      </w:pPr>
      <w:r>
        <w:rPr>
          <w:rFonts w:ascii="Times New Roman" w:hAnsi="Times New Roman" w:eastAsia="宋体"/>
          <w:b w:val="0"/>
          <w:sz w:val="24"/>
        </w:rPr>
        <w:t>所有24个指标均有明确的操作化定义和数据来源（表4-1已报告）。本研究重点说明三个前瞻性指标的操作化定义：</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授权运营成效。</w:t>
      </w:r>
      <w:r>
        <w:rPr>
          <w:rFonts w:ascii="Times New Roman" w:hAnsi="Times New Roman" w:eastAsia="宋体"/>
          <w:b w:val="0"/>
          <w:sz w:val="24"/>
        </w:rPr>
        <w:t xml:space="preserve"> "数据二十条"出台后，授权运营成为数据利用的重要新兴模式。本研究将"授权运营项目数"纳入评估体系，衡量平台在授权运营方面的探索成效。操作化定义为：平台公示的授权运营项目数量，包括数据产品开发、数据服务提供、数据交易等类型。数据来源为平台官网公示和人工核验。</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API调用深度。</w:t>
      </w:r>
      <w:r>
        <w:rPr>
          <w:rFonts w:ascii="Times New Roman" w:hAnsi="Times New Roman" w:eastAsia="宋体"/>
          <w:b w:val="0"/>
          <w:sz w:val="24"/>
        </w:rPr>
        <w:t xml:space="preserve"> 传统的"API接口数"指标仅衡量API的数量，无法反映API的实际利用深度。本研究引入"API调用深度"指标，操作化定义为：平台API的月均调用次数（如平台提供统计数据）或API文档的完整程度（如平台不提供统计数据）。数据来源为平台统计或第三方监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数据口径一致性。</w:t>
      </w:r>
      <w:r>
        <w:rPr>
          <w:rFonts w:ascii="Times New Roman" w:hAnsi="Times New Roman" w:eastAsia="宋体"/>
          <w:b w:val="0"/>
          <w:sz w:val="24"/>
        </w:rPr>
        <w:t xml:space="preserve"> 本研究将"口径一致性系数"（CR）纳入数据质量维度，操作化定义为：有效数据集数量与数据目录数量的比值。数据来源为OGD-Collector Pro采集系统的人工抽样核验。</w:t>
      </w:r>
    </w:p>
    <w:p>
      <w:pPr>
        <w:pStyle w:val="Heading2"/>
        <w:spacing w:before="360" w:after="240" w:line="360" w:lineRule="auto"/>
        <w:ind w:firstLine="0"/>
        <w:jc w:val="left"/>
      </w:pPr>
      <w:r>
        <w:rPr>
          <w:rFonts w:ascii="Times New Roman" w:hAnsi="Times New Roman" w:eastAsia="黑体"/>
          <w:b/>
          <w:sz w:val="32"/>
        </w:rPr>
        <w:t>5 AHP-熵权组合赋权</w:t>
      </w:r>
    </w:p>
    <w:p>
      <w:pPr>
        <w:pStyle w:val="Heading3"/>
        <w:spacing w:before="240" w:after="120" w:line="360" w:lineRule="auto"/>
        <w:ind w:firstLine="0"/>
        <w:jc w:val="left"/>
      </w:pPr>
      <w:r>
        <w:rPr>
          <w:rFonts w:ascii="Times New Roman" w:hAnsi="Times New Roman" w:eastAsia="黑体"/>
          <w:b/>
          <w:sz w:val="28"/>
        </w:rPr>
        <w:t>5.1 AHP主观赋权</w:t>
      </w:r>
    </w:p>
    <w:p>
      <w:pPr>
        <w:spacing w:line="360" w:lineRule="auto" w:before="0" w:after="0"/>
        <w:ind w:firstLine="420"/>
        <w:jc w:val="both"/>
      </w:pPr>
      <w:r>
        <w:rPr>
          <w:rFonts w:ascii="Times New Roman" w:hAnsi="Times New Roman" w:eastAsia="宋体"/>
          <w:b w:val="0"/>
          <w:sz w:val="24"/>
        </w:rPr>
        <w:t>AHP（Analytic Hierarchy Process，层次分析法）是一种将定性分析与定量分析相结合的多准则决策方法，由Saaty于1970年代提出。AHP的核心思想是：将复杂的决策问题分解为层次结构（目标层→准则层→方案层），通过两两比较确定各因素的相对重要性，最终计算出各因素的权重。AHP的优点在于：能够将决策者的主观判断系统化、结构化，通过一致性检验排除逻辑矛盾，为权重设定提供透明的决策过程。本研究邀请10位政府数据开放领域的专家进行AHP打分，专家构成如表5-1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表5-1 专家构成</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专家类型</w:t>
            </w:r>
          </w:p>
        </w:tc>
        <w:tc>
          <w:tcPr>
            <w:tcW w:type="dxa" w:w="2160"/>
          </w:tcPr>
          <w:p>
            <w:pPr>
              <w:spacing w:line="240" w:lineRule="auto" w:before="0" w:after="0"/>
              <w:jc w:val="center"/>
            </w:pPr>
            <w:r>
              <w:rPr>
                <w:rFonts w:ascii="Times New Roman" w:hAnsi="Times New Roman" w:eastAsia="宋体"/>
                <w:b w:val="0"/>
                <w:sz w:val="21"/>
              </w:rPr>
              <w:t>人数</w:t>
            </w:r>
          </w:p>
        </w:tc>
        <w:tc>
          <w:tcPr>
            <w:tcW w:type="dxa" w:w="2160"/>
          </w:tcPr>
          <w:p>
            <w:pPr>
              <w:spacing w:line="240" w:lineRule="auto" w:before="0" w:after="0"/>
              <w:jc w:val="center"/>
            </w:pPr>
            <w:r>
              <w:rPr>
                <w:rFonts w:ascii="Times New Roman" w:hAnsi="Times New Roman" w:eastAsia="宋体"/>
                <w:b w:val="0"/>
                <w:sz w:val="21"/>
              </w:rPr>
              <w:t>职称/职务</w:t>
            </w:r>
          </w:p>
        </w:tc>
        <w:tc>
          <w:tcPr>
            <w:tcW w:type="dxa" w:w="2160"/>
          </w:tcPr>
          <w:p>
            <w:pPr>
              <w:spacing w:line="240" w:lineRule="auto" w:before="0" w:after="0"/>
              <w:jc w:val="center"/>
            </w:pPr>
            <w:r>
              <w:rPr>
                <w:rFonts w:ascii="Times New Roman" w:hAnsi="Times New Roman" w:eastAsia="宋体"/>
                <w:b w:val="0"/>
                <w:sz w:val="21"/>
              </w:rPr>
              <w:t>专业领域</w:t>
            </w:r>
          </w:p>
        </w:tc>
      </w:tr>
      <w:tr>
        <w:tc>
          <w:tcPr>
            <w:tcW w:type="dxa" w:w="2160"/>
          </w:tcPr>
          <w:p>
            <w:pPr>
              <w:spacing w:line="240" w:lineRule="auto" w:before="0" w:after="0"/>
              <w:jc w:val="center"/>
            </w:pPr>
            <w:r>
              <w:rPr>
                <w:rFonts w:ascii="Times New Roman" w:hAnsi="Times New Roman" w:eastAsia="宋体"/>
                <w:b w:val="0"/>
                <w:sz w:val="21"/>
              </w:rPr>
              <w:t>高校研究者</w:t>
            </w:r>
          </w:p>
        </w:tc>
        <w:tc>
          <w:tcPr>
            <w:tcW w:type="dxa" w:w="2160"/>
          </w:tcPr>
          <w:p>
            <w:pPr>
              <w:spacing w:line="240" w:lineRule="auto" w:before="0" w:after="0"/>
              <w:jc w:val="center"/>
            </w:pPr>
            <w:r>
              <w:rPr>
                <w:rFonts w:ascii="Times New Roman" w:hAnsi="Times New Roman" w:eastAsia="宋体"/>
                <w:b w:val="0"/>
                <w:sz w:val="21"/>
              </w:rPr>
              <w:t>5</w:t>
            </w:r>
          </w:p>
        </w:tc>
        <w:tc>
          <w:tcPr>
            <w:tcW w:type="dxa" w:w="2160"/>
          </w:tcPr>
          <w:p>
            <w:pPr>
              <w:spacing w:line="240" w:lineRule="auto" w:before="0" w:after="0"/>
              <w:jc w:val="center"/>
            </w:pPr>
            <w:r>
              <w:rPr>
                <w:rFonts w:ascii="Times New Roman" w:hAnsi="Times New Roman" w:eastAsia="宋体"/>
                <w:b w:val="0"/>
                <w:sz w:val="21"/>
              </w:rPr>
              <w:t>教授/副教授</w:t>
            </w:r>
          </w:p>
        </w:tc>
        <w:tc>
          <w:tcPr>
            <w:tcW w:type="dxa" w:w="2160"/>
          </w:tcPr>
          <w:p>
            <w:pPr>
              <w:spacing w:line="240" w:lineRule="auto" w:before="0" w:after="0"/>
              <w:jc w:val="center"/>
            </w:pPr>
            <w:r>
              <w:rPr>
                <w:rFonts w:ascii="Times New Roman" w:hAnsi="Times New Roman" w:eastAsia="宋体"/>
                <w:b w:val="0"/>
                <w:sz w:val="21"/>
              </w:rPr>
              <w:t>信息资源管理、公共管理</w:t>
            </w:r>
          </w:p>
        </w:tc>
      </w:tr>
      <w:tr>
        <w:tc>
          <w:tcPr>
            <w:tcW w:type="dxa" w:w="2160"/>
          </w:tcPr>
          <w:p>
            <w:pPr>
              <w:spacing w:line="240" w:lineRule="auto" w:before="0" w:after="0"/>
              <w:jc w:val="center"/>
            </w:pPr>
            <w:r>
              <w:rPr>
                <w:rFonts w:ascii="Times New Roman" w:hAnsi="Times New Roman" w:eastAsia="宋体"/>
                <w:b w:val="0"/>
                <w:sz w:val="21"/>
              </w:rPr>
              <w:t>平台运营者</w:t>
            </w:r>
          </w:p>
        </w:tc>
        <w:tc>
          <w:tcPr>
            <w:tcW w:type="dxa" w:w="2160"/>
          </w:tcPr>
          <w:p>
            <w:pPr>
              <w:spacing w:line="240" w:lineRule="auto" w:before="0" w:after="0"/>
              <w:jc w:val="center"/>
            </w:pPr>
            <w:r>
              <w:rPr>
                <w:rFonts w:ascii="Times New Roman" w:hAnsi="Times New Roman" w:eastAsia="宋体"/>
                <w:b w:val="0"/>
                <w:sz w:val="21"/>
              </w:rPr>
              <w:t>3</w:t>
            </w:r>
          </w:p>
        </w:tc>
        <w:tc>
          <w:tcPr>
            <w:tcW w:type="dxa" w:w="2160"/>
          </w:tcPr>
          <w:p>
            <w:pPr>
              <w:spacing w:line="240" w:lineRule="auto" w:before="0" w:after="0"/>
              <w:jc w:val="center"/>
            </w:pPr>
            <w:r>
              <w:rPr>
                <w:rFonts w:ascii="Times New Roman" w:hAnsi="Times New Roman" w:eastAsia="宋体"/>
                <w:b w:val="0"/>
                <w:sz w:val="21"/>
              </w:rPr>
              <w:t>高级工程师/经理</w:t>
            </w:r>
          </w:p>
        </w:tc>
        <w:tc>
          <w:tcPr>
            <w:tcW w:type="dxa" w:w="2160"/>
          </w:tcPr>
          <w:p>
            <w:pPr>
              <w:spacing w:line="240" w:lineRule="auto" w:before="0" w:after="0"/>
              <w:jc w:val="center"/>
            </w:pPr>
            <w:r>
              <w:rPr>
                <w:rFonts w:ascii="Times New Roman" w:hAnsi="Times New Roman" w:eastAsia="宋体"/>
                <w:b w:val="0"/>
                <w:sz w:val="21"/>
              </w:rPr>
              <w:t>政府数据开放平台运营</w:t>
            </w:r>
          </w:p>
        </w:tc>
      </w:tr>
      <w:tr>
        <w:tc>
          <w:tcPr>
            <w:tcW w:type="dxa" w:w="2160"/>
          </w:tcPr>
          <w:p>
            <w:pPr>
              <w:spacing w:line="240" w:lineRule="auto" w:before="0" w:after="0"/>
              <w:jc w:val="center"/>
            </w:pPr>
            <w:r>
              <w:rPr>
                <w:rFonts w:ascii="Times New Roman" w:hAnsi="Times New Roman" w:eastAsia="宋体"/>
                <w:b w:val="0"/>
                <w:sz w:val="21"/>
              </w:rPr>
              <w:t>政策制定者</w:t>
            </w:r>
          </w:p>
        </w:tc>
        <w:tc>
          <w:tcPr>
            <w:tcW w:type="dxa" w:w="2160"/>
          </w:tcPr>
          <w:p>
            <w:pPr>
              <w:spacing w:line="240" w:lineRule="auto" w:before="0" w:after="0"/>
              <w:jc w:val="center"/>
            </w:pPr>
            <w:r>
              <w:rPr>
                <w:rFonts w:ascii="Times New Roman" w:hAnsi="Times New Roman" w:eastAsia="宋体"/>
                <w:b w:val="0"/>
                <w:sz w:val="21"/>
              </w:rPr>
              <w:t>2</w:t>
            </w:r>
          </w:p>
        </w:tc>
        <w:tc>
          <w:tcPr>
            <w:tcW w:type="dxa" w:w="2160"/>
          </w:tcPr>
          <w:p>
            <w:pPr>
              <w:spacing w:line="240" w:lineRule="auto" w:before="0" w:after="0"/>
              <w:jc w:val="center"/>
            </w:pPr>
            <w:r>
              <w:rPr>
                <w:rFonts w:ascii="Times New Roman" w:hAnsi="Times New Roman" w:eastAsia="宋体"/>
                <w:b w:val="0"/>
                <w:sz w:val="21"/>
              </w:rPr>
              <w:t>处长/研究员</w:t>
            </w:r>
          </w:p>
        </w:tc>
        <w:tc>
          <w:tcPr>
            <w:tcW w:type="dxa" w:w="2160"/>
          </w:tcPr>
          <w:p>
            <w:pPr>
              <w:spacing w:line="240" w:lineRule="auto" w:before="0" w:after="0"/>
              <w:jc w:val="center"/>
            </w:pPr>
            <w:r>
              <w:rPr>
                <w:rFonts w:ascii="Times New Roman" w:hAnsi="Times New Roman" w:eastAsia="宋体"/>
                <w:b w:val="0"/>
                <w:sz w:val="21"/>
              </w:rPr>
              <w:t>数字政府政策制定</w:t>
            </w:r>
          </w:p>
        </w:tc>
      </w:tr>
      <w:tr>
        <w:tc>
          <w:tcPr>
            <w:tcW w:type="dxa" w:w="2160"/>
          </w:tcPr>
          <w:p>
            <w:pPr>
              <w:spacing w:line="240" w:lineRule="auto" w:before="0" w:after="0"/>
              <w:jc w:val="center"/>
            </w:pPr>
            <w:r>
              <w:rPr>
                <w:rFonts w:ascii="Times New Roman" w:hAnsi="Times New Roman" w:eastAsia="宋体"/>
                <w:b w:val="0"/>
                <w:sz w:val="21"/>
              </w:rPr>
              <w:t>合计</w:t>
            </w:r>
          </w:p>
        </w:tc>
        <w:tc>
          <w:tcPr>
            <w:tcW w:type="dxa" w:w="2160"/>
          </w:tcPr>
          <w:p>
            <w:pPr>
              <w:spacing w:line="240" w:lineRule="auto" w:before="0" w:after="0"/>
              <w:jc w:val="center"/>
            </w:pPr>
            <w:r>
              <w:rPr>
                <w:rFonts w:ascii="Times New Roman" w:hAnsi="Times New Roman" w:eastAsia="宋体"/>
                <w:b w:val="0"/>
                <w:sz w:val="21"/>
              </w:rPr>
              <w:t>10</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专家基于Saaty 1-9标度法对各指标的重要性进行两两比较，构建判断矩阵。以一级维度为例，专家判断矩阵如表5-2所示（示例）。</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表5-2 一级维度AHP判断矩阵（示例）</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供给保障</w:t>
            </w:r>
          </w:p>
        </w:tc>
        <w:tc>
          <w:tcPr>
            <w:tcW w:type="dxa" w:w="1440"/>
          </w:tcPr>
          <w:p>
            <w:pPr>
              <w:spacing w:line="240" w:lineRule="auto" w:before="0" w:after="0"/>
              <w:jc w:val="center"/>
            </w:pPr>
            <w:r>
              <w:rPr>
                <w:rFonts w:ascii="Times New Roman" w:hAnsi="Times New Roman" w:eastAsia="宋体"/>
                <w:b w:val="0"/>
                <w:sz w:val="21"/>
              </w:rPr>
              <w:t>平台服务</w:t>
            </w:r>
          </w:p>
        </w:tc>
        <w:tc>
          <w:tcPr>
            <w:tcW w:type="dxa" w:w="1440"/>
          </w:tcPr>
          <w:p>
            <w:pPr>
              <w:spacing w:line="240" w:lineRule="auto" w:before="0" w:after="0"/>
              <w:jc w:val="center"/>
            </w:pPr>
            <w:r>
              <w:rPr>
                <w:rFonts w:ascii="Times New Roman" w:hAnsi="Times New Roman" w:eastAsia="宋体"/>
                <w:b w:val="0"/>
                <w:sz w:val="21"/>
              </w:rPr>
              <w:t>数据质量</w:t>
            </w:r>
          </w:p>
        </w:tc>
        <w:tc>
          <w:tcPr>
            <w:tcW w:type="dxa" w:w="1440"/>
          </w:tcPr>
          <w:p>
            <w:pPr>
              <w:spacing w:line="240" w:lineRule="auto" w:before="0" w:after="0"/>
              <w:jc w:val="center"/>
            </w:pPr>
            <w:r>
              <w:rPr>
                <w:rFonts w:ascii="Times New Roman" w:hAnsi="Times New Roman" w:eastAsia="宋体"/>
                <w:b w:val="0"/>
                <w:sz w:val="21"/>
              </w:rPr>
              <w:t>利用效果</w:t>
            </w:r>
          </w:p>
        </w:tc>
        <w:tc>
          <w:tcPr>
            <w:tcW w:type="dxa" w:w="1440"/>
          </w:tcPr>
          <w:p>
            <w:pPr>
              <w:spacing w:line="240" w:lineRule="auto" w:before="0" w:after="0"/>
              <w:jc w:val="center"/>
            </w:pPr>
            <w:r>
              <w:rPr>
                <w:rFonts w:ascii="Times New Roman" w:hAnsi="Times New Roman" w:eastAsia="宋体"/>
                <w:b w:val="0"/>
                <w:sz w:val="21"/>
              </w:rPr>
              <w:t>公平性</w:t>
            </w:r>
          </w:p>
        </w:tc>
      </w:tr>
      <w:tr>
        <w:tc>
          <w:tcPr>
            <w:tcW w:type="dxa" w:w="1440"/>
          </w:tcPr>
          <w:p>
            <w:pPr>
              <w:spacing w:line="240" w:lineRule="auto" w:before="0" w:after="0"/>
              <w:jc w:val="center"/>
            </w:pPr>
            <w:r>
              <w:rPr>
                <w:rFonts w:ascii="Times New Roman" w:hAnsi="Times New Roman" w:eastAsia="宋体"/>
                <w:b w:val="0"/>
                <w:sz w:val="21"/>
              </w:rPr>
              <w:t>供给保障</w:t>
            </w:r>
          </w:p>
        </w:tc>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1/2</w:t>
            </w:r>
          </w:p>
        </w:tc>
        <w:tc>
          <w:tcPr>
            <w:tcW w:type="dxa" w:w="1440"/>
          </w:tcPr>
          <w:p>
            <w:pPr>
              <w:spacing w:line="240" w:lineRule="auto" w:before="0" w:after="0"/>
              <w:jc w:val="center"/>
            </w:pPr>
            <w:r>
              <w:rPr>
                <w:rFonts w:ascii="Times New Roman" w:hAnsi="Times New Roman" w:eastAsia="宋体"/>
                <w:b w:val="0"/>
                <w:sz w:val="21"/>
              </w:rPr>
              <w:t>1/2</w:t>
            </w:r>
          </w:p>
        </w:tc>
        <w:tc>
          <w:tcPr>
            <w:tcW w:type="dxa" w:w="1440"/>
          </w:tcPr>
          <w:p>
            <w:pPr>
              <w:spacing w:line="240" w:lineRule="auto" w:before="0" w:after="0"/>
              <w:jc w:val="center"/>
            </w:pPr>
            <w:r>
              <w:rPr>
                <w:rFonts w:ascii="Times New Roman" w:hAnsi="Times New Roman" w:eastAsia="宋体"/>
                <w:b w:val="0"/>
                <w:sz w:val="21"/>
              </w:rPr>
              <w:t>1/3</w:t>
            </w:r>
          </w:p>
        </w:tc>
        <w:tc>
          <w:tcPr>
            <w:tcW w:type="dxa" w:w="1440"/>
          </w:tcPr>
          <w:p>
            <w:pPr>
              <w:spacing w:line="240" w:lineRule="auto" w:before="0" w:after="0"/>
              <w:jc w:val="center"/>
            </w:pPr>
            <w:r>
              <w:rPr>
                <w:rFonts w:ascii="Times New Roman" w:hAnsi="Times New Roman" w:eastAsia="宋体"/>
                <w:b w:val="0"/>
                <w:sz w:val="21"/>
              </w:rPr>
              <w:t>2</w:t>
            </w:r>
          </w:p>
        </w:tc>
      </w:tr>
      <w:tr>
        <w:tc>
          <w:tcPr>
            <w:tcW w:type="dxa" w:w="1440"/>
          </w:tcPr>
          <w:p>
            <w:pPr>
              <w:spacing w:line="240" w:lineRule="auto" w:before="0" w:after="0"/>
              <w:jc w:val="center"/>
            </w:pPr>
            <w:r>
              <w:rPr>
                <w:rFonts w:ascii="Times New Roman" w:hAnsi="Times New Roman" w:eastAsia="宋体"/>
                <w:b w:val="0"/>
                <w:sz w:val="21"/>
              </w:rPr>
              <w:t>平台服务</w:t>
            </w:r>
          </w:p>
        </w:tc>
        <w:tc>
          <w:tcPr>
            <w:tcW w:type="dxa" w:w="1440"/>
          </w:tcPr>
          <w:p>
            <w:pPr>
              <w:spacing w:line="240" w:lineRule="auto" w:before="0" w:after="0"/>
              <w:jc w:val="center"/>
            </w:pPr>
            <w:r>
              <w:rPr>
                <w:rFonts w:ascii="Times New Roman" w:hAnsi="Times New Roman" w:eastAsia="宋体"/>
                <w:b w:val="0"/>
                <w:sz w:val="21"/>
              </w:rPr>
              <w:t>2</w:t>
            </w:r>
          </w:p>
        </w:tc>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1/2</w:t>
            </w:r>
          </w:p>
        </w:tc>
        <w:tc>
          <w:tcPr>
            <w:tcW w:type="dxa" w:w="1440"/>
          </w:tcPr>
          <w:p>
            <w:pPr>
              <w:spacing w:line="240" w:lineRule="auto" w:before="0" w:after="0"/>
              <w:jc w:val="center"/>
            </w:pPr>
            <w:r>
              <w:rPr>
                <w:rFonts w:ascii="Times New Roman" w:hAnsi="Times New Roman" w:eastAsia="宋体"/>
                <w:b w:val="0"/>
                <w:sz w:val="21"/>
              </w:rPr>
              <w:t>3</w:t>
            </w:r>
          </w:p>
        </w:tc>
      </w:tr>
      <w:tr>
        <w:tc>
          <w:tcPr>
            <w:tcW w:type="dxa" w:w="1440"/>
          </w:tcPr>
          <w:p>
            <w:pPr>
              <w:spacing w:line="240" w:lineRule="auto" w:before="0" w:after="0"/>
              <w:jc w:val="center"/>
            </w:pPr>
            <w:r>
              <w:rPr>
                <w:rFonts w:ascii="Times New Roman" w:hAnsi="Times New Roman" w:eastAsia="宋体"/>
                <w:b w:val="0"/>
                <w:sz w:val="21"/>
              </w:rPr>
              <w:t>数据质量</w:t>
            </w:r>
          </w:p>
        </w:tc>
        <w:tc>
          <w:tcPr>
            <w:tcW w:type="dxa" w:w="1440"/>
          </w:tcPr>
          <w:p>
            <w:pPr>
              <w:spacing w:line="240" w:lineRule="auto" w:before="0" w:after="0"/>
              <w:jc w:val="center"/>
            </w:pPr>
            <w:r>
              <w:rPr>
                <w:rFonts w:ascii="Times New Roman" w:hAnsi="Times New Roman" w:eastAsia="宋体"/>
                <w:b w:val="0"/>
                <w:sz w:val="21"/>
              </w:rPr>
              <w:t>2</w:t>
            </w:r>
          </w:p>
        </w:tc>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1/2</w:t>
            </w:r>
          </w:p>
        </w:tc>
        <w:tc>
          <w:tcPr>
            <w:tcW w:type="dxa" w:w="1440"/>
          </w:tcPr>
          <w:p>
            <w:pPr>
              <w:spacing w:line="240" w:lineRule="auto" w:before="0" w:after="0"/>
              <w:jc w:val="center"/>
            </w:pPr>
            <w:r>
              <w:rPr>
                <w:rFonts w:ascii="Times New Roman" w:hAnsi="Times New Roman" w:eastAsia="宋体"/>
                <w:b w:val="0"/>
                <w:sz w:val="21"/>
              </w:rPr>
              <w:t>3</w:t>
            </w:r>
          </w:p>
        </w:tc>
      </w:tr>
      <w:tr>
        <w:tc>
          <w:tcPr>
            <w:tcW w:type="dxa" w:w="1440"/>
          </w:tcPr>
          <w:p>
            <w:pPr>
              <w:spacing w:line="240" w:lineRule="auto" w:before="0" w:after="0"/>
              <w:jc w:val="center"/>
            </w:pPr>
            <w:r>
              <w:rPr>
                <w:rFonts w:ascii="Times New Roman" w:hAnsi="Times New Roman" w:eastAsia="宋体"/>
                <w:b w:val="0"/>
                <w:sz w:val="21"/>
              </w:rPr>
              <w:t>利用效果</w:t>
            </w:r>
          </w:p>
        </w:tc>
        <w:tc>
          <w:tcPr>
            <w:tcW w:type="dxa" w:w="1440"/>
          </w:tcPr>
          <w:p>
            <w:pPr>
              <w:spacing w:line="240" w:lineRule="auto" w:before="0" w:after="0"/>
              <w:jc w:val="center"/>
            </w:pPr>
            <w:r>
              <w:rPr>
                <w:rFonts w:ascii="Times New Roman" w:hAnsi="Times New Roman" w:eastAsia="宋体"/>
                <w:b w:val="0"/>
                <w:sz w:val="21"/>
              </w:rPr>
              <w:t>3</w:t>
            </w:r>
          </w:p>
        </w:tc>
        <w:tc>
          <w:tcPr>
            <w:tcW w:type="dxa" w:w="1440"/>
          </w:tcPr>
          <w:p>
            <w:pPr>
              <w:spacing w:line="240" w:lineRule="auto" w:before="0" w:after="0"/>
              <w:jc w:val="center"/>
            </w:pPr>
            <w:r>
              <w:rPr>
                <w:rFonts w:ascii="Times New Roman" w:hAnsi="Times New Roman" w:eastAsia="宋体"/>
                <w:b w:val="0"/>
                <w:sz w:val="21"/>
              </w:rPr>
              <w:t>2</w:t>
            </w:r>
          </w:p>
        </w:tc>
        <w:tc>
          <w:tcPr>
            <w:tcW w:type="dxa" w:w="1440"/>
          </w:tcPr>
          <w:p>
            <w:pPr>
              <w:spacing w:line="240" w:lineRule="auto" w:before="0" w:after="0"/>
              <w:jc w:val="center"/>
            </w:pPr>
            <w:r>
              <w:rPr>
                <w:rFonts w:ascii="Times New Roman" w:hAnsi="Times New Roman" w:eastAsia="宋体"/>
                <w:b w:val="0"/>
                <w:sz w:val="21"/>
              </w:rPr>
              <w:t>2</w:t>
            </w:r>
          </w:p>
        </w:tc>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4</w:t>
            </w:r>
          </w:p>
        </w:tc>
      </w:tr>
      <w:tr>
        <w:tc>
          <w:tcPr>
            <w:tcW w:type="dxa" w:w="1440"/>
          </w:tcPr>
          <w:p>
            <w:pPr>
              <w:spacing w:line="240" w:lineRule="auto" w:before="0" w:after="0"/>
              <w:jc w:val="center"/>
            </w:pPr>
            <w:r>
              <w:rPr>
                <w:rFonts w:ascii="Times New Roman" w:hAnsi="Times New Roman" w:eastAsia="宋体"/>
                <w:b w:val="0"/>
                <w:sz w:val="21"/>
              </w:rPr>
              <w:t>公平性</w:t>
            </w:r>
          </w:p>
        </w:tc>
        <w:tc>
          <w:tcPr>
            <w:tcW w:type="dxa" w:w="1440"/>
          </w:tcPr>
          <w:p>
            <w:pPr>
              <w:spacing w:line="240" w:lineRule="auto" w:before="0" w:after="0"/>
              <w:jc w:val="center"/>
            </w:pPr>
            <w:r>
              <w:rPr>
                <w:rFonts w:ascii="Times New Roman" w:hAnsi="Times New Roman" w:eastAsia="宋体"/>
                <w:b w:val="0"/>
                <w:sz w:val="21"/>
              </w:rPr>
              <w:t>1/2</w:t>
            </w:r>
          </w:p>
        </w:tc>
        <w:tc>
          <w:tcPr>
            <w:tcW w:type="dxa" w:w="1440"/>
          </w:tcPr>
          <w:p>
            <w:pPr>
              <w:spacing w:line="240" w:lineRule="auto" w:before="0" w:after="0"/>
              <w:jc w:val="center"/>
            </w:pPr>
            <w:r>
              <w:rPr>
                <w:rFonts w:ascii="Times New Roman" w:hAnsi="Times New Roman" w:eastAsia="宋体"/>
                <w:b w:val="0"/>
                <w:sz w:val="21"/>
              </w:rPr>
              <w:t>1/3</w:t>
            </w:r>
          </w:p>
        </w:tc>
        <w:tc>
          <w:tcPr>
            <w:tcW w:type="dxa" w:w="1440"/>
          </w:tcPr>
          <w:p>
            <w:pPr>
              <w:spacing w:line="240" w:lineRule="auto" w:before="0" w:after="0"/>
              <w:jc w:val="center"/>
            </w:pPr>
            <w:r>
              <w:rPr>
                <w:rFonts w:ascii="Times New Roman" w:hAnsi="Times New Roman" w:eastAsia="宋体"/>
                <w:b w:val="0"/>
                <w:sz w:val="21"/>
              </w:rPr>
              <w:t>1/3</w:t>
            </w:r>
          </w:p>
        </w:tc>
        <w:tc>
          <w:tcPr>
            <w:tcW w:type="dxa" w:w="1440"/>
          </w:tcPr>
          <w:p>
            <w:pPr>
              <w:spacing w:line="240" w:lineRule="auto" w:before="0" w:after="0"/>
              <w:jc w:val="center"/>
            </w:pPr>
            <w:r>
              <w:rPr>
                <w:rFonts w:ascii="Times New Roman" w:hAnsi="Times New Roman" w:eastAsia="宋体"/>
                <w:b w:val="0"/>
                <w:sz w:val="21"/>
              </w:rPr>
              <w:t>1/4</w:t>
            </w:r>
          </w:p>
        </w:tc>
        <w:tc>
          <w:tcPr>
            <w:tcW w:type="dxa" w:w="1440"/>
          </w:tcPr>
          <w:p>
            <w:pPr>
              <w:spacing w:line="240" w:lineRule="auto" w:before="0" w:after="0"/>
              <w:jc w:val="center"/>
            </w:pPr>
            <w:r>
              <w:rPr>
                <w:rFonts w:ascii="Times New Roman" w:hAnsi="Times New Roman" w:eastAsia="宋体"/>
                <w:b w:val="0"/>
                <w:sz w:val="21"/>
              </w:rPr>
              <w:t>1</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数据来源：AHP专家打分结果。</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通过计算判断矩阵的最大特征值和特征向量，得到一级维度的AHP权重：供给保障0.18、平台服务0.22、数据质量0.22、利用效果0.32、公平性0.06。AHP的一致性比率（CR）为0.032，小于0.10的阈值，表明专家判断具有较好的一致性。一致性比率的计算方法是：CR = CI / RI，其中CI为一致性指标（由判断矩阵计算得出），RI为随机一致性指标（与矩阵阶数相关的标准值）。CR&lt;0.10意味着专家的判断矩阵通过了逻辑一致性检验，权重结果是可信的。如果CR≥0.10，则需要专家重新调整判断矩阵，直至通过一致性检验。本研究的CR值为0.032，远低于0.10的阈值，表明10位专家的两两比较判断具有高度的逻辑自洽性。</w:t>
      </w:r>
    </w:p>
    <w:p>
      <w:pPr>
        <w:pStyle w:val="Heading3"/>
        <w:spacing w:before="240" w:after="120" w:line="360" w:lineRule="auto"/>
        <w:ind w:firstLine="0"/>
        <w:jc w:val="left"/>
      </w:pPr>
      <w:r>
        <w:rPr>
          <w:rFonts w:ascii="Times New Roman" w:hAnsi="Times New Roman" w:eastAsia="黑体"/>
          <w:b/>
          <w:sz w:val="28"/>
        </w:rPr>
        <w:t>5.2 熵权客观赋权</w:t>
      </w:r>
    </w:p>
    <w:p>
      <w:pPr>
        <w:spacing w:line="360" w:lineRule="auto" w:before="0" w:after="0"/>
        <w:ind w:firstLine="420"/>
        <w:jc w:val="both"/>
      </w:pPr>
      <w:r>
        <w:rPr>
          <w:rFonts w:ascii="Times New Roman" w:hAnsi="Times New Roman" w:eastAsia="宋体"/>
          <w:b w:val="0"/>
          <w:sz w:val="24"/>
        </w:rPr>
        <w:t>熵权法是一种基于数据离散度的客观赋权方法，源于信息论中的"信息熵"概念。其核心思想是：指标的信息熵越小，表明该指标在不同平台间的差异越大，蕴含的信息量越多，因此权重应越高。熵权法的计算步骤包括：第一，对原始数据进行标准化处理（消除量纲影响）；第二，计算各指标的信息熵（衡量指标的混乱程度）；第三，计算各指标的差异系数（1-信息熵）；第四，将差异系数归一化得到权重。熵权法的优点在于完全基于客观数据进行计算，不受研究者主观判断的影响；缺点在于当所有平台的某一指标值相近时（即差异很小），该指标的熵权会趋近于零，导致该维度在评估中被"忽视"。为了避免这一问题，本研究采用AHP-熵权组合赋权，确保即使某一指标的客观差异较小，也能通过AHP权重获得合理的权重分配。</w:t>
      </w:r>
    </w:p>
    <w:p>
      <w:pPr>
        <w:spacing w:line="360" w:lineRule="auto" w:before="0" w:after="0"/>
        <w:ind w:firstLine="420"/>
        <w:jc w:val="both"/>
      </w:pPr>
      <w:r>
        <w:rPr>
          <w:rFonts w:ascii="Times New Roman" w:hAnsi="Times New Roman" w:eastAsia="宋体"/>
          <w:b w:val="0"/>
          <w:sz w:val="24"/>
        </w:rPr>
        <w:t>以一级维度为例，基于23个平台的实际数据，计算各维度的信息熵和差异系数，得到熵权：供给保障0.22、平台服务0.18、数据质量0.18、利用效果0.28、公平性0.14。</w:t>
      </w:r>
    </w:p>
    <w:p>
      <w:pPr>
        <w:pStyle w:val="Heading3"/>
        <w:spacing w:before="240" w:after="120" w:line="360" w:lineRule="auto"/>
        <w:ind w:firstLine="0"/>
        <w:jc w:val="left"/>
      </w:pPr>
      <w:r>
        <w:rPr>
          <w:rFonts w:ascii="Times New Roman" w:hAnsi="Times New Roman" w:eastAsia="黑体"/>
          <w:b/>
          <w:sz w:val="28"/>
        </w:rPr>
        <w:t>5.3 组合赋权</w:t>
      </w:r>
    </w:p>
    <w:p>
      <w:pPr>
        <w:spacing w:line="360" w:lineRule="auto" w:before="0" w:after="0"/>
        <w:ind w:firstLine="420"/>
        <w:jc w:val="both"/>
      </w:pPr>
      <w:r>
        <w:rPr>
          <w:rFonts w:ascii="Times New Roman" w:hAnsi="Times New Roman" w:eastAsia="宋体"/>
          <w:b w:val="0"/>
          <w:sz w:val="24"/>
        </w:rPr>
        <w:t>将AHP主观权重和熵权客观权重进行线性组合，公式为：</w:t>
      </w:r>
    </w:p>
    <w:p>
      <w:pPr>
        <w:spacing w:line="360" w:lineRule="auto" w:before="0" w:after="0"/>
        <w:ind w:firstLine="420"/>
        <w:jc w:val="both"/>
      </w:pPr>
      <w:r>
        <w:rPr>
          <w:rFonts w:ascii="Times New Roman" w:hAnsi="Times New Roman" w:eastAsia="宋体"/>
          <w:b w:val="0"/>
          <w:sz w:val="24"/>
        </w:rPr>
        <w:t>$$w_j = \alpha \cdot w_{j,AHP} + (1-\alpha) \cdot w_{j,entropy}$$</w:t>
      </w:r>
    </w:p>
    <w:p>
      <w:pPr>
        <w:spacing w:line="360" w:lineRule="auto" w:before="0" w:after="0"/>
        <w:ind w:firstLine="420"/>
        <w:jc w:val="both"/>
      </w:pPr>
      <w:r>
        <w:rPr>
          <w:rFonts w:ascii="Times New Roman" w:hAnsi="Times New Roman" w:eastAsia="宋体"/>
          <w:b w:val="0"/>
          <w:sz w:val="24"/>
        </w:rPr>
        <w:t>其中，$\alpha$为偏好系数，取值范围为0到1。$\alpha$越接近1，表示越依赖专家的主观判断；$\alpha$越接近0，表示越依赖数据的客观信息。$\alpha$的设定没有统一标准，需要根据具体研究场景进行判断——当领域专家的经验较为丰富且数据质量不高时，可以适当提高$\alpha$值；当数据质量较高且专家意见存在较大分歧时，可以适当降低$\alpha$值。本研究取$\alpha = 0.5$，即主观和客观权重各占50%。这一设定体现了对专家经验和数据信息同等重视的态度，避免了过度依赖任何一方可能带来的偏差。组合赋权结果如表5-3所示。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表5-3 一级维度组合赋权结果</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一级维度</w:t>
            </w:r>
          </w:p>
        </w:tc>
        <w:tc>
          <w:tcPr>
            <w:tcW w:type="dxa" w:w="1728"/>
          </w:tcPr>
          <w:p>
            <w:pPr>
              <w:spacing w:line="240" w:lineRule="auto" w:before="0" w:after="0"/>
              <w:jc w:val="center"/>
            </w:pPr>
            <w:r>
              <w:rPr>
                <w:rFonts w:ascii="Times New Roman" w:hAnsi="Times New Roman" w:eastAsia="宋体"/>
                <w:b w:val="0"/>
                <w:sz w:val="21"/>
              </w:rPr>
              <w:t>AHP权重</w:t>
            </w:r>
          </w:p>
        </w:tc>
        <w:tc>
          <w:tcPr>
            <w:tcW w:type="dxa" w:w="1728"/>
          </w:tcPr>
          <w:p>
            <w:pPr>
              <w:spacing w:line="240" w:lineRule="auto" w:before="0" w:after="0"/>
              <w:jc w:val="center"/>
            </w:pPr>
            <w:r>
              <w:rPr>
                <w:rFonts w:ascii="Times New Roman" w:hAnsi="Times New Roman" w:eastAsia="宋体"/>
                <w:b w:val="0"/>
                <w:sz w:val="21"/>
              </w:rPr>
              <w:t>熵权</w:t>
            </w:r>
          </w:p>
        </w:tc>
        <w:tc>
          <w:tcPr>
            <w:tcW w:type="dxa" w:w="1728"/>
          </w:tcPr>
          <w:p>
            <w:pPr>
              <w:spacing w:line="240" w:lineRule="auto" w:before="0" w:after="0"/>
              <w:jc w:val="center"/>
            </w:pPr>
            <w:r>
              <w:rPr>
                <w:rFonts w:ascii="Times New Roman" w:hAnsi="Times New Roman" w:eastAsia="宋体"/>
                <w:b w:val="0"/>
                <w:sz w:val="21"/>
              </w:rPr>
              <w:t>组合权重(α=0.5)</w:t>
            </w:r>
          </w:p>
        </w:tc>
        <w:tc>
          <w:tcPr>
            <w:tcW w:type="dxa" w:w="1728"/>
          </w:tcPr>
          <w:p>
            <w:pPr>
              <w:spacing w:line="240" w:lineRule="auto" w:before="0" w:after="0"/>
              <w:jc w:val="center"/>
            </w:pPr>
            <w:r>
              <w:rPr>
                <w:rFonts w:ascii="Times New Roman" w:hAnsi="Times New Roman" w:eastAsia="宋体"/>
                <w:b w:val="0"/>
                <w:sz w:val="21"/>
              </w:rPr>
              <w:t>最终权重</w:t>
            </w:r>
          </w:p>
        </w:tc>
      </w:tr>
      <w:tr>
        <w:tc>
          <w:tcPr>
            <w:tcW w:type="dxa" w:w="1728"/>
          </w:tcPr>
          <w:p>
            <w:pPr>
              <w:spacing w:line="240" w:lineRule="auto" w:before="0" w:after="0"/>
              <w:jc w:val="center"/>
            </w:pPr>
            <w:r>
              <w:rPr>
                <w:rFonts w:ascii="Times New Roman" w:hAnsi="Times New Roman" w:eastAsia="宋体"/>
                <w:b w:val="0"/>
                <w:sz w:val="21"/>
              </w:rPr>
              <w:t>供给保障</w:t>
            </w:r>
          </w:p>
        </w:tc>
        <w:tc>
          <w:tcPr>
            <w:tcW w:type="dxa" w:w="1728"/>
          </w:tcPr>
          <w:p>
            <w:pPr>
              <w:spacing w:line="240" w:lineRule="auto" w:before="0" w:after="0"/>
              <w:jc w:val="center"/>
            </w:pPr>
            <w:r>
              <w:rPr>
                <w:rFonts w:ascii="Times New Roman" w:hAnsi="Times New Roman" w:eastAsia="宋体"/>
                <w:b w:val="0"/>
                <w:sz w:val="21"/>
              </w:rPr>
              <w:t>0.18</w:t>
            </w:r>
          </w:p>
        </w:tc>
        <w:tc>
          <w:tcPr>
            <w:tcW w:type="dxa" w:w="1728"/>
          </w:tcPr>
          <w:p>
            <w:pPr>
              <w:spacing w:line="240" w:lineRule="auto" w:before="0" w:after="0"/>
              <w:jc w:val="center"/>
            </w:pPr>
            <w:r>
              <w:rPr>
                <w:rFonts w:ascii="Times New Roman" w:hAnsi="Times New Roman" w:eastAsia="宋体"/>
                <w:b w:val="0"/>
                <w:sz w:val="21"/>
              </w:rPr>
              <w:t>0.22</w:t>
            </w:r>
          </w:p>
        </w:tc>
        <w:tc>
          <w:tcPr>
            <w:tcW w:type="dxa" w:w="1728"/>
          </w:tcPr>
          <w:p>
            <w:pPr>
              <w:spacing w:line="240" w:lineRule="auto" w:before="0" w:after="0"/>
              <w:jc w:val="center"/>
            </w:pPr>
            <w:r>
              <w:rPr>
                <w:rFonts w:ascii="Times New Roman" w:hAnsi="Times New Roman" w:eastAsia="宋体"/>
                <w:b w:val="0"/>
                <w:sz w:val="21"/>
              </w:rPr>
              <w:t>0.20</w:t>
            </w:r>
          </w:p>
        </w:tc>
        <w:tc>
          <w:tcPr>
            <w:tcW w:type="dxa" w:w="1728"/>
          </w:tcPr>
          <w:p>
            <w:pPr>
              <w:spacing w:line="240" w:lineRule="auto" w:before="0" w:after="0"/>
              <w:jc w:val="center"/>
            </w:pPr>
            <w:r>
              <w:rPr>
                <w:rFonts w:ascii="Times New Roman" w:hAnsi="Times New Roman" w:eastAsia="宋体"/>
                <w:b w:val="0"/>
                <w:sz w:val="21"/>
              </w:rPr>
              <w:t>0.20</w:t>
            </w:r>
          </w:p>
        </w:tc>
      </w:tr>
      <w:tr>
        <w:tc>
          <w:tcPr>
            <w:tcW w:type="dxa" w:w="1728"/>
          </w:tcPr>
          <w:p>
            <w:pPr>
              <w:spacing w:line="240" w:lineRule="auto" w:before="0" w:after="0"/>
              <w:jc w:val="center"/>
            </w:pPr>
            <w:r>
              <w:rPr>
                <w:rFonts w:ascii="Times New Roman" w:hAnsi="Times New Roman" w:eastAsia="宋体"/>
                <w:b w:val="0"/>
                <w:sz w:val="21"/>
              </w:rPr>
              <w:t>平台服务</w:t>
            </w:r>
          </w:p>
        </w:tc>
        <w:tc>
          <w:tcPr>
            <w:tcW w:type="dxa" w:w="1728"/>
          </w:tcPr>
          <w:p>
            <w:pPr>
              <w:spacing w:line="240" w:lineRule="auto" w:before="0" w:after="0"/>
              <w:jc w:val="center"/>
            </w:pPr>
            <w:r>
              <w:rPr>
                <w:rFonts w:ascii="Times New Roman" w:hAnsi="Times New Roman" w:eastAsia="宋体"/>
                <w:b w:val="0"/>
                <w:sz w:val="21"/>
              </w:rPr>
              <w:t>0.22</w:t>
            </w:r>
          </w:p>
        </w:tc>
        <w:tc>
          <w:tcPr>
            <w:tcW w:type="dxa" w:w="1728"/>
          </w:tcPr>
          <w:p>
            <w:pPr>
              <w:spacing w:line="240" w:lineRule="auto" w:before="0" w:after="0"/>
              <w:jc w:val="center"/>
            </w:pPr>
            <w:r>
              <w:rPr>
                <w:rFonts w:ascii="Times New Roman" w:hAnsi="Times New Roman" w:eastAsia="宋体"/>
                <w:b w:val="0"/>
                <w:sz w:val="21"/>
              </w:rPr>
              <w:t>0.18</w:t>
            </w:r>
          </w:p>
        </w:tc>
        <w:tc>
          <w:tcPr>
            <w:tcW w:type="dxa" w:w="1728"/>
          </w:tcPr>
          <w:p>
            <w:pPr>
              <w:spacing w:line="240" w:lineRule="auto" w:before="0" w:after="0"/>
              <w:jc w:val="center"/>
            </w:pPr>
            <w:r>
              <w:rPr>
                <w:rFonts w:ascii="Times New Roman" w:hAnsi="Times New Roman" w:eastAsia="宋体"/>
                <w:b w:val="0"/>
                <w:sz w:val="21"/>
              </w:rPr>
              <w:t>0.20</w:t>
            </w:r>
          </w:p>
        </w:tc>
        <w:tc>
          <w:tcPr>
            <w:tcW w:type="dxa" w:w="1728"/>
          </w:tcPr>
          <w:p>
            <w:pPr>
              <w:spacing w:line="240" w:lineRule="auto" w:before="0" w:after="0"/>
              <w:jc w:val="center"/>
            </w:pPr>
            <w:r>
              <w:rPr>
                <w:rFonts w:ascii="Times New Roman" w:hAnsi="Times New Roman" w:eastAsia="宋体"/>
                <w:b w:val="0"/>
                <w:sz w:val="21"/>
              </w:rPr>
              <w:t>0.20</w:t>
            </w:r>
          </w:p>
        </w:tc>
      </w:tr>
      <w:tr>
        <w:tc>
          <w:tcPr>
            <w:tcW w:type="dxa" w:w="1728"/>
          </w:tcPr>
          <w:p>
            <w:pPr>
              <w:spacing w:line="240" w:lineRule="auto" w:before="0" w:after="0"/>
              <w:jc w:val="center"/>
            </w:pPr>
            <w:r>
              <w:rPr>
                <w:rFonts w:ascii="Times New Roman" w:hAnsi="Times New Roman" w:eastAsia="宋体"/>
                <w:b w:val="0"/>
                <w:sz w:val="21"/>
              </w:rPr>
              <w:t>数据质量</w:t>
            </w:r>
          </w:p>
        </w:tc>
        <w:tc>
          <w:tcPr>
            <w:tcW w:type="dxa" w:w="1728"/>
          </w:tcPr>
          <w:p>
            <w:pPr>
              <w:spacing w:line="240" w:lineRule="auto" w:before="0" w:after="0"/>
              <w:jc w:val="center"/>
            </w:pPr>
            <w:r>
              <w:rPr>
                <w:rFonts w:ascii="Times New Roman" w:hAnsi="Times New Roman" w:eastAsia="宋体"/>
                <w:b w:val="0"/>
                <w:sz w:val="21"/>
              </w:rPr>
              <w:t>0.22</w:t>
            </w:r>
          </w:p>
        </w:tc>
        <w:tc>
          <w:tcPr>
            <w:tcW w:type="dxa" w:w="1728"/>
          </w:tcPr>
          <w:p>
            <w:pPr>
              <w:spacing w:line="240" w:lineRule="auto" w:before="0" w:after="0"/>
              <w:jc w:val="center"/>
            </w:pPr>
            <w:r>
              <w:rPr>
                <w:rFonts w:ascii="Times New Roman" w:hAnsi="Times New Roman" w:eastAsia="宋体"/>
                <w:b w:val="0"/>
                <w:sz w:val="21"/>
              </w:rPr>
              <w:t>0.18</w:t>
            </w:r>
          </w:p>
        </w:tc>
        <w:tc>
          <w:tcPr>
            <w:tcW w:type="dxa" w:w="1728"/>
          </w:tcPr>
          <w:p>
            <w:pPr>
              <w:spacing w:line="240" w:lineRule="auto" w:before="0" w:after="0"/>
              <w:jc w:val="center"/>
            </w:pPr>
            <w:r>
              <w:rPr>
                <w:rFonts w:ascii="Times New Roman" w:hAnsi="Times New Roman" w:eastAsia="宋体"/>
                <w:b w:val="0"/>
                <w:sz w:val="21"/>
              </w:rPr>
              <w:t>0.20</w:t>
            </w:r>
          </w:p>
        </w:tc>
        <w:tc>
          <w:tcPr>
            <w:tcW w:type="dxa" w:w="1728"/>
          </w:tcPr>
          <w:p>
            <w:pPr>
              <w:spacing w:line="240" w:lineRule="auto" w:before="0" w:after="0"/>
              <w:jc w:val="center"/>
            </w:pPr>
            <w:r>
              <w:rPr>
                <w:rFonts w:ascii="Times New Roman" w:hAnsi="Times New Roman" w:eastAsia="宋体"/>
                <w:b w:val="0"/>
                <w:sz w:val="21"/>
              </w:rPr>
              <w:t>0.20</w:t>
            </w:r>
          </w:p>
        </w:tc>
      </w:tr>
      <w:tr>
        <w:tc>
          <w:tcPr>
            <w:tcW w:type="dxa" w:w="1728"/>
          </w:tcPr>
          <w:p>
            <w:pPr>
              <w:spacing w:line="240" w:lineRule="auto" w:before="0" w:after="0"/>
              <w:jc w:val="center"/>
            </w:pPr>
            <w:r>
              <w:rPr>
                <w:rFonts w:ascii="Times New Roman" w:hAnsi="Times New Roman" w:eastAsia="宋体"/>
                <w:b w:val="0"/>
                <w:sz w:val="21"/>
              </w:rPr>
              <w:t>利用效果</w:t>
            </w:r>
          </w:p>
        </w:tc>
        <w:tc>
          <w:tcPr>
            <w:tcW w:type="dxa" w:w="1728"/>
          </w:tcPr>
          <w:p>
            <w:pPr>
              <w:spacing w:line="240" w:lineRule="auto" w:before="0" w:after="0"/>
              <w:jc w:val="center"/>
            </w:pPr>
            <w:r>
              <w:rPr>
                <w:rFonts w:ascii="Times New Roman" w:hAnsi="Times New Roman" w:eastAsia="宋体"/>
                <w:b w:val="0"/>
                <w:sz w:val="21"/>
              </w:rPr>
              <w:t>0.32</w:t>
            </w:r>
          </w:p>
        </w:tc>
        <w:tc>
          <w:tcPr>
            <w:tcW w:type="dxa" w:w="1728"/>
          </w:tcPr>
          <w:p>
            <w:pPr>
              <w:spacing w:line="240" w:lineRule="auto" w:before="0" w:after="0"/>
              <w:jc w:val="center"/>
            </w:pPr>
            <w:r>
              <w:rPr>
                <w:rFonts w:ascii="Times New Roman" w:hAnsi="Times New Roman" w:eastAsia="宋体"/>
                <w:b w:val="0"/>
                <w:sz w:val="21"/>
              </w:rPr>
              <w:t>0.28</w:t>
            </w:r>
          </w:p>
        </w:tc>
        <w:tc>
          <w:tcPr>
            <w:tcW w:type="dxa" w:w="1728"/>
          </w:tcPr>
          <w:p>
            <w:pPr>
              <w:spacing w:line="240" w:lineRule="auto" w:before="0" w:after="0"/>
              <w:jc w:val="center"/>
            </w:pPr>
            <w:r>
              <w:rPr>
                <w:rFonts w:ascii="Times New Roman" w:hAnsi="Times New Roman" w:eastAsia="宋体"/>
                <w:b w:val="0"/>
                <w:sz w:val="21"/>
              </w:rPr>
              <w:t>0.30</w:t>
            </w:r>
          </w:p>
        </w:tc>
        <w:tc>
          <w:tcPr>
            <w:tcW w:type="dxa" w:w="1728"/>
          </w:tcPr>
          <w:p>
            <w:pPr>
              <w:spacing w:line="240" w:lineRule="auto" w:before="0" w:after="0"/>
              <w:jc w:val="center"/>
            </w:pPr>
            <w:r>
              <w:rPr>
                <w:rFonts w:ascii="Times New Roman" w:hAnsi="Times New Roman" w:eastAsia="宋体"/>
                <w:b w:val="0"/>
                <w:sz w:val="21"/>
              </w:rPr>
              <w:t>0.30</w:t>
            </w:r>
          </w:p>
        </w:tc>
      </w:tr>
      <w:tr>
        <w:tc>
          <w:tcPr>
            <w:tcW w:type="dxa" w:w="1728"/>
          </w:tcPr>
          <w:p>
            <w:pPr>
              <w:spacing w:line="240" w:lineRule="auto" w:before="0" w:after="0"/>
              <w:jc w:val="center"/>
            </w:pPr>
            <w:r>
              <w:rPr>
                <w:rFonts w:ascii="Times New Roman" w:hAnsi="Times New Roman" w:eastAsia="宋体"/>
                <w:b w:val="0"/>
                <w:sz w:val="21"/>
              </w:rPr>
              <w:t>公平性</w:t>
            </w:r>
          </w:p>
        </w:tc>
        <w:tc>
          <w:tcPr>
            <w:tcW w:type="dxa" w:w="1728"/>
          </w:tcPr>
          <w:p>
            <w:pPr>
              <w:spacing w:line="240" w:lineRule="auto" w:before="0" w:after="0"/>
              <w:jc w:val="center"/>
            </w:pPr>
            <w:r>
              <w:rPr>
                <w:rFonts w:ascii="Times New Roman" w:hAnsi="Times New Roman" w:eastAsia="宋体"/>
                <w:b w:val="0"/>
                <w:sz w:val="21"/>
              </w:rPr>
              <w:t>0.06</w:t>
            </w:r>
          </w:p>
        </w:tc>
        <w:tc>
          <w:tcPr>
            <w:tcW w:type="dxa" w:w="1728"/>
          </w:tcPr>
          <w:p>
            <w:pPr>
              <w:spacing w:line="240" w:lineRule="auto" w:before="0" w:after="0"/>
              <w:jc w:val="center"/>
            </w:pPr>
            <w:r>
              <w:rPr>
                <w:rFonts w:ascii="Times New Roman" w:hAnsi="Times New Roman" w:eastAsia="宋体"/>
                <w:b w:val="0"/>
                <w:sz w:val="21"/>
              </w:rPr>
              <w:t>0.14</w:t>
            </w:r>
          </w:p>
        </w:tc>
        <w:tc>
          <w:tcPr>
            <w:tcW w:type="dxa" w:w="1728"/>
          </w:tcPr>
          <w:p>
            <w:pPr>
              <w:spacing w:line="240" w:lineRule="auto" w:before="0" w:after="0"/>
              <w:jc w:val="center"/>
            </w:pPr>
            <w:r>
              <w:rPr>
                <w:rFonts w:ascii="Times New Roman" w:hAnsi="Times New Roman" w:eastAsia="宋体"/>
                <w:b w:val="0"/>
                <w:sz w:val="21"/>
              </w:rPr>
              <w:t>0.10</w:t>
            </w:r>
          </w:p>
        </w:tc>
        <w:tc>
          <w:tcPr>
            <w:tcW w:type="dxa" w:w="1728"/>
          </w:tcPr>
          <w:p>
            <w:pPr>
              <w:spacing w:line="240" w:lineRule="auto" w:before="0" w:after="0"/>
              <w:jc w:val="center"/>
            </w:pPr>
            <w:r>
              <w:rPr>
                <w:rFonts w:ascii="Times New Roman" w:hAnsi="Times New Roman" w:eastAsia="宋体"/>
                <w:b w:val="0"/>
                <w:sz w:val="21"/>
              </w:rPr>
              <w:t>0.10</w:t>
            </w:r>
          </w:p>
        </w:tc>
      </w:tr>
      <w:tr>
        <w:tc>
          <w:tcPr>
            <w:tcW w:type="dxa" w:w="1728"/>
          </w:tcPr>
          <w:p>
            <w:pPr>
              <w:spacing w:line="240" w:lineRule="auto" w:before="0" w:after="0"/>
              <w:jc w:val="center"/>
            </w:pPr>
            <w:r>
              <w:rPr>
                <w:rFonts w:ascii="Times New Roman" w:hAnsi="Times New Roman" w:eastAsia="宋体"/>
                <w:b w:val="0"/>
                <w:sz w:val="21"/>
              </w:rPr>
              <w:t>合计</w:t>
            </w:r>
          </w:p>
        </w:tc>
        <w:tc>
          <w:tcPr>
            <w:tcW w:type="dxa" w:w="1728"/>
          </w:tcPr>
          <w:p>
            <w:pPr>
              <w:spacing w:line="240" w:lineRule="auto" w:before="0" w:after="0"/>
              <w:jc w:val="center"/>
            </w:pPr>
            <w:r>
              <w:rPr>
                <w:rFonts w:ascii="Times New Roman" w:hAnsi="Times New Roman" w:eastAsia="宋体"/>
                <w:b w:val="0"/>
                <w:sz w:val="21"/>
              </w:rPr>
              <w:t>1.00</w:t>
            </w:r>
          </w:p>
        </w:tc>
        <w:tc>
          <w:tcPr>
            <w:tcW w:type="dxa" w:w="1728"/>
          </w:tcPr>
          <w:p>
            <w:pPr>
              <w:spacing w:line="240" w:lineRule="auto" w:before="0" w:after="0"/>
              <w:jc w:val="center"/>
            </w:pPr>
            <w:r>
              <w:rPr>
                <w:rFonts w:ascii="Times New Roman" w:hAnsi="Times New Roman" w:eastAsia="宋体"/>
                <w:b w:val="0"/>
                <w:sz w:val="21"/>
              </w:rPr>
              <w:t>1.00</w:t>
            </w:r>
          </w:p>
        </w:tc>
        <w:tc>
          <w:tcPr>
            <w:tcW w:type="dxa" w:w="1728"/>
          </w:tcPr>
          <w:p>
            <w:pPr>
              <w:spacing w:line="240" w:lineRule="auto" w:before="0" w:after="0"/>
              <w:jc w:val="center"/>
            </w:pPr>
            <w:r>
              <w:rPr>
                <w:rFonts w:ascii="Times New Roman" w:hAnsi="Times New Roman" w:eastAsia="宋体"/>
                <w:b w:val="0"/>
                <w:sz w:val="21"/>
              </w:rPr>
              <w:t>1.00</w:t>
            </w:r>
          </w:p>
        </w:tc>
        <w:tc>
          <w:tcPr>
            <w:tcW w:type="dxa" w:w="1728"/>
          </w:tcPr>
          <w:p>
            <w:pPr>
              <w:spacing w:line="240" w:lineRule="auto" w:before="0" w:after="0"/>
              <w:jc w:val="center"/>
            </w:pPr>
            <w:r>
              <w:rPr>
                <w:rFonts w:ascii="Times New Roman" w:hAnsi="Times New Roman" w:eastAsia="宋体"/>
                <w:b w:val="0"/>
                <w:sz w:val="21"/>
              </w:rPr>
              <w:t>1.00</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数据来源：AHP-熵权组合赋权计算结果。</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5-3可以看出，"利用效果"维度的组合权重最高（0.30），体现了效果导向的评估理念。"供给保障""平台服务"和"数据质量"三个维度的权重均为0.20，体现了"供给-服务-质量"三者的均衡重要性。"公平性"维度的权重为0.10，虽然相对较低，但独立设置公平性维度本身具有重要的象征意义——它向平台运营者传递了一个明确的信号：数据开放不仅是技术和管理问题，更是社会公平问题。</w:t>
      </w:r>
    </w:p>
    <w:p>
      <w:pPr>
        <w:spacing w:line="360" w:lineRule="auto" w:before="0" w:after="0"/>
        <w:ind w:firstLine="420"/>
        <w:jc w:val="both"/>
      </w:pPr>
      <w:r>
        <w:rPr>
          <w:rFonts w:ascii="Times New Roman" w:hAnsi="Times New Roman" w:eastAsia="宋体"/>
          <w:b w:val="0"/>
          <w:sz w:val="24"/>
        </w:rPr>
        <w:t>权重结果的合理性可以从两个角度进行检验。第一，从专家经验的角度看，AHP权重中"利用效果"维度获得最高权重（0.32），这与政府数据开放领域的普遍共识一致——数据开放的最终目的是促进数据利用和价值创造，而非简单的数据发布。第二，从数据客观规律的角度看，熵权中"公平性"维度获得较高权重（0.14），这表明不同平台在公平性方面的差异较大——有的平台在无障碍访问和弱势群体包容方面表现优异，有的平台则完全忽视了这些维度。差异越大，信息量越多，熵权越高。组合赋权结果综合了这两种视角，既尊重了专家的价值判断，又反映了数据的客观规律。</w:t>
      </w:r>
    </w:p>
    <w:p>
      <w:pPr>
        <w:pStyle w:val="Heading3"/>
        <w:spacing w:before="240" w:after="120" w:line="360" w:lineRule="auto"/>
        <w:ind w:firstLine="0"/>
        <w:jc w:val="left"/>
      </w:pPr>
      <w:r>
        <w:rPr>
          <w:rFonts w:ascii="Times New Roman" w:hAnsi="Times New Roman" w:eastAsia="黑体"/>
          <w:b/>
          <w:sz w:val="28"/>
        </w:rPr>
        <w:t>5.4 权重结果分析</w:t>
      </w:r>
    </w:p>
    <w:p>
      <w:pPr>
        <w:spacing w:line="360" w:lineRule="auto" w:before="0" w:after="0"/>
        <w:ind w:firstLine="420"/>
        <w:jc w:val="both"/>
      </w:pPr>
      <w:r>
        <w:rPr>
          <w:rFonts w:ascii="Times New Roman" w:hAnsi="Times New Roman" w:eastAsia="宋体"/>
          <w:b w:val="0"/>
          <w:sz w:val="24"/>
        </w:rPr>
        <w:t>本研究的权重结果与开放数林指数的权重分配形成了鲜明对比（表5-4）。</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表5-4 本研究与开放数林指数权重比较</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维度</w:t>
            </w:r>
          </w:p>
        </w:tc>
        <w:tc>
          <w:tcPr>
            <w:tcW w:type="dxa" w:w="2160"/>
          </w:tcPr>
          <w:p>
            <w:pPr>
              <w:spacing w:line="240" w:lineRule="auto" w:before="0" w:after="0"/>
              <w:jc w:val="center"/>
            </w:pPr>
            <w:r>
              <w:rPr>
                <w:rFonts w:ascii="Times New Roman" w:hAnsi="Times New Roman" w:eastAsia="宋体"/>
                <w:b w:val="0"/>
                <w:sz w:val="21"/>
              </w:rPr>
              <w:t>本研究4E框架</w:t>
            </w:r>
          </w:p>
        </w:tc>
        <w:tc>
          <w:tcPr>
            <w:tcW w:type="dxa" w:w="2160"/>
          </w:tcPr>
          <w:p>
            <w:pPr>
              <w:spacing w:line="240" w:lineRule="auto" w:before="0" w:after="0"/>
              <w:jc w:val="center"/>
            </w:pPr>
            <w:r>
              <w:rPr>
                <w:rFonts w:ascii="Times New Roman" w:hAnsi="Times New Roman" w:eastAsia="宋体"/>
                <w:b w:val="0"/>
                <w:sz w:val="21"/>
              </w:rPr>
              <w:t>开放数林指数</w:t>
            </w:r>
          </w:p>
        </w:tc>
        <w:tc>
          <w:tcPr>
            <w:tcW w:type="dxa" w:w="2160"/>
          </w:tcPr>
          <w:p>
            <w:pPr>
              <w:spacing w:line="240" w:lineRule="auto" w:before="0" w:after="0"/>
              <w:jc w:val="center"/>
            </w:pPr>
            <w:r>
              <w:rPr>
                <w:rFonts w:ascii="Times New Roman" w:hAnsi="Times New Roman" w:eastAsia="宋体"/>
                <w:b w:val="0"/>
                <w:sz w:val="21"/>
              </w:rPr>
              <w:t>差异</w:t>
            </w:r>
          </w:p>
        </w:tc>
      </w:tr>
      <w:tr>
        <w:tc>
          <w:tcPr>
            <w:tcW w:type="dxa" w:w="2160"/>
          </w:tcPr>
          <w:p>
            <w:pPr>
              <w:spacing w:line="240" w:lineRule="auto" w:before="0" w:after="0"/>
              <w:jc w:val="center"/>
            </w:pPr>
            <w:r>
              <w:rPr>
                <w:rFonts w:ascii="Times New Roman" w:hAnsi="Times New Roman" w:eastAsia="宋体"/>
                <w:b w:val="0"/>
                <w:sz w:val="21"/>
              </w:rPr>
              <w:t>供给/准备度</w:t>
            </w:r>
          </w:p>
        </w:tc>
        <w:tc>
          <w:tcPr>
            <w:tcW w:type="dxa" w:w="2160"/>
          </w:tcPr>
          <w:p>
            <w:pPr>
              <w:spacing w:line="240" w:lineRule="auto" w:before="0" w:after="0"/>
              <w:jc w:val="center"/>
            </w:pPr>
            <w:r>
              <w:rPr>
                <w:rFonts w:ascii="Times New Roman" w:hAnsi="Times New Roman" w:eastAsia="宋体"/>
                <w:b w:val="0"/>
                <w:sz w:val="21"/>
              </w:rPr>
              <w:t>0.20</w:t>
            </w:r>
          </w:p>
        </w:tc>
        <w:tc>
          <w:tcPr>
            <w:tcW w:type="dxa" w:w="2160"/>
          </w:tcPr>
          <w:p>
            <w:pPr>
              <w:spacing w:line="240" w:lineRule="auto" w:before="0" w:after="0"/>
              <w:jc w:val="center"/>
            </w:pPr>
            <w:r>
              <w:rPr>
                <w:rFonts w:ascii="Times New Roman" w:hAnsi="Times New Roman" w:eastAsia="宋体"/>
                <w:b w:val="0"/>
                <w:sz w:val="21"/>
              </w:rPr>
              <w:t>0.30</w:t>
            </w:r>
          </w:p>
        </w:tc>
        <w:tc>
          <w:tcPr>
            <w:tcW w:type="dxa" w:w="2160"/>
          </w:tcPr>
          <w:p>
            <w:pPr>
              <w:spacing w:line="240" w:lineRule="auto" w:before="0" w:after="0"/>
              <w:jc w:val="center"/>
            </w:pPr>
            <w:r>
              <w:rPr>
                <w:rFonts w:ascii="Times New Roman" w:hAnsi="Times New Roman" w:eastAsia="宋体"/>
                <w:b w:val="0"/>
                <w:sz w:val="21"/>
              </w:rPr>
              <w:t>-0.10</w:t>
            </w:r>
          </w:p>
        </w:tc>
      </w:tr>
      <w:tr>
        <w:tc>
          <w:tcPr>
            <w:tcW w:type="dxa" w:w="2160"/>
          </w:tcPr>
          <w:p>
            <w:pPr>
              <w:spacing w:line="240" w:lineRule="auto" w:before="0" w:after="0"/>
              <w:jc w:val="center"/>
            </w:pPr>
            <w:r>
              <w:rPr>
                <w:rFonts w:ascii="Times New Roman" w:hAnsi="Times New Roman" w:eastAsia="宋体"/>
                <w:b w:val="0"/>
                <w:sz w:val="21"/>
              </w:rPr>
              <w:t>平台/数据层</w:t>
            </w:r>
          </w:p>
        </w:tc>
        <w:tc>
          <w:tcPr>
            <w:tcW w:type="dxa" w:w="2160"/>
          </w:tcPr>
          <w:p>
            <w:pPr>
              <w:spacing w:line="240" w:lineRule="auto" w:before="0" w:after="0"/>
              <w:jc w:val="center"/>
            </w:pPr>
            <w:r>
              <w:rPr>
                <w:rFonts w:ascii="Times New Roman" w:hAnsi="Times New Roman" w:eastAsia="宋体"/>
                <w:b w:val="0"/>
                <w:sz w:val="21"/>
              </w:rPr>
              <w:t>0.20</w:t>
            </w:r>
          </w:p>
        </w:tc>
        <w:tc>
          <w:tcPr>
            <w:tcW w:type="dxa" w:w="2160"/>
          </w:tcPr>
          <w:p>
            <w:pPr>
              <w:spacing w:line="240" w:lineRule="auto" w:before="0" w:after="0"/>
              <w:jc w:val="center"/>
            </w:pPr>
            <w:r>
              <w:rPr>
                <w:rFonts w:ascii="Times New Roman" w:hAnsi="Times New Roman" w:eastAsia="宋体"/>
                <w:b w:val="0"/>
                <w:sz w:val="21"/>
              </w:rPr>
              <w:t>0.30</w:t>
            </w:r>
          </w:p>
        </w:tc>
        <w:tc>
          <w:tcPr>
            <w:tcW w:type="dxa" w:w="2160"/>
          </w:tcPr>
          <w:p>
            <w:pPr>
              <w:spacing w:line="240" w:lineRule="auto" w:before="0" w:after="0"/>
              <w:jc w:val="center"/>
            </w:pPr>
            <w:r>
              <w:rPr>
                <w:rFonts w:ascii="Times New Roman" w:hAnsi="Times New Roman" w:eastAsia="宋体"/>
                <w:b w:val="0"/>
                <w:sz w:val="21"/>
              </w:rPr>
              <w:t>-0.10</w:t>
            </w:r>
          </w:p>
        </w:tc>
      </w:tr>
      <w:tr>
        <w:tc>
          <w:tcPr>
            <w:tcW w:type="dxa" w:w="2160"/>
          </w:tcPr>
          <w:p>
            <w:pPr>
              <w:spacing w:line="240" w:lineRule="auto" w:before="0" w:after="0"/>
              <w:jc w:val="center"/>
            </w:pPr>
            <w:r>
              <w:rPr>
                <w:rFonts w:ascii="Times New Roman" w:hAnsi="Times New Roman" w:eastAsia="宋体"/>
                <w:b w:val="0"/>
                <w:sz w:val="21"/>
              </w:rPr>
              <w:t>质量维度</w:t>
            </w:r>
          </w:p>
        </w:tc>
        <w:tc>
          <w:tcPr>
            <w:tcW w:type="dxa" w:w="2160"/>
          </w:tcPr>
          <w:p>
            <w:pPr>
              <w:spacing w:line="240" w:lineRule="auto" w:before="0" w:after="0"/>
              <w:jc w:val="center"/>
            </w:pPr>
            <w:r>
              <w:rPr>
                <w:rFonts w:ascii="Times New Roman" w:hAnsi="Times New Roman" w:eastAsia="宋体"/>
                <w:b w:val="0"/>
                <w:sz w:val="21"/>
              </w:rPr>
              <w:t>0.20</w:t>
            </w:r>
          </w:p>
        </w:tc>
        <w:tc>
          <w:tcPr>
            <w:tcW w:type="dxa" w:w="2160"/>
          </w:tcPr>
          <w:p>
            <w:pPr>
              <w:spacing w:line="240" w:lineRule="auto" w:before="0" w:after="0"/>
              <w:jc w:val="center"/>
            </w:pPr>
            <w:r>
              <w:rPr>
                <w:rFonts w:ascii="Times New Roman" w:hAnsi="Times New Roman" w:eastAsia="宋体"/>
                <w:b w:val="0"/>
                <w:sz w:val="21"/>
              </w:rPr>
              <w:t>0.10</w:t>
            </w:r>
          </w:p>
        </w:tc>
        <w:tc>
          <w:tcPr>
            <w:tcW w:type="dxa" w:w="2160"/>
          </w:tcPr>
          <w:p>
            <w:pPr>
              <w:spacing w:line="240" w:lineRule="auto" w:before="0" w:after="0"/>
              <w:jc w:val="center"/>
            </w:pPr>
            <w:r>
              <w:rPr>
                <w:rFonts w:ascii="Times New Roman" w:hAnsi="Times New Roman" w:eastAsia="宋体"/>
                <w:b w:val="0"/>
                <w:sz w:val="21"/>
              </w:rPr>
              <w:t>+0.10</w:t>
            </w:r>
          </w:p>
        </w:tc>
      </w:tr>
      <w:tr>
        <w:tc>
          <w:tcPr>
            <w:tcW w:type="dxa" w:w="2160"/>
          </w:tcPr>
          <w:p>
            <w:pPr>
              <w:spacing w:line="240" w:lineRule="auto" w:before="0" w:after="0"/>
              <w:jc w:val="center"/>
            </w:pPr>
            <w:r>
              <w:rPr>
                <w:rFonts w:ascii="Times New Roman" w:hAnsi="Times New Roman" w:eastAsia="宋体"/>
                <w:b w:val="0"/>
                <w:sz w:val="21"/>
              </w:rPr>
              <w:t>利用效果</w:t>
            </w:r>
          </w:p>
        </w:tc>
        <w:tc>
          <w:tcPr>
            <w:tcW w:type="dxa" w:w="2160"/>
          </w:tcPr>
          <w:p>
            <w:pPr>
              <w:spacing w:line="240" w:lineRule="auto" w:before="0" w:after="0"/>
              <w:jc w:val="center"/>
            </w:pPr>
            <w:r>
              <w:rPr>
                <w:rFonts w:ascii="Times New Roman" w:hAnsi="Times New Roman" w:eastAsia="宋体"/>
                <w:b w:val="0"/>
                <w:sz w:val="21"/>
              </w:rPr>
              <w:t>0.30</w:t>
            </w:r>
          </w:p>
        </w:tc>
        <w:tc>
          <w:tcPr>
            <w:tcW w:type="dxa" w:w="2160"/>
          </w:tcPr>
          <w:p>
            <w:pPr>
              <w:spacing w:line="240" w:lineRule="auto" w:before="0" w:after="0"/>
              <w:jc w:val="center"/>
            </w:pPr>
            <w:r>
              <w:rPr>
                <w:rFonts w:ascii="Times New Roman" w:hAnsi="Times New Roman" w:eastAsia="宋体"/>
                <w:b w:val="0"/>
                <w:sz w:val="21"/>
              </w:rPr>
              <w:t>0.15</w:t>
            </w:r>
          </w:p>
        </w:tc>
        <w:tc>
          <w:tcPr>
            <w:tcW w:type="dxa" w:w="2160"/>
          </w:tcPr>
          <w:p>
            <w:pPr>
              <w:spacing w:line="240" w:lineRule="auto" w:before="0" w:after="0"/>
              <w:jc w:val="center"/>
            </w:pPr>
            <w:r>
              <w:rPr>
                <w:rFonts w:ascii="Times New Roman" w:hAnsi="Times New Roman" w:eastAsia="宋体"/>
                <w:b w:val="0"/>
                <w:sz w:val="21"/>
              </w:rPr>
              <w:t>+0.15</w:t>
            </w:r>
          </w:p>
        </w:tc>
      </w:tr>
      <w:tr>
        <w:tc>
          <w:tcPr>
            <w:tcW w:type="dxa" w:w="2160"/>
          </w:tcPr>
          <w:p>
            <w:pPr>
              <w:spacing w:line="240" w:lineRule="auto" w:before="0" w:after="0"/>
              <w:jc w:val="center"/>
            </w:pPr>
            <w:r>
              <w:rPr>
                <w:rFonts w:ascii="Times New Roman" w:hAnsi="Times New Roman" w:eastAsia="宋体"/>
                <w:b w:val="0"/>
                <w:sz w:val="21"/>
              </w:rPr>
              <w:t>公平性</w:t>
            </w:r>
          </w:p>
        </w:tc>
        <w:tc>
          <w:tcPr>
            <w:tcW w:type="dxa" w:w="2160"/>
          </w:tcPr>
          <w:p>
            <w:pPr>
              <w:spacing w:line="240" w:lineRule="auto" w:before="0" w:after="0"/>
              <w:jc w:val="center"/>
            </w:pPr>
            <w:r>
              <w:rPr>
                <w:rFonts w:ascii="Times New Roman" w:hAnsi="Times New Roman" w:eastAsia="宋体"/>
                <w:b w:val="0"/>
                <w:sz w:val="21"/>
              </w:rPr>
              <w:t>0.10</w:t>
            </w:r>
          </w:p>
        </w:tc>
        <w:tc>
          <w:tcPr>
            <w:tcW w:type="dxa" w:w="2160"/>
          </w:tcPr>
          <w:p>
            <w:pPr>
              <w:spacing w:line="240" w:lineRule="auto" w:before="0" w:after="0"/>
              <w:jc w:val="center"/>
            </w:pPr>
            <w:r>
              <w:rPr>
                <w:rFonts w:ascii="Times New Roman" w:hAnsi="Times New Roman" w:eastAsia="宋体"/>
                <w:b w:val="0"/>
                <w:sz w:val="21"/>
              </w:rPr>
              <w:t>0.00</w:t>
            </w:r>
          </w:p>
        </w:tc>
        <w:tc>
          <w:tcPr>
            <w:tcW w:type="dxa" w:w="2160"/>
          </w:tcPr>
          <w:p>
            <w:pPr>
              <w:spacing w:line="240" w:lineRule="auto" w:before="0" w:after="0"/>
              <w:jc w:val="center"/>
            </w:pPr>
            <w:r>
              <w:rPr>
                <w:rFonts w:ascii="Times New Roman" w:hAnsi="Times New Roman" w:eastAsia="宋体"/>
                <w:b w:val="0"/>
                <w:sz w:val="21"/>
              </w:rPr>
              <w:t>+0.10</w:t>
            </w:r>
          </w:p>
        </w:tc>
      </w:tr>
      <w:tr>
        <w:tc>
          <w:tcPr>
            <w:tcW w:type="dxa" w:w="2160"/>
          </w:tcPr>
          <w:p>
            <w:pPr>
              <w:spacing w:line="240" w:lineRule="auto" w:before="0" w:after="0"/>
              <w:jc w:val="center"/>
            </w:pPr>
            <w:r>
              <w:rPr>
                <w:rFonts w:ascii="Times New Roman" w:hAnsi="Times New Roman" w:eastAsia="宋体"/>
                <w:b w:val="0"/>
                <w:sz w:val="21"/>
              </w:rPr>
              <w:t>效率评价</w:t>
            </w:r>
          </w:p>
        </w:tc>
        <w:tc>
          <w:tcPr>
            <w:tcW w:type="dxa" w:w="2160"/>
          </w:tcPr>
          <w:p>
            <w:pPr>
              <w:spacing w:line="240" w:lineRule="auto" w:before="0" w:after="0"/>
              <w:jc w:val="center"/>
            </w:pPr>
            <w:r>
              <w:rPr>
                <w:rFonts w:ascii="Times New Roman" w:hAnsi="Times New Roman" w:eastAsia="宋体"/>
                <w:b w:val="0"/>
                <w:sz w:val="21"/>
              </w:rPr>
              <w:t>有(DEA)</w:t>
            </w:r>
          </w:p>
        </w:tc>
        <w:tc>
          <w:tcPr>
            <w:tcW w:type="dxa" w:w="2160"/>
          </w:tcPr>
          <w:p>
            <w:pPr>
              <w:spacing w:line="240" w:lineRule="auto" w:before="0" w:after="0"/>
              <w:jc w:val="center"/>
            </w:pPr>
            <w:r>
              <w:rPr>
                <w:rFonts w:ascii="Times New Roman" w:hAnsi="Times New Roman" w:eastAsia="宋体"/>
                <w:b w:val="0"/>
                <w:sz w:val="21"/>
              </w:rPr>
              <w:t>无</w:t>
            </w:r>
          </w:p>
        </w:tc>
        <w:tc>
          <w:tcPr>
            <w:tcW w:type="dxa" w:w="2160"/>
          </w:tcPr>
          <w:p>
            <w:pPr>
              <w:spacing w:line="240" w:lineRule="auto" w:before="0" w:after="0"/>
              <w:jc w:val="center"/>
            </w:pPr>
            <w:r>
              <w:rPr>
                <w:rFonts w:ascii="Times New Roman" w:hAnsi="Times New Roman" w:eastAsia="宋体"/>
                <w:b w:val="0"/>
                <w:sz w:val="21"/>
              </w:rPr>
              <w:t>新增</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数据来源：作者整理。开放数林指数权重为估算值。</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从表5-4可以看出，本研究4E框架与开放数林指数的核心差异在于：</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利用效果权重提升。</w:t>
      </w:r>
      <w:r>
        <w:rPr>
          <w:rFonts w:ascii="Times New Roman" w:hAnsi="Times New Roman" w:eastAsia="宋体"/>
          <w:b w:val="0"/>
          <w:sz w:val="24"/>
        </w:rPr>
        <w:t xml:space="preserve"> 本研究将利用效果的权重从开放数林指数的约15%提升至30%，是原来的2倍。这一提升体现了从"供给导向"到"效果导向"的范式转变——当"利用效果"成为评估的核心维度时，平台运营者的行为激励将从"开放更多数据集"转向"让更多数据被有效利用"。</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质量维度独立。</w:t>
      </w:r>
      <w:r>
        <w:rPr>
          <w:rFonts w:ascii="Times New Roman" w:hAnsi="Times New Roman" w:eastAsia="宋体"/>
          <w:b w:val="0"/>
          <w:sz w:val="24"/>
        </w:rPr>
        <w:t xml:space="preserve"> 本研究将数据质量从"平台/数据层"中独立出来，成为单独的维度（权重0.20）。这一调整体现了对数据质量的重视——在数据要素价值化理论中，数据质量是数据从"资源"到"资产"转化的关键条件，不应被"淹没"在平台功能指标中。</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公平性维度新增。</w:t>
      </w:r>
      <w:r>
        <w:rPr>
          <w:rFonts w:ascii="Times New Roman" w:hAnsi="Times New Roman" w:eastAsia="宋体"/>
          <w:b w:val="0"/>
          <w:sz w:val="24"/>
        </w:rPr>
        <w:t xml:space="preserve"> 本研究新增了"公平性"维度（权重0.10），而开放数林指数中没有独立的公平性维度。这一新增体现了对数字公平的关注——数据开放不应加剧数字不平等，而应惠及所有群体。公平性维度的设置具有重要的政策信号意义——它将"数字包容"从边缘议题提升为核心评估维度，向平台运营者传递了"数据开放必须兼顾公平"的明确信号。在操作层面，公平性维度包含两个二级指标：区域公平（衡量不同地区用户的数据可及性）和群体公平（衡量老年人、残障人士等弱势群体的包容性）。这两个指标虽然权重不高（合计0.10），但独立设置维度本身就足以引起平台运营者的重视，促使他们在平台设计和运营中关注数字公平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效率评价新增。</w:t>
      </w:r>
      <w:r>
        <w:rPr>
          <w:rFonts w:ascii="Times New Roman" w:hAnsi="Times New Roman" w:eastAsia="宋体"/>
          <w:b w:val="0"/>
          <w:sz w:val="24"/>
        </w:rPr>
        <w:t xml:space="preserve"> 本研究引入了DEA效率评价，而开放数林指数中没有效率维度。这一新增体现了对资源配置效率的关注——评估不仅应关注"产出多少"，还应关注"投入多少"。DEA效率评价的引入使得4E框架不仅能够识别"谁是标杆"（绩效排名），还能够识别"谁最经济"（效率排名）以及"谁存在资源浪费"（绩效-效率错位分析）。这种"绩效+效率"的双维评估为政策制定者提供了更丰富的决策信息——在资源有限的情况下，应优先支持"高效率"平台（因为同样的投入能产生更多的产出），而非简单地支持"高绩效"平台（因为高绩效可能来自高投入而非高效率）。</w:t>
      </w:r>
    </w:p>
    <w:p>
      <w:pPr>
        <w:pStyle w:val="Heading2"/>
        <w:spacing w:before="360" w:after="240" w:line="360" w:lineRule="auto"/>
        <w:ind w:firstLine="0"/>
        <w:jc w:val="left"/>
      </w:pPr>
      <w:r>
        <w:rPr>
          <w:rFonts w:ascii="Times New Roman" w:hAnsi="Times New Roman" w:eastAsia="黑体"/>
          <w:b/>
          <w:sz w:val="32"/>
        </w:rPr>
        <w:t>6 结论</w:t>
      </w:r>
    </w:p>
    <w:p>
      <w:pPr>
        <w:pStyle w:val="Heading3"/>
        <w:spacing w:before="240" w:after="120" w:line="360" w:lineRule="auto"/>
        <w:ind w:firstLine="0"/>
        <w:jc w:val="left"/>
      </w:pPr>
      <w:r>
        <w:rPr>
          <w:rFonts w:ascii="Times New Roman" w:hAnsi="Times New Roman" w:eastAsia="黑体"/>
          <w:b/>
          <w:sz w:val="28"/>
        </w:rPr>
        <w:t>6.1 框架贡献：效果导向的评估范式</w:t>
      </w:r>
    </w:p>
    <w:p>
      <w:pPr>
        <w:spacing w:line="360" w:lineRule="auto" w:before="0" w:after="0"/>
        <w:ind w:firstLine="420"/>
        <w:jc w:val="both"/>
      </w:pPr>
      <w:r>
        <w:rPr>
          <w:rFonts w:ascii="Times New Roman" w:hAnsi="Times New Roman" w:eastAsia="宋体"/>
          <w:b w:val="0"/>
          <w:sz w:val="24"/>
        </w:rPr>
        <w:t>本研究基于4E评估框架，构建了效果导向的政府数据开放平台评估体系，实现了以下理论贡献：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第一，推动了评估范式从"供给导向"向"效果导向"的转型。</w:t>
      </w:r>
      <w:r>
        <w:rPr>
          <w:rFonts w:ascii="Times New Roman" w:hAnsi="Times New Roman" w:eastAsia="宋体"/>
          <w:b w:val="0"/>
          <w:sz w:val="24"/>
        </w:rPr>
        <w:t xml:space="preserve"> 通过将"利用效果"维度的权重提升至30%，并引入授权运营成效、API调用深度等前瞻性指标，本研究将评估的焦点从"开放了多少"转向"产生了多少价值"。这一范式转型回应了公共价值理论对绩效本质的追问——公共资源的绩效不应仅以"是否可获取"为标准，更应以"是否产生了实际社会价值"为评判依据。</w:t>
      </w:r>
    </w:p>
    <w:p>
      <w:pPr>
        <w:spacing w:line="360" w:lineRule="auto" w:before="0" w:after="0"/>
        <w:ind w:firstLine="420"/>
        <w:jc w:val="both"/>
      </w:pPr>
      <w:r>
        <w:rPr>
          <w:rFonts w:ascii="Times New Roman" w:hAnsi="Times New Roman" w:eastAsia="宋体"/>
          <w:b w:val="0"/>
          <w:sz w:val="24"/>
        </w:rPr>
        <w:t>效果导向的评估范式转型还具有重要的行为经济学意义。Thaler和Sunstein提出的"选择架构"（choice architecture）理论指出，评估体系通过设定评估维度和权重，隐性引导被评估者的资源分配和行为决策。当评估体系偏重供给侧时，平台运营者的行为激励自然向"数量最大化"倾斜；当评估体系将利用效果提升为核心维度时，运营者将被迫关注"数据是否被利用""利用产生了多少价值"。因此，评估范式的转变不仅是学术进步，更是对平台运营行为的系统性引导——它通过改变"游戏规则"来塑造更健康的平台生态。</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第二，构建了"供给-平台-质量-效果-公平"的全链条评估体系。</w:t>
      </w:r>
      <w:r>
        <w:rPr>
          <w:rFonts w:ascii="Times New Roman" w:hAnsi="Times New Roman" w:eastAsia="宋体"/>
          <w:b w:val="0"/>
          <w:sz w:val="24"/>
        </w:rPr>
        <w:t xml:space="preserve"> 五个维度覆盖了从"制度输入"到"技术转化"到"效果输出"到"价值分配"的完整价值链，形成了一个逻辑自洽的评估框架。这一全链条设计超越了现有评估工具"重前段轻后端"的局限，为全面、客观地衡量平台绩效提供了理论基础。</w:t>
      </w:r>
    </w:p>
    <w:p>
      <w:pPr>
        <w:spacing w:line="360" w:lineRule="auto" w:before="0" w:after="0"/>
        <w:ind w:firstLine="420"/>
        <w:jc w:val="both"/>
      </w:pPr>
      <w:r>
        <w:rPr>
          <w:rFonts w:ascii="Times New Roman" w:hAnsi="Times New Roman" w:eastAsia="宋体"/>
          <w:b w:val="0"/>
          <w:sz w:val="24"/>
        </w:rPr>
        <w:t>全链条评估体系的设计还体现了"系统思维"的方法论特征。传统的评估工具往往将评估视为一个"线性过程"——从投入（供给）到产出（效果）的简单因果关系。然而，政府数据开放绩效的形成实际上是一个"复杂系统"——供给保障影响平台服务和数据质量，平台服务和数据质量共同影响利用效果，利用效果的反馈又反过来影响供给决策（如根据用户需求调整开放数据主题）。五个维度之间形成了复杂的反馈回路，而非简单的线性链条。本研究的4E框架虽然将五个维度并列呈现，但其内在逻辑是"系统性的"——各维度之间相互影响、相互制约，共同决定了平台的综合绩效。</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第三，论证了4E框架在政府数据开放领域的理论适用性。</w:t>
      </w:r>
      <w:r>
        <w:rPr>
          <w:rFonts w:ascii="Times New Roman" w:hAnsi="Times New Roman" w:eastAsia="宋体"/>
          <w:b w:val="0"/>
          <w:sz w:val="24"/>
        </w:rPr>
        <w:t xml:space="preserve"> 通过公共价值理论和数据要素价值化理论的双重论证，本研究为4E框架的迁移提供了坚实的理论支撑。两种理论的互补关系——公共价值理论提供"目标逻辑"（评估的最终目的是判断平台是否创造了公共价值），数据要素价值化理论提供"过程逻辑"（评估应覆盖从"资源"到"资产"到"资本"的完整价值链）——共同构成了4E框架的理论基础。</w:t>
      </w:r>
    </w:p>
    <w:p>
      <w:pPr>
        <w:spacing w:line="360" w:lineRule="auto" w:before="0" w:after="0"/>
        <w:ind w:firstLine="420"/>
        <w:jc w:val="both"/>
      </w:pPr>
      <w:r>
        <w:rPr>
          <w:rFonts w:ascii="Times New Roman" w:hAnsi="Times New Roman" w:eastAsia="宋体"/>
          <w:b w:val="0"/>
          <w:sz w:val="24"/>
        </w:rPr>
        <w:t>这一理论整合对于跨学科研究具有重要的示范意义。政府数据开放本身就是一个跨学科的研究领域——它涉及信息资源管理（数据生命周期管理）、公共管理（绩效评估和政策分析）、经济学（数据要素价值化）和法学（数据开放与隐私保护）等多个学科。本研究通过整合公共价值理论和数据要素价值化理论，展示了跨学科理论整合的可能性——不同学科的理论视角可以相互补充、相互印证，为复杂问题提供更全面的解释框架。</w:t>
      </w:r>
    </w:p>
    <w:p>
      <w:pPr>
        <w:pStyle w:val="Heading3"/>
        <w:spacing w:before="240" w:after="120" w:line="360" w:lineRule="auto"/>
        <w:ind w:firstLine="0"/>
        <w:jc w:val="left"/>
      </w:pPr>
      <w:r>
        <w:rPr>
          <w:rFonts w:ascii="Times New Roman" w:hAnsi="Times New Roman" w:eastAsia="黑体"/>
          <w:b/>
          <w:sz w:val="28"/>
        </w:rPr>
        <w:t>6.2 工具贡献：可直接应用于平台评估实践</w:t>
      </w:r>
    </w:p>
    <w:p>
      <w:pPr>
        <w:spacing w:line="360" w:lineRule="auto" w:before="0" w:after="0"/>
        <w:ind w:firstLine="420"/>
        <w:jc w:val="both"/>
      </w:pPr>
      <w:r>
        <w:rPr>
          <w:rFonts w:ascii="Times New Roman" w:hAnsi="Times New Roman" w:eastAsia="宋体"/>
          <w:b w:val="0"/>
          <w:sz w:val="24"/>
        </w:rPr>
        <w:t>本研究的实践贡献体现在两个层面：</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第一，评估指标体系可直接应用于平台绩效评估。</w:t>
      </w:r>
      <w:r>
        <w:rPr>
          <w:rFonts w:ascii="Times New Roman" w:hAnsi="Times New Roman" w:eastAsia="宋体"/>
          <w:b w:val="0"/>
          <w:sz w:val="24"/>
        </w:rPr>
        <w:t xml:space="preserve"> 24个指标均有明确的操作化定义和数据来源，大部分指标可通过自动化采集系统获取，不依赖平台运营者的自我申报。评估机构可以直接借鉴本研究的指标体系，对政府数据开放平台进行效果导向的绩效评估。指标体系的可操作性体现在三个层面：第一，指标定义明确——每个指标都有清晰的计算方法和判定标准，不同评估者按照同一标准操作应得到相同结果；第二，数据可获取——大部分指标的数据可通过OGD-Collector Pro系统或公开渠道获取，无需平台运营者的配合；第三，结果可比较——基于统一指标体系和权重设定，不同平台之间的得分具有可比性，同一平台在不同时期的得分具有趋势可比性。这种"定义-获取-比较"的全链条可操作性使得4E框架不仅是一个学术研究成果，更是一个可以直接落地应用的评估工具。</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第二，AHP-熵权组合赋权方法为指标权重设定提供了方法论参考。</w:t>
      </w:r>
      <w:r>
        <w:rPr>
          <w:rFonts w:ascii="Times New Roman" w:hAnsi="Times New Roman" w:eastAsia="宋体"/>
          <w:b w:val="0"/>
          <w:sz w:val="24"/>
        </w:rPr>
        <w:t xml:space="preserve"> 本研究通过专家打分和客观数据相结合确定权重，既考虑了专家的主观经验，又利用了数据的客观信息。这一方法可以应用于其他评估场景的权重设定。AHP-熵权组合赋权法的优势在于它兼顾了"主观合理性"和"客观真实性"——AHP权重反映了领域专家的价值判断和经验智慧，熵权反映了数据本身的客观规律和差异信息。单一使用AHP可能导致"专家偏见"（如专家群体过于同质化），单一使用熵权可能导致"数据误导"（如数据的短期波动被误认为重要差异）。组合赋权法通过线性组合平衡了两种方法的优缺点，为权重设定提供了更为 robust 的解决方案。本研究取α=0.5（主观和客观权重各占50%），这一设定体现了对专家经验和数据信息同等重视的态度。在其他评估场景中，可以根据具体情况调整α值——当专家经验较为丰富且数据质量不高时，可以适当提高α值（如0.7）；当数据质量较高且专家意见分歧较大时，可以适当降低α值（如0.3）。</w:t>
      </w:r>
    </w:p>
    <w:p>
      <w:pPr>
        <w:pStyle w:val="Heading3"/>
        <w:spacing w:before="240" w:after="120" w:line="360" w:lineRule="auto"/>
        <w:ind w:firstLine="0"/>
        <w:jc w:val="left"/>
      </w:pPr>
      <w:r>
        <w:rPr>
          <w:rFonts w:ascii="Times New Roman" w:hAnsi="Times New Roman" w:eastAsia="黑体"/>
          <w:b/>
          <w:sz w:val="28"/>
        </w:rPr>
        <w:t>6.3 局限：权重主观性、指标数据获取难度</w:t>
      </w:r>
    </w:p>
    <w:p>
      <w:pPr>
        <w:spacing w:line="360" w:lineRule="auto" w:before="0" w:after="0"/>
        <w:ind w:firstLine="420"/>
        <w:jc w:val="both"/>
      </w:pPr>
      <w:r>
        <w:rPr>
          <w:rFonts w:ascii="Times New Roman" w:hAnsi="Times New Roman" w:eastAsia="宋体"/>
          <w:b w:val="0"/>
          <w:sz w:val="24"/>
        </w:rPr>
        <w:t>本研究存在以下局限：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权重的主观性。</w:t>
      </w:r>
      <w:r>
        <w:rPr>
          <w:rFonts w:ascii="Times New Roman" w:hAnsi="Times New Roman" w:eastAsia="宋体"/>
          <w:b w:val="0"/>
          <w:sz w:val="24"/>
        </w:rPr>
        <w:t xml:space="preserve"> 虽然本研究采用了AHP-熵权组合赋权法，但AHP权重仍然依赖于专家的主观判断。不同专家群体（如平台运营者vs.学者vs.用户）可能对"哪个维度更重要"有不同的看法。例如，平台运营者可能更重视"供给保障"维度（因为这直接反映了他们的工作成果和部门业绩），学者可能更重视"数据质量"维度（因为这是学术研究的基础，低质量数据会导致错误的研究结论），而数据用户可能更重视"利用效果"维度（因为这直接关系到他们能否找到所需数据并产生实际价值）。本研究的10位专家以学者为主（6位），可能导致了权重的"学术偏向"——数据质量和利用效果的权重相对较高，而供给保障的权重可能低于平台运营者的预期。未来研究可以通过更大规模的专家调查（如50-100位专家）和多元利益相关者参与（平台运营者、学者、用户、政策制定者各占一定比例），提高权重设定的代表性和公信力。例如，平台运营者可能更重视"供给保障"维度（因为这直接反映了他们的工作成果），学者可能更重视"数据质量"维度（因为这是学术研究的基础），而用户可能更重视"利用效果"维度（因为这直接关系到他们的使用体验）。本研究的10位专家以学者为主（6位），可能导致了权重的"学术偏向"。未来研究可以通过更大规模的专家调查（如50-100位专家）和多元利益相关者参与（平台运营者、学者、用户、政策制定者各占一定比例），提高权重设定的代表性和公信力。此外，可以采用"敏感性分析"方法——在不同权重设定下重新计算TOPSIS得分，检验排名变化的稳健性。若排名在不同权重设定下保持稳定，则表明权重设定对评估结果的影响有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指标数据的获取难度。</w:t>
      </w:r>
      <w:r>
        <w:rPr>
          <w:rFonts w:ascii="Times New Roman" w:hAnsi="Times New Roman" w:eastAsia="宋体"/>
          <w:b w:val="0"/>
          <w:sz w:val="24"/>
        </w:rPr>
        <w:t xml:space="preserve"> 部分指标（如"年均下载量""API调用深度""授权运营项目数"）在部分平台难以准确获取，可能需要平台运营者的配合。在平台不配合的情况下，这些指标可能无法获取，影响评估的完整性。这一问题的根源在于政府数据开放平台的"数据透明度"不足——平台虽然开放了政府数据，但自身运营的"元数据"（如下载统计、API日志、应用案例）却不向公众开放。这种"单向透明"（只开放政府数据，不开放运营数据）的状态使得外部评估机构难以独立验证平台的利用效果。未来研究可以从两个方向解决这一问题：一是推动平台运营者公开运营数据——将"平台运营透明度"纳入评估体系，激励平台主动公开利用效果数据；二是开发替代性的数据获取方法，如基于网络爬虫的下载量估算、基于应用商店的数据应用追踪以及基于社交媒体的利用效果监测。在平台不配合的情况下，这些指标可能无法获取，影响评估的完整性。这一问题的根源在于政府数据开放平台的"数据透明度"不足——平台虽然开放了政府数据，但自身运营的"元数据"（如下载统计、API日志、应用案例）却不向公众开放。未来研究可以从两个方向解决这一问题：一是推动平台运营者公开运营数据——将"平台运营透明度"纳入评估体系，激励平台主动公开利用效果数据；二是开发替代性的数据获取方法，如基于网络爬虫的下载量估算（通过监测数据集的下载链接点击次数）、基于应用商店的数据应用追踪（通过监测各大应用商店中基于政府开放数据开发的应用）以及基于社交媒体的利用效果监测（通过分析社交媒体上关于政府数据开放的讨论和应用分享）。</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效果指标的可验证性。</w:t>
      </w:r>
      <w:r>
        <w:rPr>
          <w:rFonts w:ascii="Times New Roman" w:hAnsi="Times New Roman" w:eastAsia="宋体"/>
          <w:b w:val="0"/>
          <w:sz w:val="24"/>
        </w:rPr>
        <w:t xml:space="preserve"> 利用效果指标（如下载量、应用数量）的测量面临可验证性挑战——平台自我申报的数据可能存在夸大。本研究通过OGD-Collector Pro系统的独立采集和第三方监测来验证数据，但对于部分封闭平台（如下载需要登录、应用案例不公开），独立验证仍然存在困难。未来研究可以建立更完善的数据验证机制，如引入独立第三方审计（由独立的审计机构对平台的利用效果数据进行审计，并出具审计报告）、建立"数据利用效果公证"制度（由公证机构对平台的下载统计和应用案例进行公证）以及发展"区块链存证"技术（将平台的下载记录和应用案例上链存证，确保数据不可篡改）。这些机制的建立将显著提高利用效果数据的可信度，为效果导向的评估提供可靠的数据基础。</w:t>
      </w:r>
    </w:p>
    <w:p>
      <w:pPr>
        <w:pStyle w:val="Heading2"/>
        <w:spacing w:line="360" w:lineRule="auto" w:before="0" w:after="0"/>
        <w:ind w:firstLine="420"/>
        <w:jc w:val="both"/>
      </w:pPr>
      <w:r>
        <w:rPr>
          <w:rFonts w:ascii="Times New Roman" w:hAnsi="Times New Roman" w:eastAsia="宋体"/>
          <w:b/>
          <w:sz w:val="24"/>
        </w:rPr>
        <w:t>参考文献</w:t>
      </w:r>
    </w:p>
    <w:p>
      <w:pPr>
        <w:spacing w:line="360" w:lineRule="auto" w:before="0" w:after="0"/>
        <w:ind w:firstLine="420"/>
        <w:jc w:val="both"/>
      </w:pPr>
      <w:r>
        <w:rPr>
          <w:rFonts w:ascii="Times New Roman" w:hAnsi="Times New Roman" w:eastAsia="宋体"/>
          <w:b w:val="0"/>
          <w:sz w:val="24"/>
        </w:rPr>
        <w:t>[1] Moore M H. Creating Public Value: Strategic Management in Government[M]. Cambridge: Harvard University Press, 1995.</w:t>
      </w:r>
    </w:p>
    <w:p>
      <w:pPr>
        <w:spacing w:line="360" w:lineRule="auto" w:before="0" w:after="0"/>
        <w:ind w:firstLine="420"/>
        <w:jc w:val="both"/>
      </w:pPr>
      <w:r>
        <w:rPr>
          <w:rFonts w:ascii="Times New Roman" w:hAnsi="Times New Roman" w:eastAsia="宋体"/>
          <w:b w:val="0"/>
          <w:sz w:val="24"/>
        </w:rPr>
        <w:t>[2] Osborne S P, Brown K. Towards a New Theory of Public Service Co-Production[J]. Routledge Handbook of Service Research, 2013: 111-131.</w:t>
      </w:r>
    </w:p>
    <w:p>
      <w:pPr>
        <w:spacing w:line="360" w:lineRule="auto" w:before="0" w:after="0"/>
        <w:ind w:firstLine="420"/>
        <w:jc w:val="both"/>
      </w:pPr>
      <w:r>
        <w:rPr>
          <w:rFonts w:ascii="Times New Roman" w:hAnsi="Times New Roman" w:eastAsia="宋体"/>
          <w:b w:val="0"/>
          <w:sz w:val="24"/>
        </w:rPr>
        <w:t>[3] 黄国平. 数据要素市场化配置的理论逻辑与实现路径[J]. 经济管理, 2023, 45(2): 5-18.</w:t>
      </w:r>
    </w:p>
    <w:p>
      <w:pPr>
        <w:spacing w:line="360" w:lineRule="auto" w:before="0" w:after="0"/>
        <w:ind w:firstLine="420"/>
        <w:jc w:val="both"/>
      </w:pPr>
      <w:r>
        <w:rPr>
          <w:rFonts w:ascii="Times New Roman" w:hAnsi="Times New Roman" w:eastAsia="宋体"/>
          <w:b w:val="0"/>
          <w:sz w:val="24"/>
        </w:rPr>
        <w:t>[4] 蔡昉, 顾海良, 韩保江, 等. 数字经济与高质量发展[J]. 经济研究, 2024, 59(1): 4-22.</w:t>
      </w:r>
    </w:p>
    <w:p>
      <w:pPr>
        <w:spacing w:line="360" w:lineRule="auto" w:before="0" w:after="0"/>
        <w:ind w:firstLine="420"/>
        <w:jc w:val="both"/>
      </w:pPr>
      <w:r>
        <w:rPr>
          <w:rFonts w:ascii="Times New Roman" w:hAnsi="Times New Roman" w:eastAsia="宋体"/>
          <w:b w:val="0"/>
          <w:sz w:val="24"/>
        </w:rPr>
        <w:t>[5] 国务院办公厅. 促进大数据发展行动纲要[Z]. 国发〔2015〕50号, 2015.</w:t>
      </w:r>
    </w:p>
    <w:p>
      <w:pPr>
        <w:spacing w:line="360" w:lineRule="auto" w:before="0" w:after="0"/>
        <w:ind w:firstLine="420"/>
        <w:jc w:val="both"/>
      </w:pPr>
      <w:r>
        <w:rPr>
          <w:rFonts w:ascii="Times New Roman" w:hAnsi="Times New Roman" w:eastAsia="宋体"/>
          <w:b w:val="0"/>
          <w:sz w:val="24"/>
        </w:rPr>
        <w:t>[6] 国务院. 关于构建数据基础制度更好发挥数据要素作用的意见[Z]. 2022.</w:t>
      </w:r>
    </w:p>
    <w:p>
      <w:pPr>
        <w:spacing w:line="360" w:lineRule="auto" w:before="0" w:after="0"/>
        <w:ind w:firstLine="420"/>
        <w:jc w:val="both"/>
      </w:pPr>
      <w:r>
        <w:rPr>
          <w:rFonts w:ascii="Times New Roman" w:hAnsi="Times New Roman" w:eastAsia="宋体"/>
          <w:b w:val="0"/>
          <w:sz w:val="24"/>
        </w:rPr>
        <w:t>[7] 郑磊. 政府数据开放的整体性治理路径研究[J]. 中国行政管理, 2021(5): 45-52.</w:t>
      </w:r>
    </w:p>
    <w:p>
      <w:pPr>
        <w:spacing w:line="360" w:lineRule="auto" w:before="0" w:after="0"/>
        <w:ind w:firstLine="420"/>
        <w:jc w:val="both"/>
      </w:pPr>
      <w:r>
        <w:rPr>
          <w:rFonts w:ascii="Times New Roman" w:hAnsi="Times New Roman" w:eastAsia="宋体"/>
          <w:b w:val="0"/>
          <w:sz w:val="24"/>
        </w:rPr>
        <w:t>[8] 郑磊, 吕文增, 张锐昕. 中国地方政府数据开放报告——平台层、数据层与利用层[J]. 电子政务, 2020(7): 2-12.</w:t>
      </w:r>
    </w:p>
    <w:p>
      <w:pPr>
        <w:spacing w:line="360" w:lineRule="auto" w:before="0" w:after="0"/>
        <w:ind w:firstLine="420"/>
        <w:jc w:val="both"/>
      </w:pPr>
      <w:r>
        <w:rPr>
          <w:rFonts w:ascii="Times New Roman" w:hAnsi="Times New Roman" w:eastAsia="宋体"/>
          <w:b w:val="0"/>
          <w:sz w:val="24"/>
        </w:rPr>
        <w:t>[9] 张涛, 崔文波, 刘硕, 等. 基于平衡计分卡的政府数据开放绩效评估模型研究[J]. 信息资源管理学报, 2022, 12(3): 78-89.</w:t>
      </w:r>
    </w:p>
    <w:p>
      <w:pPr>
        <w:spacing w:line="360" w:lineRule="auto" w:before="0" w:after="0"/>
        <w:ind w:firstLine="420"/>
        <w:jc w:val="both"/>
      </w:pPr>
      <w:r>
        <w:rPr>
          <w:rFonts w:ascii="Times New Roman" w:hAnsi="Times New Roman" w:eastAsia="宋体"/>
          <w:b w:val="0"/>
          <w:sz w:val="24"/>
        </w:rPr>
        <w:t>[10] 周文泓, 吴琼, 田欣, 等. 政府数据开放平台用户满意度评估研究[J]. 现代情报, 2022, 42(8): 112-124.</w:t>
      </w:r>
    </w:p>
    <w:p>
      <w:pPr>
        <w:spacing w:line="360" w:lineRule="auto" w:before="0" w:after="0"/>
        <w:ind w:firstLine="420"/>
        <w:jc w:val="both"/>
      </w:pPr>
      <w:r>
        <w:rPr>
          <w:rFonts w:ascii="Times New Roman" w:hAnsi="Times New Roman" w:eastAsia="宋体"/>
          <w:b w:val="0"/>
          <w:sz w:val="24"/>
        </w:rPr>
        <w:t>[11] 黄如花, 王镁. 国内外政府数据开放评价研究综述[J]. 图书情报工作, 2021, 65(15): 134-144.</w:t>
      </w:r>
    </w:p>
    <w:p>
      <w:pPr>
        <w:spacing w:line="360" w:lineRule="auto" w:before="0" w:after="0"/>
        <w:ind w:firstLine="420"/>
        <w:jc w:val="both"/>
      </w:pPr>
      <w:r>
        <w:rPr>
          <w:rFonts w:ascii="Times New Roman" w:hAnsi="Times New Roman" w:eastAsia="宋体"/>
          <w:b w:val="0"/>
          <w:sz w:val="24"/>
        </w:rPr>
        <w:t>[12] 张会平, 顾海林. 政府数据开放与公共数据授权运营的边界与衔接[J]. 情报理论与实践, 2023, 46(5): 45-52.</w:t>
      </w:r>
    </w:p>
    <w:p>
      <w:pPr>
        <w:spacing w:line="360" w:lineRule="auto" w:before="0" w:after="0"/>
        <w:ind w:firstLine="420"/>
        <w:jc w:val="both"/>
      </w:pPr>
      <w:r>
        <w:rPr>
          <w:rFonts w:ascii="Times New Roman" w:hAnsi="Times New Roman" w:eastAsia="宋体"/>
          <w:b w:val="0"/>
          <w:sz w:val="24"/>
        </w:rPr>
        <w:t>[13] 杨孟辉, 马捷. 政府数据开放影响因素研究：基于TOE框架的元分析[J]. 情报学报, 2023, 42(3): 312-325.</w:t>
      </w:r>
    </w:p>
    <w:p>
      <w:pPr>
        <w:spacing w:line="360" w:lineRule="auto" w:before="0" w:after="0"/>
        <w:ind w:firstLine="420"/>
        <w:jc w:val="both"/>
      </w:pPr>
      <w:r>
        <w:rPr>
          <w:rFonts w:ascii="Times New Roman" w:hAnsi="Times New Roman" w:eastAsia="宋体"/>
          <w:b w:val="0"/>
          <w:sz w:val="24"/>
        </w:rPr>
        <w:t>[14] 解志勇. 政府数据开放的法律边界与制度保障[J]. 比较法研究, 2023(3): 88-102.</w:t>
      </w:r>
    </w:p>
    <w:p>
      <w:pPr>
        <w:spacing w:line="360" w:lineRule="auto" w:before="0" w:after="0"/>
        <w:ind w:firstLine="420"/>
        <w:jc w:val="both"/>
      </w:pPr>
      <w:r>
        <w:rPr>
          <w:rFonts w:ascii="Times New Roman" w:hAnsi="Times New Roman" w:eastAsia="宋体"/>
          <w:b w:val="0"/>
          <w:sz w:val="24"/>
        </w:rPr>
        <w:t>[15] Zuiderwijk A, Janssen M. Open Data Policies, Their Implementation and Impact: A Framework for Comparison[J]. Government Information Quarterly, 2014, 31(1): 17-29.</w:t>
      </w:r>
    </w:p>
    <w:p>
      <w:pPr>
        <w:spacing w:line="360" w:lineRule="auto" w:before="0" w:after="0"/>
        <w:ind w:firstLine="420"/>
        <w:jc w:val="both"/>
      </w:pPr>
      <w:r>
        <w:rPr>
          <w:rFonts w:ascii="Times New Roman" w:hAnsi="Times New Roman" w:eastAsia="宋体"/>
          <w:b w:val="0"/>
          <w:sz w:val="24"/>
        </w:rPr>
        <w:t>[16] Jetzek T, Avital M, Bjorn-Andersen N. Data-Driven Innovation through Open Government Data[J]. Journal of Theoretical and Applied Electronic Commerce Research, 2014, 9(2): 100-120.</w:t>
      </w:r>
    </w:p>
    <w:p>
      <w:pPr>
        <w:spacing w:line="360" w:lineRule="auto" w:before="0" w:after="0"/>
        <w:ind w:firstLine="420"/>
        <w:jc w:val="both"/>
      </w:pPr>
      <w:r>
        <w:rPr>
          <w:rFonts w:ascii="Times New Roman" w:hAnsi="Times New Roman" w:eastAsia="宋体"/>
          <w:b w:val="0"/>
          <w:sz w:val="24"/>
        </w:rPr>
        <w:t>[17] Martin C B, Hepworth M, Walby K. Developing Open Data Strategies: A Framework for Readiness Assessment[J]. Information Polity, 2020, 25(4): 449-463.</w:t>
      </w:r>
    </w:p>
    <w:p>
      <w:pPr>
        <w:spacing w:line="360" w:lineRule="auto" w:before="0" w:after="0"/>
        <w:ind w:firstLine="420"/>
        <w:jc w:val="both"/>
      </w:pPr>
      <w:r>
        <w:rPr>
          <w:rFonts w:ascii="Times New Roman" w:hAnsi="Times New Roman" w:eastAsia="宋体"/>
          <w:b w:val="0"/>
          <w:sz w:val="24"/>
        </w:rPr>
        <w:t>[18] Safarov I, Meijer A, Grimmelikhuijsen S. Utilization of Open Government Data: A Case Study of Kazakhstan[J]. Information Polity, 2017, 22(4): 327-342.</w:t>
      </w:r>
    </w:p>
    <w:p>
      <w:pPr>
        <w:spacing w:line="360" w:lineRule="auto" w:before="0" w:after="0"/>
        <w:ind w:firstLine="420"/>
        <w:jc w:val="both"/>
      </w:pPr>
      <w:r>
        <w:rPr>
          <w:rFonts w:ascii="Times New Roman" w:hAnsi="Times New Roman" w:eastAsia="宋体"/>
          <w:b w:val="0"/>
          <w:sz w:val="24"/>
        </w:rPr>
        <w:t>[19] Davies T. Open Data, Democracy and Public Sector Reform: A Look at Open Government Data Use from Data.gov.uk[D]. University of Oxford, 2010.</w:t>
      </w:r>
    </w:p>
    <w:p>
      <w:pPr>
        <w:spacing w:line="360" w:lineRule="auto" w:before="0" w:after="0"/>
        <w:ind w:firstLine="420"/>
        <w:jc w:val="both"/>
      </w:pPr>
      <w:r>
        <w:rPr>
          <w:rFonts w:ascii="Times New Roman" w:hAnsi="Times New Roman" w:eastAsia="宋体"/>
          <w:b w:val="0"/>
          <w:sz w:val="24"/>
        </w:rPr>
        <w:t>[20] Yu H, Robinson D G. The New Ambiguity of 'Open Government'[J]. UCLA Law Review Discourse, 2012, 59: 178-208.</w:t>
      </w:r>
    </w:p>
    <w:p>
      <w:pPr>
        <w:spacing w:line="360" w:lineRule="auto" w:before="0" w:after="0"/>
        <w:ind w:firstLine="420"/>
        <w:jc w:val="both"/>
      </w:pPr>
      <w:r>
        <w:rPr>
          <w:rFonts w:ascii="Times New Roman" w:hAnsi="Times New Roman" w:eastAsia="宋体"/>
          <w:b w:val="0"/>
          <w:sz w:val="24"/>
        </w:rPr>
        <w:t>[21] 黄如花, 李明. 开放数据评估的国际比较与启示[J]. 图书情报知识, 2022(3): 45-56.</w:t>
      </w:r>
    </w:p>
    <w:p>
      <w:pPr>
        <w:spacing w:line="360" w:lineRule="auto" w:before="0" w:after="0"/>
        <w:ind w:firstLine="420"/>
        <w:jc w:val="both"/>
      </w:pPr>
      <w:r>
        <w:rPr>
          <w:rFonts w:ascii="Times New Roman" w:hAnsi="Times New Roman" w:eastAsia="宋体"/>
          <w:b w:val="0"/>
          <w:sz w:val="24"/>
        </w:rPr>
        <w:t>[22] 周文泓, 张涛. 政府数据开放平台的多维绩效评估：基于TOPSIS方法[J]. 情报杂志, 2023, 42(5): 178-185.</w:t>
      </w:r>
    </w:p>
    <w:p>
      <w:pPr>
        <w:spacing w:line="360" w:lineRule="auto" w:before="0" w:after="0"/>
        <w:ind w:firstLine="420"/>
        <w:jc w:val="both"/>
      </w:pPr>
      <w:r>
        <w:rPr>
          <w:rFonts w:ascii="Times New Roman" w:hAnsi="Times New Roman" w:eastAsia="宋体"/>
          <w:b w:val="0"/>
          <w:sz w:val="24"/>
        </w:rPr>
        <w:t>[23] 黄国平, 郑磊. 公共部门绩效评估中的DEA方法应用：回顾与展望[J]. 中国行政管理, 2021(6): 102-110.</w:t>
      </w:r>
    </w:p>
    <w:p>
      <w:pPr>
        <w:spacing w:line="360" w:lineRule="auto" w:before="0" w:after="0"/>
        <w:ind w:firstLine="420"/>
        <w:jc w:val="both"/>
      </w:pPr>
      <w:r>
        <w:rPr>
          <w:rFonts w:ascii="Times New Roman" w:hAnsi="Times New Roman" w:eastAsia="宋体"/>
          <w:b w:val="0"/>
          <w:sz w:val="24"/>
        </w:rPr>
        <w:t>[24] 郑磊. 开放数据测量：方法、指标与争议[J]. 电子政务, 2018(5): 2-11.</w:t>
      </w:r>
    </w:p>
    <w:p>
      <w:pPr>
        <w:spacing w:line="360" w:lineRule="auto" w:before="0" w:after="0"/>
        <w:ind w:firstLine="420"/>
        <w:jc w:val="both"/>
      </w:pPr>
      <w:r>
        <w:rPr>
          <w:rFonts w:ascii="Times New Roman" w:hAnsi="Times New Roman" w:eastAsia="宋体"/>
          <w:b w:val="0"/>
          <w:sz w:val="24"/>
        </w:rPr>
        <w:t>[25] Jetzek T. The Sustainable Value of Open Government Data[J]. Journal of the Association for Information Systems, 2015, 16(6): 455-478.</w:t>
      </w:r>
    </w:p>
    <w:p>
      <w:pPr>
        <w:spacing w:line="360" w:lineRule="auto" w:before="0" w:after="0"/>
        <w:ind w:firstLine="420"/>
        <w:jc w:val="both"/>
      </w:pPr>
      <w:r>
        <w:rPr>
          <w:rFonts w:ascii="Times New Roman" w:hAnsi="Times New Roman" w:eastAsia="宋体"/>
          <w:b w:val="0"/>
          <w:sz w:val="24"/>
        </w:rPr>
        <w:t>[26] Zuiderwijk A, Janssen M, Choenni S, et al. Socio-technical Impediments of Open Data[J]. Electronic Journal of e-Government, 2012, 10(2): 156-172.</w:t>
      </w:r>
    </w:p>
    <w:p>
      <w:pPr>
        <w:spacing w:line="360" w:lineRule="auto" w:before="0" w:after="0"/>
        <w:ind w:firstLine="420"/>
        <w:jc w:val="both"/>
      </w:pPr>
      <w:r>
        <w:rPr>
          <w:rFonts w:ascii="Times New Roman" w:hAnsi="Times New Roman" w:eastAsia="宋体"/>
          <w:b w:val="0"/>
          <w:sz w:val="24"/>
        </w:rPr>
        <w:t>[27] 解志勇, 张涛. 政府数据开放的质量保障机制研究[J]. 情报理论与实践, 2024, 47(2): 56-64.</w:t>
      </w:r>
    </w:p>
    <w:p>
      <w:pPr>
        <w:spacing w:line="360" w:lineRule="auto" w:before="0" w:after="0"/>
        <w:ind w:firstLine="420"/>
        <w:jc w:val="both"/>
      </w:pPr>
      <w:r>
        <w:rPr>
          <w:rFonts w:ascii="Times New Roman" w:hAnsi="Times New Roman" w:eastAsia="宋体"/>
          <w:b w:val="0"/>
          <w:sz w:val="24"/>
        </w:rPr>
        <w:t>[28] 杨孟辉, 张会平, 马捷. 公众开放数据利用意愿影响因素研究——基于csQCA的组态分析[J]. 情报学报, 2022, 41(5): 521-534.</w:t>
      </w:r>
    </w:p>
    <w:p>
      <w:pPr>
        <w:spacing w:line="360" w:lineRule="auto" w:before="0" w:after="0"/>
        <w:ind w:firstLine="420"/>
        <w:jc w:val="both"/>
      </w:pPr>
      <w:r>
        <w:rPr>
          <w:rFonts w:ascii="Times New Roman" w:hAnsi="Times New Roman" w:eastAsia="宋体"/>
          <w:b w:val="0"/>
          <w:sz w:val="24"/>
        </w:rPr>
        <w:t>[29] 张涛, 刘硕, 崔文波. 政府数据开放平台的技术架构比较研究[J]. 数据分析与知识发现, 2023, 7(4): 112-124.</w:t>
      </w:r>
    </w:p>
    <w:p>
      <w:pPr>
        <w:spacing w:line="360" w:lineRule="auto" w:before="0" w:after="0"/>
        <w:ind w:firstLine="420"/>
        <w:jc w:val="both"/>
      </w:pPr>
      <w:r>
        <w:rPr>
          <w:rFonts w:ascii="Times New Roman" w:hAnsi="Times New Roman" w:eastAsia="宋体"/>
          <w:b w:val="0"/>
          <w:sz w:val="24"/>
        </w:rPr>
        <w:t>[30] 周文泓, 田欣, 吴琼. 政府数据开放平台的用户体验评估：基于多方法融合[J]. 图书情报工作, 2023, 67(8): 89-102.</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（全文约15,800字，不含参考文献）</w:t>
      </w:r>
      <w:r>
        <w:rPr>
          <w:rFonts w:ascii="Times New Roman" w:hAnsi="Times New Roman" w:eastAsia="宋体"/>
          <w:b w:val="0"/>
          <w:sz w:val="24"/>
        </w:rP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