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before="0" w:after="0"/>
        <w:ind w:firstLine="420"/>
        <w:jc w:val="both"/>
      </w:pPr>
      <w:r>
        <w:rPr>
          <w:rFonts w:ascii="Times New Roman" w:hAnsi="Times New Roman" w:eastAsia="宋体"/>
          <w:b/>
          <w:sz w:val="24"/>
        </w:rPr>
        <w:t>中国省级政府数据开放平台绩效评估——基于TOPSIS-DEA的实证研究</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摘要：</w:t>
      </w:r>
      <w:r>
        <w:rPr>
          <w:rFonts w:ascii="Times New Roman" w:hAnsi="Times New Roman" w:eastAsia="宋体"/>
          <w:b w:val="0"/>
          <w:sz w:val="24"/>
        </w:rPr>
        <w:t xml:space="preserve"> 政府数据开放平台的绩效评估是数字政府建设的重要议题，但现有评估体系存在"重供给轻效果"的系统性偏差。本研究基于4E评估框架（供给保障-平台服务-数据质量-利用效果-公平性），构建了涵盖5个一级维度、24个具体指标的评估体系，运用AHP-熵权组合赋权确定指标权重，采用TOPSIS方法对全国23个省级政府数据开放平台进行综合绩效评估，并运用DEA-BCC方法评估各平台的资源配置效率。研究发现：（1）23个平台的绩效差异显著，呈现"头部集中"特征，广东（1.000）、山东（0.540）、浙江（0.415）位列前三；（2）无平台达到DEA有效（TE=1），23个平台均存在效率改进空间，"高绩效低效率"悖论显著；（3）绩效-效率矩阵将平台分为"明星型"（无）"优化型"（4个）"潜力型"（2个）和"帮扶型"（17个）四类；（4）区域差异显著，东部平台的绩效均值（0.32）和效率均值（0.25）均高于中部和西部，但东部内部差异同样显著。研究为政府数据开放平台的效果导向评估和效率优化提供了方法论工具和政策参考。</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关键词：</w:t>
      </w:r>
      <w:r>
        <w:rPr>
          <w:rFonts w:ascii="Times New Roman" w:hAnsi="Times New Roman" w:eastAsia="宋体"/>
          <w:b w:val="0"/>
          <w:sz w:val="24"/>
        </w:rPr>
        <w:t xml:space="preserve"> 政府数据开放；绩效评估；TOPSIS；DEA；效率分析；4E框架</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Abstract:</w:t>
      </w:r>
      <w:r>
        <w:rPr>
          <w:rFonts w:ascii="Times New Roman" w:hAnsi="Times New Roman" w:eastAsia="宋体"/>
          <w:b w:val="0"/>
          <w:sz w:val="24"/>
        </w:rPr>
        <w:t xml:space="preserve"> Performance evaluation of government open data platforms is a critical issue in digital government construction, yet existing evaluation systems suffer from a systemic bias of emphasizing supply over effect. Based on the 4E evaluation framework (Supply Assurance-Platform Service-Data Quality-Utilization Effect-Equity), this study constructs an evaluation system comprising 5 first-level dimensions and 24 specific indicators. Using AHP-entropy weight combination for indicator weighting, TOPSIS for comprehensive performance evaluation, and DEA-BCC for efficiency assessment, this study evaluates 23 provincial government open data platforms across China. The findings reveal that: (1) significant performance differences exist among the 23 platforms, exhibiting a "head concentration" pattern, with Guangdong (1.000), Shandong (0.540), and Zhejiang (0.415) ranking top three; (2) no platform achieves DEA efficiency (TE=1), and all 23 platforms have room for efficiency improvement, with a prominent "high performance-low efficiency" paradox; (3) the performance-efficiency matrix classifies platforms into four types: "Star" (none), "Optimization" (4), "Potential" (2), and "Support-needed" (17); (4) regional differences are significant, with eastern platforms outperforming central and western platforms in both performance mean (0.32) and efficiency mean (0.25), yet internal differences within the eastern region are also notable. This study provides methodological tools and policy references for effect-oriented evaluation and efficiency optimization of government open data platforms.</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Keywords:</w:t>
      </w:r>
      <w:r>
        <w:rPr>
          <w:rFonts w:ascii="Times New Roman" w:hAnsi="Times New Roman" w:eastAsia="宋体"/>
          <w:b w:val="0"/>
          <w:sz w:val="24"/>
        </w:rPr>
        <w:t xml:space="preserve"> Open Government Data; Performance Evaluation; TOPSIS; DEA; Efficiency Analysis; 4E Framework</w:t>
      </w:r>
    </w:p>
    <w:p>
      <w:pPr>
        <w:pStyle w:val="Heading2"/>
        <w:spacing w:before="360" w:after="240" w:line="360" w:lineRule="auto"/>
        <w:ind w:firstLine="0"/>
        <w:jc w:val="left"/>
      </w:pPr>
      <w:r>
        <w:rPr>
          <w:rFonts w:ascii="Times New Roman" w:hAnsi="Times New Roman" w:eastAsia="黑体"/>
          <w:b/>
          <w:sz w:val="32"/>
        </w:rPr>
        <w:t>1 引言</w:t>
      </w:r>
    </w:p>
    <w:p>
      <w:pPr>
        <w:pStyle w:val="Heading3"/>
        <w:spacing w:before="240" w:after="120" w:line="360" w:lineRule="auto"/>
        <w:ind w:firstLine="0"/>
        <w:jc w:val="left"/>
      </w:pPr>
      <w:r>
        <w:rPr>
          <w:rFonts w:ascii="Times New Roman" w:hAnsi="Times New Roman" w:eastAsia="黑体"/>
          <w:b/>
          <w:sz w:val="28"/>
        </w:rPr>
        <w:t>1.1 政府数据开放的重要性与评估困境</w:t>
      </w:r>
    </w:p>
    <w:p>
      <w:pPr>
        <w:spacing w:line="360" w:lineRule="auto" w:before="0" w:after="0"/>
        <w:ind w:firstLine="420"/>
        <w:jc w:val="both"/>
      </w:pPr>
      <w:r>
        <w:rPr>
          <w:rFonts w:ascii="Times New Roman" w:hAnsi="Times New Roman" w:eastAsia="宋体"/>
          <w:b w:val="0"/>
          <w:sz w:val="24"/>
        </w:rPr>
        <w:t>政府数据开放（Open Government Data, OGD）是数字政府建设的重要组成部分，也是数据要素价值释放的关键路径。自2009年美国Data.gov上线以来，全球已有超过100个国家和地区建立了政府数据开放平台。我国自2015年《促进大数据发展行动纲要》发布以来，政府数据开放平台建设进入快车道。截至2025年3月，全国31个省级行政区中已有28个建立了独立的政府数据开放门户，平台数量呈现快速扩张态势。</w:t>
      </w:r>
    </w:p>
    <w:p>
      <w:pPr>
        <w:spacing w:line="360" w:lineRule="auto" w:before="0" w:after="0"/>
        <w:ind w:firstLine="420"/>
        <w:jc w:val="both"/>
      </w:pPr>
      <w:r>
        <w:rPr>
          <w:rFonts w:ascii="Times New Roman" w:hAnsi="Times New Roman" w:eastAsia="宋体"/>
          <w:b w:val="0"/>
          <w:sz w:val="24"/>
        </w:rPr>
        <w:t>然而，与平台建设"数量繁荣"形成鲜明对比的是评估体系的"效果贫瘠"。现有评估工具（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w:t>
      </w:r>
    </w:p>
    <w:p>
      <w:pPr>
        <w:spacing w:line="360" w:lineRule="auto" w:before="0" w:after="0"/>
        <w:ind w:firstLine="420"/>
        <w:jc w:val="both"/>
      </w:pPr>
      <w:r>
        <w:rPr>
          <w:rFonts w:ascii="Times New Roman" w:hAnsi="Times New Roman" w:eastAsia="宋体"/>
          <w:b w:val="0"/>
          <w:sz w:val="24"/>
        </w:rPr>
        <w:t>更为关键的是，现有评估工具缺乏效率维度——它们衡量了"开放了多少"和"利用了多少"，但未衡量"投入了多少资源来获得这些产出"。一个投入1亿元获得500个应用的平台与一个投入1000万元获得200个应用的平台，哪个更"高效"？现有评估工具无法回答这一问题。效率维度的缺失使得评估结果无法为资源配置优化提供指导——高绩效平台是否高效？低绩效平台是否因为投入不足？这些问题的答案对于政策制定者和平台运营者至关重要。</w:t>
      </w:r>
    </w:p>
    <w:p>
      <w:pPr>
        <w:spacing w:line="360" w:lineRule="auto" w:before="0" w:after="0"/>
        <w:ind w:firstLine="420"/>
        <w:jc w:val="both"/>
      </w:pPr>
      <w:r>
        <w:rPr>
          <w:rFonts w:ascii="Times New Roman" w:hAnsi="Times New Roman" w:eastAsia="宋体"/>
          <w:b w:val="0"/>
          <w:sz w:val="24"/>
        </w:rPr>
        <w:t>本研究提出的"高绩效低效率"悖论进一步凸显了效率评估的紧迫性。本研究的DEA分析结果显示，23个平台中没有一个是DEA有效的（TE=1），效率最高的山东平台TE仅为0.498。这意味着，即便是绩效表现最好的平台，其资源配置效率也仅为最优水平的不到一半。这一发现颠覆了"高绩效必然高效率"的直觉假设，揭示了我国政府数据开放平台建设中普遍存在的"粗放式"发展问题——重投入、轻管理，重数量、轻效率。</w:t>
      </w:r>
    </w:p>
    <w:p>
      <w:pPr>
        <w:pStyle w:val="Heading3"/>
        <w:spacing w:before="240" w:after="120" w:line="360" w:lineRule="auto"/>
        <w:ind w:firstLine="0"/>
        <w:jc w:val="left"/>
      </w:pPr>
      <w:r>
        <w:rPr>
          <w:rFonts w:ascii="Times New Roman" w:hAnsi="Times New Roman" w:eastAsia="黑体"/>
          <w:b/>
          <w:sz w:val="28"/>
        </w:rPr>
        <w:t>1.2 现有评估的"重供给轻效果"偏差</w:t>
      </w:r>
    </w:p>
    <w:p>
      <w:pPr>
        <w:spacing w:line="360" w:lineRule="auto" w:before="0" w:after="0"/>
        <w:ind w:firstLine="420"/>
        <w:jc w:val="both"/>
      </w:pPr>
      <w:r>
        <w:rPr>
          <w:rFonts w:ascii="Times New Roman" w:hAnsi="Times New Roman" w:eastAsia="宋体"/>
          <w:b w:val="0"/>
          <w:sz w:val="24"/>
        </w:rPr>
        <w:t>"重供给轻效果"偏差的形成有深刻的理论和实践根源。</w:t>
      </w:r>
    </w:p>
    <w:p>
      <w:pPr>
        <w:spacing w:line="360" w:lineRule="auto" w:before="0" w:after="0"/>
        <w:ind w:firstLine="420"/>
        <w:jc w:val="both"/>
      </w:pPr>
      <w:r>
        <w:rPr>
          <w:rFonts w:ascii="Times New Roman" w:hAnsi="Times New Roman" w:eastAsia="宋体"/>
          <w:b w:val="0"/>
          <w:sz w:val="24"/>
        </w:rPr>
        <w:t>从理论层面看，供给导向的评估源于"可及性"（accessibility）范式的支配。早期政府数据开放研究将"开放"界定为"数据的可获取性"——只要数据被发布在平台上，就意味着"开放"的实现。这一范式将评估焦点锁定在供给侧指标（数据集数量、格式标准化程度、元数据完整率等），忽视了数据发布后的利用环节。然而，随着开放数据运动的深入，学界逐渐认识到"可及性"只是数据开放的必要条件，而非充分条件——数据的可及性不等于数据的可用性，数据的可用性不等于数据的价值实现。</w:t>
      </w:r>
    </w:p>
    <w:p>
      <w:pPr>
        <w:spacing w:line="360" w:lineRule="auto" w:before="0" w:after="0"/>
        <w:ind w:firstLine="420"/>
        <w:jc w:val="both"/>
      </w:pPr>
      <w:r>
        <w:rPr>
          <w:rFonts w:ascii="Times New Roman" w:hAnsi="Times New Roman" w:eastAsia="宋体"/>
          <w:b w:val="0"/>
          <w:sz w:val="24"/>
        </w:rPr>
        <w:t>从实践层面看，供给导向的评估源于数据获取的便利性。供给侧指标（如数据集数量、更新频率）可以通过自动化采集系统轻松获取，而效果侧指标（如数据利用的经济价值、社会影响力）则需要复杂的追踪和评估。在评估资源有限的情况下，评估机构自然倾向于选择"容易测量"的指标，导致效果侧被系统性忽视。</w:t>
      </w:r>
    </w:p>
    <w:p>
      <w:pPr>
        <w:spacing w:line="360" w:lineRule="auto" w:before="0" w:after="0"/>
        <w:ind w:firstLine="420"/>
        <w:jc w:val="both"/>
      </w:pPr>
      <w:r>
        <w:rPr>
          <w:rFonts w:ascii="Times New Roman" w:hAnsi="Times New Roman" w:eastAsia="宋体"/>
          <w:b w:val="0"/>
          <w:sz w:val="24"/>
        </w:rPr>
        <w:t>从行为层面看，供给导向的评估塑造了平台运营者的"数量最大化"行为。当评估体系将"数据集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数据口径幻觉"现象。</w:t>
      </w:r>
    </w:p>
    <w:p>
      <w:pPr>
        <w:pStyle w:val="Heading3"/>
        <w:spacing w:before="240" w:after="120" w:line="360" w:lineRule="auto"/>
        <w:ind w:firstLine="0"/>
        <w:jc w:val="left"/>
      </w:pPr>
      <w:r>
        <w:rPr>
          <w:rFonts w:ascii="Times New Roman" w:hAnsi="Times New Roman" w:eastAsia="黑体"/>
          <w:b/>
          <w:sz w:val="28"/>
        </w:rPr>
        <w:t>1.3 研究目的：效果导向的绩效评估</w:t>
      </w:r>
    </w:p>
    <w:p>
      <w:pPr>
        <w:spacing w:line="360" w:lineRule="auto" w:before="0" w:after="0"/>
        <w:ind w:firstLine="420"/>
        <w:jc w:val="both"/>
      </w:pPr>
      <w:r>
        <w:rPr>
          <w:rFonts w:ascii="Times New Roman" w:hAnsi="Times New Roman" w:eastAsia="宋体"/>
          <w:b w:val="0"/>
          <w:sz w:val="24"/>
        </w:rPr>
        <w:t>基于上述分析，本研究旨在构建一个"效果导向"的政府数据开放平台绩效评估框架，弥补现有评估体系的三个结构性局限：</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第一，效果导向。</w:t>
      </w:r>
      <w:r>
        <w:rPr>
          <w:rFonts w:ascii="Times New Roman" w:hAnsi="Times New Roman" w:eastAsia="宋体"/>
          <w:b w:val="0"/>
          <w:sz w:val="24"/>
        </w:rPr>
        <w:t xml:space="preserve"> 将"利用效果"从辅助维度提升为核心维度，构建从"供给"到"效果"的全链条评估体系。评估不仅关注"数据是否开放"，更关注"数据是否被利用""利用产生了多少价值"。</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第二，效率维度。</w:t>
      </w:r>
      <w:r>
        <w:rPr>
          <w:rFonts w:ascii="Times New Roman" w:hAnsi="Times New Roman" w:eastAsia="宋体"/>
          <w:b w:val="0"/>
          <w:sz w:val="24"/>
        </w:rPr>
        <w:t xml:space="preserve"> 引入DEA效率评价方法，评估各平台的资源配置效率，识别"高绩效低效率"和"低绩效高效率"的平台类型，为资源配置优化提供依据。</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第三，方法创新。</w:t>
      </w:r>
      <w:r>
        <w:rPr>
          <w:rFonts w:ascii="Times New Roman" w:hAnsi="Times New Roman" w:eastAsia="宋体"/>
          <w:b w:val="0"/>
          <w:sz w:val="24"/>
        </w:rPr>
        <w:t xml:space="preserve"> 采用TOPSIS-DEA组合方法，既评估绩效水平（"是什么"），又评估效率高低（"是否高效"），形成"绩效-效率"二维分析框架。</w:t>
      </w:r>
    </w:p>
    <w:p>
      <w:pPr>
        <w:pStyle w:val="Heading2"/>
        <w:spacing w:before="360" w:after="240" w:line="360" w:lineRule="auto"/>
        <w:ind w:firstLine="0"/>
        <w:jc w:val="left"/>
      </w:pPr>
      <w:r>
        <w:rPr>
          <w:rFonts w:ascii="Times New Roman" w:hAnsi="Times New Roman" w:eastAsia="黑体"/>
          <w:b/>
          <w:sz w:val="32"/>
        </w:rPr>
        <w:t>2 评估框架与指标体系</w:t>
      </w:r>
    </w:p>
    <w:p>
      <w:pPr>
        <w:pStyle w:val="Heading3"/>
        <w:spacing w:before="240" w:after="120" w:line="360" w:lineRule="auto"/>
        <w:ind w:firstLine="0"/>
        <w:jc w:val="left"/>
      </w:pPr>
      <w:r>
        <w:rPr>
          <w:rFonts w:ascii="Times New Roman" w:hAnsi="Times New Roman" w:eastAsia="黑体"/>
          <w:b/>
          <w:sz w:val="28"/>
        </w:rPr>
        <w:t>2.1 4E评估框架的引入</w:t>
      </w:r>
    </w:p>
    <w:p>
      <w:pPr>
        <w:spacing w:line="360" w:lineRule="auto" w:before="0" w:after="0"/>
        <w:ind w:firstLine="420"/>
        <w:jc w:val="both"/>
      </w:pPr>
      <w:r>
        <w:rPr>
          <w:rFonts w:ascii="Times New Roman" w:hAnsi="Times New Roman" w:eastAsia="宋体"/>
          <w:b w:val="0"/>
          <w:sz w:val="24"/>
        </w:rPr>
        <w:t>本研究基于4E绩效评估框架构建政府数据开放平台的评估体系。4E框架源自公共部门绩效评估理论，包含经济性（Economy）、效率性（Efficiency）、效果性（Effectiveness）和公平性（Equity）四个维度。本研究将4E框架迁移到政府数据开放领域，并结合数据要素价值化理论进行了概念重构，增加了"质量性"（Quality）作为独立维度，形成了"供给保障-平台服务-数据质量-利用效果-公平性"的五维度评估框架。</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供给保障（Supply Assurance）对应经济性（Economy）。</w:t>
      </w:r>
      <w:r>
        <w:rPr>
          <w:rFonts w:ascii="Times New Roman" w:hAnsi="Times New Roman" w:eastAsia="宋体"/>
          <w:b w:val="0"/>
          <w:sz w:val="24"/>
        </w:rPr>
        <w:t xml:space="preserve"> 经济性关注"是否以最低成本获取资源"，在政府数据开放领域转化为"数据供给是否充分"。供给保障维度衡量平台开放的数据资源规模，包括数据集数量、主题覆盖度和更新频率等指标。</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平台服务（Platform Service）对应效率性（Efficiency）。</w:t>
      </w:r>
      <w:r>
        <w:rPr>
          <w:rFonts w:ascii="Times New Roman" w:hAnsi="Times New Roman" w:eastAsia="宋体"/>
          <w:b w:val="0"/>
          <w:sz w:val="24"/>
        </w:rPr>
        <w:t xml:space="preserve"> 效率性关注"投入产出比是否最优"，在政府数据开放领域转化为"数据从供给到需求的转化效率"。平台服务维度衡量平台的技术功能和用户体验，包括功能完整性、API开放度和响应速度等指标。</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数据质量（Data Quality）对应质量性（Quality）。</w:t>
      </w:r>
      <w:r>
        <w:rPr>
          <w:rFonts w:ascii="Times New Roman" w:hAnsi="Times New Roman" w:eastAsia="宋体"/>
          <w:b w:val="0"/>
          <w:sz w:val="24"/>
        </w:rPr>
        <w:t xml:space="preserve"> 质量性是本研究增加的独立维度，关注"数据是否可用"。数据质量维度衡量开放数据本身的质量水平，包括完整性、准确性和机读性等指标。</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利用效果（Utilization Effect）对应效果性（Effectiveness）。</w:t>
      </w:r>
      <w:r>
        <w:rPr>
          <w:rFonts w:ascii="Times New Roman" w:hAnsi="Times New Roman" w:eastAsia="宋体"/>
          <w:b w:val="0"/>
          <w:sz w:val="24"/>
        </w:rPr>
        <w:t xml:space="preserve"> 效果性关注"是否达成预定目标"，在政府数据开放领域转化为"数据利用产生了多少价值"。利用效果维度衡量数据利用的外部成果和社会影响，包括下载量、应用成果数和授权运营成效等指标。</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公平性（Equity）对应公平性（Equity）。</w:t>
      </w:r>
      <w:r>
        <w:rPr>
          <w:rFonts w:ascii="Times New Roman" w:hAnsi="Times New Roman" w:eastAsia="宋体"/>
          <w:b w:val="0"/>
          <w:sz w:val="24"/>
        </w:rPr>
        <w:t xml:space="preserve"> 公平性关注"红利分配是否公平"，在政府数据开放领域转化为"数据开放是否惠及不同区域和群体"。公平性维度衡量数据开放的包容性和可及性，包括区域公平和群体公平等指标。</w:t>
      </w:r>
    </w:p>
    <w:p>
      <w:pPr>
        <w:spacing w:line="360" w:lineRule="auto" w:before="0" w:after="0"/>
        <w:ind w:firstLine="420"/>
        <w:jc w:val="both"/>
      </w:pPr>
      <w:r>
        <w:rPr>
          <w:rFonts w:ascii="Times New Roman" w:hAnsi="Times New Roman" w:eastAsia="宋体"/>
          <w:b w:val="0"/>
          <w:sz w:val="24"/>
        </w:rPr>
        <w:t>五个维度与数据要素价值化理论的价值链形成了逻辑映射：供给保障对应"数据资源化"，平台服务和数据质量对应"数据资产化"，利用效果对应"数据资本化"，公平性对应"价值分配"。这一映射为4E框架在政府数据开放领域的应用提供了理论论证。</w:t>
      </w:r>
    </w:p>
    <w:p>
      <w:pPr>
        <w:pStyle w:val="Heading3"/>
        <w:spacing w:before="240" w:after="120" w:line="360" w:lineRule="auto"/>
        <w:ind w:firstLine="0"/>
        <w:jc w:val="left"/>
      </w:pPr>
      <w:r>
        <w:rPr>
          <w:rFonts w:ascii="Times New Roman" w:hAnsi="Times New Roman" w:eastAsia="黑体"/>
          <w:b/>
          <w:sz w:val="28"/>
        </w:rPr>
        <w:t>2.2 指标体系构建</w:t>
      </w:r>
    </w:p>
    <w:p>
      <w:pPr>
        <w:spacing w:line="360" w:lineRule="auto" w:before="0" w:after="0"/>
        <w:ind w:firstLine="420"/>
        <w:jc w:val="both"/>
      </w:pPr>
      <w:r>
        <w:rPr>
          <w:rFonts w:ascii="Times New Roman" w:hAnsi="Times New Roman" w:eastAsia="宋体"/>
          <w:b w:val="0"/>
          <w:sz w:val="24"/>
        </w:rPr>
        <w:t>基于4E评估框架，本研究构建了涵盖5个一级维度、9个二级维度和24个具体指标的评估体系（表2-1）。</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表2-1 4E评估指标体系</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before="0" w:after="0"/>
              <w:jc w:val="center"/>
            </w:pPr>
            <w:r>
              <w:rPr>
                <w:rFonts w:ascii="Times New Roman" w:hAnsi="Times New Roman" w:eastAsia="宋体"/>
                <w:b w:val="0"/>
                <w:sz w:val="21"/>
              </w:rPr>
              <w:t>一级维度</w:t>
            </w:r>
          </w:p>
        </w:tc>
        <w:tc>
          <w:tcPr>
            <w:tcW w:type="dxa" w:w="1440"/>
          </w:tcPr>
          <w:p>
            <w:pPr>
              <w:spacing w:line="240" w:lineRule="auto" w:before="0" w:after="0"/>
              <w:jc w:val="center"/>
            </w:pPr>
            <w:r>
              <w:rPr>
                <w:rFonts w:ascii="Times New Roman" w:hAnsi="Times New Roman" w:eastAsia="宋体"/>
                <w:b w:val="0"/>
                <w:sz w:val="21"/>
              </w:rPr>
              <w:t>权重</w:t>
            </w:r>
          </w:p>
        </w:tc>
        <w:tc>
          <w:tcPr>
            <w:tcW w:type="dxa" w:w="1440"/>
          </w:tcPr>
          <w:p>
            <w:pPr>
              <w:spacing w:line="240" w:lineRule="auto" w:before="0" w:after="0"/>
              <w:jc w:val="center"/>
            </w:pPr>
            <w:r>
              <w:rPr>
                <w:rFonts w:ascii="Times New Roman" w:hAnsi="Times New Roman" w:eastAsia="宋体"/>
                <w:b w:val="0"/>
                <w:sz w:val="21"/>
              </w:rPr>
              <w:t>二级指标</w:t>
            </w:r>
          </w:p>
        </w:tc>
        <w:tc>
          <w:tcPr>
            <w:tcW w:type="dxa" w:w="1440"/>
          </w:tcPr>
          <w:p>
            <w:pPr>
              <w:spacing w:line="240" w:lineRule="auto" w:before="0" w:after="0"/>
              <w:jc w:val="center"/>
            </w:pPr>
            <w:r>
              <w:rPr>
                <w:rFonts w:ascii="Times New Roman" w:hAnsi="Times New Roman" w:eastAsia="宋体"/>
                <w:b w:val="0"/>
                <w:sz w:val="21"/>
              </w:rPr>
              <w:t>权重</w:t>
            </w:r>
          </w:p>
        </w:tc>
        <w:tc>
          <w:tcPr>
            <w:tcW w:type="dxa" w:w="1440"/>
          </w:tcPr>
          <w:p>
            <w:pPr>
              <w:spacing w:line="240" w:lineRule="auto" w:before="0" w:after="0"/>
              <w:jc w:val="center"/>
            </w:pPr>
            <w:r>
              <w:rPr>
                <w:rFonts w:ascii="Times New Roman" w:hAnsi="Times New Roman" w:eastAsia="宋体"/>
                <w:b w:val="0"/>
                <w:sz w:val="21"/>
              </w:rPr>
              <w:t>三级指标</w:t>
            </w:r>
          </w:p>
        </w:tc>
        <w:tc>
          <w:tcPr>
            <w:tcW w:type="dxa" w:w="1440"/>
          </w:tcPr>
          <w:p>
            <w:pPr>
              <w:spacing w:line="240" w:lineRule="auto" w:before="0" w:after="0"/>
              <w:jc w:val="center"/>
            </w:pPr>
            <w:r>
              <w:rPr>
                <w:rFonts w:ascii="Times New Roman" w:hAnsi="Times New Roman" w:eastAsia="宋体"/>
                <w:b w:val="0"/>
                <w:sz w:val="21"/>
              </w:rPr>
              <w:t>指标说明</w:t>
            </w:r>
          </w:p>
        </w:tc>
      </w:tr>
      <w:tr>
        <w:tc>
          <w:tcPr>
            <w:tcW w:type="dxa" w:w="1440"/>
          </w:tcPr>
          <w:p>
            <w:pPr>
              <w:spacing w:line="240" w:lineRule="auto" w:before="0" w:after="0"/>
              <w:jc w:val="center"/>
            </w:pPr>
            <w:r>
              <w:rPr>
                <w:rFonts w:ascii="Times New Roman" w:hAnsi="Times New Roman" w:eastAsia="宋体"/>
                <w:b w:val="0"/>
                <w:sz w:val="21"/>
              </w:rPr>
              <w:t>供给保障</w:t>
            </w:r>
          </w:p>
        </w:tc>
        <w:tc>
          <w:tcPr>
            <w:tcW w:type="dxa" w:w="1440"/>
          </w:tcPr>
          <w:p>
            <w:pPr>
              <w:spacing w:line="240" w:lineRule="auto" w:before="0" w:after="0"/>
              <w:jc w:val="center"/>
            </w:pPr>
            <w:r>
              <w:rPr>
                <w:rFonts w:ascii="Times New Roman" w:hAnsi="Times New Roman" w:eastAsia="宋体"/>
                <w:b w:val="0"/>
                <w:sz w:val="21"/>
              </w:rPr>
              <w:t>0.20</w:t>
            </w:r>
          </w:p>
        </w:tc>
        <w:tc>
          <w:tcPr>
            <w:tcW w:type="dxa" w:w="1440"/>
          </w:tcPr>
          <w:p>
            <w:pPr>
              <w:spacing w:line="240" w:lineRule="auto" w:before="0" w:after="0"/>
              <w:jc w:val="center"/>
            </w:pPr>
            <w:r>
              <w:rPr>
                <w:rFonts w:ascii="Times New Roman" w:hAnsi="Times New Roman" w:eastAsia="宋体"/>
                <w:b w:val="0"/>
                <w:sz w:val="21"/>
              </w:rPr>
              <w:t>数据规模</w:t>
            </w:r>
          </w:p>
        </w:tc>
        <w:tc>
          <w:tcPr>
            <w:tcW w:type="dxa" w:w="1440"/>
          </w:tcPr>
          <w:p>
            <w:pPr>
              <w:spacing w:line="240" w:lineRule="auto" w:before="0" w:after="0"/>
              <w:jc w:val="center"/>
            </w:pPr>
            <w:r>
              <w:rPr>
                <w:rFonts w:ascii="Times New Roman" w:hAnsi="Times New Roman" w:eastAsia="宋体"/>
                <w:b w:val="0"/>
                <w:sz w:val="21"/>
              </w:rPr>
              <w:t>0.12</w:t>
            </w:r>
          </w:p>
        </w:tc>
        <w:tc>
          <w:tcPr>
            <w:tcW w:type="dxa" w:w="1440"/>
          </w:tcPr>
          <w:p>
            <w:pPr>
              <w:spacing w:line="240" w:lineRule="auto" w:before="0" w:after="0"/>
              <w:jc w:val="center"/>
            </w:pPr>
            <w:r>
              <w:rPr>
                <w:rFonts w:ascii="Times New Roman" w:hAnsi="Times New Roman" w:eastAsia="宋体"/>
                <w:b w:val="0"/>
                <w:sz w:val="21"/>
              </w:rPr>
              <w:t>数据集数量</w:t>
            </w:r>
          </w:p>
        </w:tc>
        <w:tc>
          <w:tcPr>
            <w:tcW w:type="dxa" w:w="1440"/>
          </w:tcPr>
          <w:p>
            <w:pPr>
              <w:spacing w:line="240" w:lineRule="auto" w:before="0" w:after="0"/>
              <w:jc w:val="center"/>
            </w:pPr>
            <w:r>
              <w:rPr>
                <w:rFonts w:ascii="Times New Roman" w:hAnsi="Times New Roman" w:eastAsia="宋体"/>
                <w:b w:val="0"/>
                <w:sz w:val="21"/>
              </w:rPr>
              <w:t>平台开放的数据集/目录数</w:t>
            </w:r>
          </w:p>
        </w:tc>
      </w:tr>
      <w:tr>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t>主题覆盖度</w:t>
            </w:r>
          </w:p>
        </w:tc>
        <w:tc>
          <w:tcPr>
            <w:tcW w:type="dxa" w:w="1440"/>
          </w:tcPr>
          <w:p>
            <w:pPr>
              <w:spacing w:line="240" w:lineRule="auto" w:before="0" w:after="0"/>
              <w:jc w:val="center"/>
            </w:pPr>
            <w:r>
              <w:rPr>
                <w:rFonts w:ascii="Times New Roman" w:hAnsi="Times New Roman" w:eastAsia="宋体"/>
                <w:b w:val="0"/>
                <w:sz w:val="21"/>
              </w:rPr>
              <w:t>覆盖的主题领域数量</w:t>
            </w:r>
          </w:p>
        </w:tc>
      </w:tr>
      <w:tr>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t>更新频率</w:t>
            </w:r>
          </w:p>
        </w:tc>
        <w:tc>
          <w:tcPr>
            <w:tcW w:type="dxa" w:w="1440"/>
          </w:tcPr>
          <w:p>
            <w:pPr>
              <w:spacing w:line="240" w:lineRule="auto" w:before="0" w:after="0"/>
              <w:jc w:val="center"/>
            </w:pPr>
            <w:r>
              <w:rPr>
                <w:rFonts w:ascii="Times New Roman" w:hAnsi="Times New Roman" w:eastAsia="宋体"/>
                <w:b w:val="0"/>
                <w:sz w:val="21"/>
              </w:rPr>
              <w:t>0.08</w:t>
            </w:r>
          </w:p>
        </w:tc>
        <w:tc>
          <w:tcPr>
            <w:tcW w:type="dxa" w:w="1440"/>
          </w:tcPr>
          <w:p>
            <w:pPr>
              <w:spacing w:line="240" w:lineRule="auto" w:before="0" w:after="0"/>
              <w:jc w:val="center"/>
            </w:pPr>
            <w:r>
              <w:rPr>
                <w:rFonts w:ascii="Times New Roman" w:hAnsi="Times New Roman" w:eastAsia="宋体"/>
                <w:b w:val="0"/>
                <w:sz w:val="21"/>
              </w:rPr>
              <w:t>更新及时率</w:t>
            </w:r>
          </w:p>
        </w:tc>
        <w:tc>
          <w:tcPr>
            <w:tcW w:type="dxa" w:w="1440"/>
          </w:tcPr>
          <w:p>
            <w:pPr>
              <w:spacing w:line="240" w:lineRule="auto" w:before="0" w:after="0"/>
              <w:jc w:val="center"/>
            </w:pPr>
            <w:r>
              <w:rPr>
                <w:rFonts w:ascii="Times New Roman" w:hAnsi="Times New Roman" w:eastAsia="宋体"/>
                <w:b w:val="0"/>
                <w:sz w:val="21"/>
              </w:rPr>
              <w:t>近一年内更新的数据集占比</w:t>
            </w:r>
          </w:p>
        </w:tc>
      </w:tr>
      <w:tr>
        <w:tc>
          <w:tcPr>
            <w:tcW w:type="dxa" w:w="1440"/>
          </w:tcPr>
          <w:p>
            <w:pPr>
              <w:spacing w:line="240" w:lineRule="auto" w:before="0" w:after="0"/>
              <w:jc w:val="center"/>
            </w:pPr>
            <w:r>
              <w:rPr>
                <w:rFonts w:ascii="Times New Roman" w:hAnsi="Times New Roman" w:eastAsia="宋体"/>
                <w:b w:val="0"/>
                <w:sz w:val="21"/>
              </w:rPr>
              <w:t>平台服务</w:t>
            </w:r>
          </w:p>
        </w:tc>
        <w:tc>
          <w:tcPr>
            <w:tcW w:type="dxa" w:w="1440"/>
          </w:tcPr>
          <w:p>
            <w:pPr>
              <w:spacing w:line="240" w:lineRule="auto" w:before="0" w:after="0"/>
              <w:jc w:val="center"/>
            </w:pPr>
            <w:r>
              <w:rPr>
                <w:rFonts w:ascii="Times New Roman" w:hAnsi="Times New Roman" w:eastAsia="宋体"/>
                <w:b w:val="0"/>
                <w:sz w:val="21"/>
              </w:rPr>
              <w:t>0.20</w:t>
            </w:r>
          </w:p>
        </w:tc>
        <w:tc>
          <w:tcPr>
            <w:tcW w:type="dxa" w:w="1440"/>
          </w:tcPr>
          <w:p>
            <w:pPr>
              <w:spacing w:line="240" w:lineRule="auto" w:before="0" w:after="0"/>
              <w:jc w:val="center"/>
            </w:pPr>
            <w:r>
              <w:rPr>
                <w:rFonts w:ascii="Times New Roman" w:hAnsi="Times New Roman" w:eastAsia="宋体"/>
                <w:b w:val="0"/>
                <w:sz w:val="21"/>
              </w:rPr>
              <w:t>功能完整性</w:t>
            </w:r>
          </w:p>
        </w:tc>
        <w:tc>
          <w:tcPr>
            <w:tcW w:type="dxa" w:w="1440"/>
          </w:tcPr>
          <w:p>
            <w:pPr>
              <w:spacing w:line="240" w:lineRule="auto" w:before="0" w:after="0"/>
              <w:jc w:val="center"/>
            </w:pPr>
            <w:r>
              <w:rPr>
                <w:rFonts w:ascii="Times New Roman" w:hAnsi="Times New Roman" w:eastAsia="宋体"/>
                <w:b w:val="0"/>
                <w:sz w:val="21"/>
              </w:rPr>
              <w:t>0.12</w:t>
            </w:r>
          </w:p>
        </w:tc>
        <w:tc>
          <w:tcPr>
            <w:tcW w:type="dxa" w:w="1440"/>
          </w:tcPr>
          <w:p>
            <w:pPr>
              <w:spacing w:line="240" w:lineRule="auto" w:before="0" w:after="0"/>
              <w:jc w:val="center"/>
            </w:pPr>
            <w:r>
              <w:rPr>
                <w:rFonts w:ascii="Times New Roman" w:hAnsi="Times New Roman" w:eastAsia="宋体"/>
                <w:b w:val="0"/>
                <w:sz w:val="21"/>
              </w:rPr>
              <w:t>检索功能</w:t>
            </w:r>
          </w:p>
        </w:tc>
        <w:tc>
          <w:tcPr>
            <w:tcW w:type="dxa" w:w="1440"/>
          </w:tcPr>
          <w:p>
            <w:pPr>
              <w:spacing w:line="240" w:lineRule="auto" w:before="0" w:after="0"/>
              <w:jc w:val="center"/>
            </w:pPr>
            <w:r>
              <w:rPr>
                <w:rFonts w:ascii="Times New Roman" w:hAnsi="Times New Roman" w:eastAsia="宋体"/>
                <w:b w:val="0"/>
                <w:sz w:val="21"/>
              </w:rPr>
              <w:t>多维度数据检索能力</w:t>
            </w:r>
          </w:p>
        </w:tc>
      </w:tr>
      <w:tr>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t>预览功能</w:t>
            </w:r>
          </w:p>
        </w:tc>
        <w:tc>
          <w:tcPr>
            <w:tcW w:type="dxa" w:w="1440"/>
          </w:tcPr>
          <w:p>
            <w:pPr>
              <w:spacing w:line="240" w:lineRule="auto" w:before="0" w:after="0"/>
              <w:jc w:val="center"/>
            </w:pPr>
            <w:r>
              <w:rPr>
                <w:rFonts w:ascii="Times New Roman" w:hAnsi="Times New Roman" w:eastAsia="宋体"/>
                <w:b w:val="0"/>
                <w:sz w:val="21"/>
              </w:rPr>
              <w:t>数据在线预览能力</w:t>
            </w:r>
          </w:p>
        </w:tc>
      </w:tr>
      <w:tr>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t>下载功能</w:t>
            </w:r>
          </w:p>
        </w:tc>
        <w:tc>
          <w:tcPr>
            <w:tcW w:type="dxa" w:w="1440"/>
          </w:tcPr>
          <w:p>
            <w:pPr>
              <w:spacing w:line="240" w:lineRule="auto" w:before="0" w:after="0"/>
              <w:jc w:val="center"/>
            </w:pPr>
            <w:r>
              <w:rPr>
                <w:rFonts w:ascii="Times New Roman" w:hAnsi="Times New Roman" w:eastAsia="宋体"/>
                <w:b w:val="0"/>
                <w:sz w:val="21"/>
              </w:rPr>
              <w:t>数据下载便利性</w:t>
            </w:r>
          </w:p>
        </w:tc>
      </w:tr>
      <w:tr>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t>API开放度</w:t>
            </w:r>
          </w:p>
        </w:tc>
        <w:tc>
          <w:tcPr>
            <w:tcW w:type="dxa" w:w="1440"/>
          </w:tcPr>
          <w:p>
            <w:pPr>
              <w:spacing w:line="240" w:lineRule="auto" w:before="0" w:after="0"/>
              <w:jc w:val="center"/>
            </w:pPr>
            <w:r>
              <w:rPr>
                <w:rFonts w:ascii="Times New Roman" w:hAnsi="Times New Roman" w:eastAsia="宋体"/>
                <w:b w:val="0"/>
                <w:sz w:val="21"/>
              </w:rPr>
              <w:t>0.08</w:t>
            </w:r>
          </w:p>
        </w:tc>
        <w:tc>
          <w:tcPr>
            <w:tcW w:type="dxa" w:w="1440"/>
          </w:tcPr>
          <w:p>
            <w:pPr>
              <w:spacing w:line="240" w:lineRule="auto" w:before="0" w:after="0"/>
              <w:jc w:val="center"/>
            </w:pPr>
            <w:r>
              <w:rPr>
                <w:rFonts w:ascii="Times New Roman" w:hAnsi="Times New Roman" w:eastAsia="宋体"/>
                <w:b w:val="0"/>
                <w:sz w:val="21"/>
              </w:rPr>
              <w:t>API接口数</w:t>
            </w:r>
          </w:p>
        </w:tc>
        <w:tc>
          <w:tcPr>
            <w:tcW w:type="dxa" w:w="1440"/>
          </w:tcPr>
          <w:p>
            <w:pPr>
              <w:spacing w:line="240" w:lineRule="auto" w:before="0" w:after="0"/>
              <w:jc w:val="center"/>
            </w:pPr>
            <w:r>
              <w:rPr>
                <w:rFonts w:ascii="Times New Roman" w:hAnsi="Times New Roman" w:eastAsia="宋体"/>
                <w:b w:val="0"/>
                <w:sz w:val="21"/>
              </w:rPr>
              <w:t>开放API接口数量</w:t>
            </w:r>
          </w:p>
        </w:tc>
      </w:tr>
      <w:tr>
        <w:tc>
          <w:tcPr>
            <w:tcW w:type="dxa" w:w="1440"/>
          </w:tcPr>
          <w:p>
            <w:pPr>
              <w:spacing w:line="240" w:lineRule="auto" w:before="0" w:after="0"/>
              <w:jc w:val="center"/>
            </w:pPr>
            <w:r>
              <w:rPr>
                <w:rFonts w:ascii="Times New Roman" w:hAnsi="Times New Roman" w:eastAsia="宋体"/>
                <w:b w:val="0"/>
                <w:sz w:val="21"/>
              </w:rPr>
              <w:t>数据质量</w:t>
            </w:r>
          </w:p>
        </w:tc>
        <w:tc>
          <w:tcPr>
            <w:tcW w:type="dxa" w:w="1440"/>
          </w:tcPr>
          <w:p>
            <w:pPr>
              <w:spacing w:line="240" w:lineRule="auto" w:before="0" w:after="0"/>
              <w:jc w:val="center"/>
            </w:pPr>
            <w:r>
              <w:rPr>
                <w:rFonts w:ascii="Times New Roman" w:hAnsi="Times New Roman" w:eastAsia="宋体"/>
                <w:b w:val="0"/>
                <w:sz w:val="21"/>
              </w:rPr>
              <w:t>0.20</w:t>
            </w:r>
          </w:p>
        </w:tc>
        <w:tc>
          <w:tcPr>
            <w:tcW w:type="dxa" w:w="1440"/>
          </w:tcPr>
          <w:p>
            <w:pPr>
              <w:spacing w:line="240" w:lineRule="auto" w:before="0" w:after="0"/>
              <w:jc w:val="center"/>
            </w:pPr>
            <w:r>
              <w:rPr>
                <w:rFonts w:ascii="Times New Roman" w:hAnsi="Times New Roman" w:eastAsia="宋体"/>
                <w:b w:val="0"/>
                <w:sz w:val="21"/>
              </w:rPr>
              <w:t>完整性</w:t>
            </w:r>
          </w:p>
        </w:tc>
        <w:tc>
          <w:tcPr>
            <w:tcW w:type="dxa" w:w="1440"/>
          </w:tcPr>
          <w:p>
            <w:pPr>
              <w:spacing w:line="240" w:lineRule="auto" w:before="0" w:after="0"/>
              <w:jc w:val="center"/>
            </w:pPr>
            <w:r>
              <w:rPr>
                <w:rFonts w:ascii="Times New Roman" w:hAnsi="Times New Roman" w:eastAsia="宋体"/>
                <w:b w:val="0"/>
                <w:sz w:val="21"/>
              </w:rPr>
              <w:t>0.08</w:t>
            </w:r>
          </w:p>
        </w:tc>
        <w:tc>
          <w:tcPr>
            <w:tcW w:type="dxa" w:w="1440"/>
          </w:tcPr>
          <w:p>
            <w:pPr>
              <w:spacing w:line="240" w:lineRule="auto" w:before="0" w:after="0"/>
              <w:jc w:val="center"/>
            </w:pPr>
            <w:r>
              <w:rPr>
                <w:rFonts w:ascii="Times New Roman" w:hAnsi="Times New Roman" w:eastAsia="宋体"/>
                <w:b w:val="0"/>
                <w:sz w:val="21"/>
              </w:rPr>
              <w:t>元数据完整率</w:t>
            </w:r>
          </w:p>
        </w:tc>
        <w:tc>
          <w:tcPr>
            <w:tcW w:type="dxa" w:w="1440"/>
          </w:tcPr>
          <w:p>
            <w:pPr>
              <w:spacing w:line="240" w:lineRule="auto" w:before="0" w:after="0"/>
              <w:jc w:val="center"/>
            </w:pPr>
            <w:r>
              <w:rPr>
                <w:rFonts w:ascii="Times New Roman" w:hAnsi="Times New Roman" w:eastAsia="宋体"/>
                <w:b w:val="0"/>
                <w:sz w:val="21"/>
              </w:rPr>
              <w:t>元数据字段完整程度</w:t>
            </w:r>
          </w:p>
        </w:tc>
      </w:tr>
      <w:tr>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t>准确性</w:t>
            </w:r>
          </w:p>
        </w:tc>
        <w:tc>
          <w:tcPr>
            <w:tcW w:type="dxa" w:w="1440"/>
          </w:tcPr>
          <w:p>
            <w:pPr>
              <w:spacing w:line="240" w:lineRule="auto" w:before="0" w:after="0"/>
              <w:jc w:val="center"/>
            </w:pPr>
            <w:r>
              <w:rPr>
                <w:rFonts w:ascii="Times New Roman" w:hAnsi="Times New Roman" w:eastAsia="宋体"/>
                <w:b w:val="0"/>
                <w:sz w:val="21"/>
              </w:rPr>
              <w:t>0.06</w:t>
            </w:r>
          </w:p>
        </w:tc>
        <w:tc>
          <w:tcPr>
            <w:tcW w:type="dxa" w:w="1440"/>
          </w:tcPr>
          <w:p>
            <w:pPr>
              <w:spacing w:line="240" w:lineRule="auto" w:before="0" w:after="0"/>
              <w:jc w:val="center"/>
            </w:pPr>
            <w:r>
              <w:rPr>
                <w:rFonts w:ascii="Times New Roman" w:hAnsi="Times New Roman" w:eastAsia="宋体"/>
                <w:b w:val="0"/>
                <w:sz w:val="21"/>
              </w:rPr>
              <w:t>数据准确率</w:t>
            </w:r>
          </w:p>
        </w:tc>
        <w:tc>
          <w:tcPr>
            <w:tcW w:type="dxa" w:w="1440"/>
          </w:tcPr>
          <w:p>
            <w:pPr>
              <w:spacing w:line="240" w:lineRule="auto" w:before="0" w:after="0"/>
              <w:jc w:val="center"/>
            </w:pPr>
            <w:r>
              <w:rPr>
                <w:rFonts w:ascii="Times New Roman" w:hAnsi="Times New Roman" w:eastAsia="宋体"/>
                <w:b w:val="0"/>
                <w:sz w:val="21"/>
              </w:rPr>
              <w:t>抽样数据的准确率</w:t>
            </w:r>
          </w:p>
        </w:tc>
      </w:tr>
      <w:tr>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t>机读性</w:t>
            </w:r>
          </w:p>
        </w:tc>
        <w:tc>
          <w:tcPr>
            <w:tcW w:type="dxa" w:w="1440"/>
          </w:tcPr>
          <w:p>
            <w:pPr>
              <w:spacing w:line="240" w:lineRule="auto" w:before="0" w:after="0"/>
              <w:jc w:val="center"/>
            </w:pPr>
            <w:r>
              <w:rPr>
                <w:rFonts w:ascii="Times New Roman" w:hAnsi="Times New Roman" w:eastAsia="宋体"/>
                <w:b w:val="0"/>
                <w:sz w:val="21"/>
              </w:rPr>
              <w:t>0.06</w:t>
            </w:r>
          </w:p>
        </w:tc>
        <w:tc>
          <w:tcPr>
            <w:tcW w:type="dxa" w:w="1440"/>
          </w:tcPr>
          <w:p>
            <w:pPr>
              <w:spacing w:line="240" w:lineRule="auto" w:before="0" w:after="0"/>
              <w:jc w:val="center"/>
            </w:pPr>
            <w:r>
              <w:rPr>
                <w:rFonts w:ascii="Times New Roman" w:hAnsi="Times New Roman" w:eastAsia="宋体"/>
                <w:b w:val="0"/>
                <w:sz w:val="21"/>
              </w:rPr>
              <w:t>结构化格式占比</w:t>
            </w:r>
          </w:p>
        </w:tc>
        <w:tc>
          <w:tcPr>
            <w:tcW w:type="dxa" w:w="1440"/>
          </w:tcPr>
          <w:p>
            <w:pPr>
              <w:spacing w:line="240" w:lineRule="auto" w:before="0" w:after="0"/>
              <w:jc w:val="center"/>
            </w:pPr>
            <w:r>
              <w:rPr>
                <w:rFonts w:ascii="Times New Roman" w:hAnsi="Times New Roman" w:eastAsia="宋体"/>
                <w:b w:val="0"/>
                <w:sz w:val="21"/>
              </w:rPr>
              <w:t>CSV/JSON/XML等格式占比</w:t>
            </w:r>
          </w:p>
        </w:tc>
      </w:tr>
      <w:tr>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利用效果</w:t>
            </w: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0.30</w:t>
            </w: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下载利用</w:t>
            </w: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0.12</w:t>
            </w: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年均下载量</w:t>
            </w: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数据集年均下载次数</w:t>
            </w:r>
            <w:r>
              <w:rPr>
                <w:rFonts w:ascii="Times New Roman" w:hAnsi="Times New Roman" w:eastAsia="宋体"/>
                <w:b w:val="0"/>
                <w:sz w:val="21"/>
              </w:rPr>
            </w:r>
          </w:p>
        </w:tc>
      </w:tr>
      <w:tr>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应用成果</w:t>
            </w: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0.10</w:t>
            </w: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应用数量</w:t>
            </w: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数据应用/案例数量</w:t>
            </w:r>
            <w:r>
              <w:rPr>
                <w:rFonts w:ascii="Times New Roman" w:hAnsi="Times New Roman" w:eastAsia="宋体"/>
                <w:b w:val="0"/>
                <w:sz w:val="21"/>
              </w:rPr>
            </w:r>
          </w:p>
        </w:tc>
      </w:tr>
      <w:tr>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授权运营</w:t>
            </w: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0.08</w:t>
            </w: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授权运营项目数</w:t>
            </w: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授权运营项目数量</w:t>
            </w:r>
            <w:r>
              <w:rPr>
                <w:rFonts w:ascii="Times New Roman" w:hAnsi="Times New Roman" w:eastAsia="宋体"/>
                <w:b w:val="0"/>
                <w:sz w:val="21"/>
              </w:rPr>
            </w:r>
          </w:p>
        </w:tc>
      </w:tr>
      <w:tr>
        <w:tc>
          <w:tcPr>
            <w:tcW w:type="dxa" w:w="1440"/>
          </w:tcPr>
          <w:p>
            <w:pPr>
              <w:spacing w:line="240" w:lineRule="auto" w:before="0" w:after="0"/>
              <w:jc w:val="center"/>
            </w:pPr>
            <w:r>
              <w:rPr>
                <w:rFonts w:ascii="Times New Roman" w:hAnsi="Times New Roman" w:eastAsia="宋体"/>
                <w:b w:val="0"/>
                <w:sz w:val="21"/>
              </w:rPr>
              <w:t>公平性</w:t>
            </w:r>
          </w:p>
        </w:tc>
        <w:tc>
          <w:tcPr>
            <w:tcW w:type="dxa" w:w="1440"/>
          </w:tcPr>
          <w:p>
            <w:pPr>
              <w:spacing w:line="240" w:lineRule="auto" w:before="0" w:after="0"/>
              <w:jc w:val="center"/>
            </w:pPr>
            <w:r>
              <w:rPr>
                <w:rFonts w:ascii="Times New Roman" w:hAnsi="Times New Roman" w:eastAsia="宋体"/>
                <w:b w:val="0"/>
                <w:sz w:val="21"/>
              </w:rPr>
              <w:t>0.10</w:t>
            </w:r>
          </w:p>
        </w:tc>
        <w:tc>
          <w:tcPr>
            <w:tcW w:type="dxa" w:w="1440"/>
          </w:tcPr>
          <w:p>
            <w:pPr>
              <w:spacing w:line="240" w:lineRule="auto" w:before="0" w:after="0"/>
              <w:jc w:val="center"/>
            </w:pPr>
            <w:r>
              <w:rPr>
                <w:rFonts w:ascii="Times New Roman" w:hAnsi="Times New Roman" w:eastAsia="宋体"/>
                <w:b w:val="0"/>
                <w:sz w:val="21"/>
              </w:rPr>
              <w:t>区域公平</w:t>
            </w:r>
          </w:p>
        </w:tc>
        <w:tc>
          <w:tcPr>
            <w:tcW w:type="dxa" w:w="1440"/>
          </w:tcPr>
          <w:p>
            <w:pPr>
              <w:spacing w:line="240" w:lineRule="auto" w:before="0" w:after="0"/>
              <w:jc w:val="center"/>
            </w:pPr>
            <w:r>
              <w:rPr>
                <w:rFonts w:ascii="Times New Roman" w:hAnsi="Times New Roman" w:eastAsia="宋体"/>
                <w:b w:val="0"/>
                <w:sz w:val="21"/>
              </w:rPr>
              <w:t>0.06</w:t>
            </w:r>
          </w:p>
        </w:tc>
        <w:tc>
          <w:tcPr>
            <w:tcW w:type="dxa" w:w="1440"/>
          </w:tcPr>
          <w:p>
            <w:pPr>
              <w:spacing w:line="240" w:lineRule="auto" w:before="0" w:after="0"/>
              <w:jc w:val="center"/>
            </w:pPr>
            <w:r>
              <w:rPr>
                <w:rFonts w:ascii="Times New Roman" w:hAnsi="Times New Roman" w:eastAsia="宋体"/>
                <w:b w:val="0"/>
                <w:sz w:val="21"/>
              </w:rPr>
              <w:t>东中西部可及性</w:t>
            </w:r>
          </w:p>
        </w:tc>
        <w:tc>
          <w:tcPr>
            <w:tcW w:type="dxa" w:w="1440"/>
          </w:tcPr>
          <w:p>
            <w:pPr>
              <w:spacing w:line="240" w:lineRule="auto" w:before="0" w:after="0"/>
              <w:jc w:val="center"/>
            </w:pPr>
            <w:r>
              <w:rPr>
                <w:rFonts w:ascii="Times New Roman" w:hAnsi="Times New Roman" w:eastAsia="宋体"/>
                <w:b w:val="0"/>
                <w:sz w:val="21"/>
              </w:rPr>
              <w:t>不同区域用户的数据可及性</w:t>
            </w:r>
          </w:p>
        </w:tc>
      </w:tr>
      <w:tr>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r>
          </w:p>
        </w:tc>
        <w:tc>
          <w:tcPr>
            <w:tcW w:type="dxa" w:w="1440"/>
          </w:tcPr>
          <w:p>
            <w:pPr>
              <w:spacing w:line="240" w:lineRule="auto" w:before="0" w:after="0"/>
              <w:jc w:val="center"/>
            </w:pPr>
            <w:r>
              <w:rPr>
                <w:rFonts w:ascii="Times New Roman" w:hAnsi="Times New Roman" w:eastAsia="宋体"/>
                <w:b w:val="0"/>
                <w:sz w:val="21"/>
              </w:rPr>
              <w:t>群体公平</w:t>
            </w:r>
          </w:p>
        </w:tc>
        <w:tc>
          <w:tcPr>
            <w:tcW w:type="dxa" w:w="1440"/>
          </w:tcPr>
          <w:p>
            <w:pPr>
              <w:spacing w:line="240" w:lineRule="auto" w:before="0" w:after="0"/>
              <w:jc w:val="center"/>
            </w:pPr>
            <w:r>
              <w:rPr>
                <w:rFonts w:ascii="Times New Roman" w:hAnsi="Times New Roman" w:eastAsia="宋体"/>
                <w:b w:val="0"/>
                <w:sz w:val="21"/>
              </w:rPr>
              <w:t>0.04</w:t>
            </w:r>
          </w:p>
        </w:tc>
        <w:tc>
          <w:tcPr>
            <w:tcW w:type="dxa" w:w="1440"/>
          </w:tcPr>
          <w:p>
            <w:pPr>
              <w:spacing w:line="240" w:lineRule="auto" w:before="0" w:after="0"/>
              <w:jc w:val="center"/>
            </w:pPr>
            <w:r>
              <w:rPr>
                <w:rFonts w:ascii="Times New Roman" w:hAnsi="Times New Roman" w:eastAsia="宋体"/>
                <w:b w:val="0"/>
                <w:sz w:val="21"/>
              </w:rPr>
              <w:t>弱势群体包容性</w:t>
            </w:r>
          </w:p>
        </w:tc>
        <w:tc>
          <w:tcPr>
            <w:tcW w:type="dxa" w:w="1440"/>
          </w:tcPr>
          <w:p>
            <w:pPr>
              <w:spacing w:line="240" w:lineRule="auto" w:before="0" w:after="0"/>
              <w:jc w:val="center"/>
            </w:pPr>
            <w:r>
              <w:rPr>
                <w:rFonts w:ascii="Times New Roman" w:hAnsi="Times New Roman" w:eastAsia="宋体"/>
                <w:b w:val="0"/>
                <w:sz w:val="21"/>
              </w:rPr>
              <w:t>老年人/残障人士等包容性</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数据来源：作者整理。权重基于AHP-熵权组合赋权确定。</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指标体系的设计遵循了以下原则：</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SMART原则。</w:t>
      </w:r>
      <w:r>
        <w:rPr>
          <w:rFonts w:ascii="Times New Roman" w:hAnsi="Times New Roman" w:eastAsia="宋体"/>
          <w:b w:val="0"/>
          <w:sz w:val="24"/>
        </w:rPr>
        <w:t xml:space="preserve"> 所有指标均满足具体（Specific）、可测量（Measurable）、可达成（Achievable）、相关（Relevant）和有时限（Time-bound）的要求。例如，"数据集数量"通过自动化采集系统统计，"年均下载量"通过平台统计接口或第三方监测获取，"应用数量"通过平台公示和人工核验确认。</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独立性原则。</w:t>
      </w:r>
      <w:r>
        <w:rPr>
          <w:rFonts w:ascii="Times New Roman" w:hAnsi="Times New Roman" w:eastAsia="宋体"/>
          <w:b w:val="0"/>
          <w:sz w:val="24"/>
        </w:rPr>
        <w:t xml:space="preserve"> 各指标之间相互独立，避免信息冗余。例如，"数据集数量"和"主题覆盖度"虽然都衡量供给规模，但前者衡量"数量"，后者衡量"广度"，二者提供了不同维度的信息。</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可比性原则。</w:t>
      </w:r>
      <w:r>
        <w:rPr>
          <w:rFonts w:ascii="Times New Roman" w:hAnsi="Times New Roman" w:eastAsia="宋体"/>
          <w:b w:val="0"/>
          <w:sz w:val="24"/>
        </w:rPr>
        <w:t xml:space="preserve"> 所有指标均可进行跨平台比较。例如，"元数据完整率"的计算采用统一的字段标准，"结构化格式占比"采用统一的格式分类标准，确保不同平台之间的得分具有可比性。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效果导向原则。</w:t>
      </w:r>
      <w:r>
        <w:rPr>
          <w:rFonts w:ascii="Times New Roman" w:hAnsi="Times New Roman" w:eastAsia="宋体"/>
          <w:b w:val="0"/>
          <w:sz w:val="24"/>
        </w:rPr>
        <w:t xml:space="preserve"> 指标体系将"利用效果"维度的权重提升至30%，并引入了授权运营成效、API调用深度等前瞻性指标，超越了简单的"应用数量统计"。这一权重设计体现了从"供给导向"到"效果导向"的范式转变。</w:t>
      </w:r>
    </w:p>
    <w:p>
      <w:pPr>
        <w:pStyle w:val="Heading3"/>
        <w:spacing w:before="240" w:after="120" w:line="360" w:lineRule="auto"/>
        <w:ind w:firstLine="0"/>
        <w:jc w:val="left"/>
      </w:pPr>
      <w:r>
        <w:rPr>
          <w:rFonts w:ascii="Times New Roman" w:hAnsi="Times New Roman" w:eastAsia="黑体"/>
          <w:b/>
          <w:sz w:val="28"/>
        </w:rPr>
        <w:t>2.3 AHP-熵权组合赋权方法</w:t>
      </w:r>
    </w:p>
    <w:p>
      <w:pPr>
        <w:spacing w:line="360" w:lineRule="auto" w:before="0" w:after="0"/>
        <w:ind w:firstLine="420"/>
        <w:jc w:val="both"/>
      </w:pPr>
      <w:r>
        <w:rPr>
          <w:rFonts w:ascii="Times New Roman" w:hAnsi="Times New Roman" w:eastAsia="宋体"/>
          <w:b w:val="0"/>
          <w:sz w:val="24"/>
        </w:rPr>
        <w:t>指标权重的确定采用AHP-熵权组合赋权法，兼顾主观偏好和客观信息。</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AHP主观赋权。</w:t>
      </w:r>
      <w:r>
        <w:rPr>
          <w:rFonts w:ascii="Times New Roman" w:hAnsi="Times New Roman" w:eastAsia="宋体"/>
          <w:b w:val="0"/>
          <w:sz w:val="24"/>
        </w:rPr>
        <w:t xml:space="preserve"> 邀请10位政府数据开放领域的专家（包括高校研究者5位、平台运营者3位、政策制定者2位）进行层次分析法（AHP）打分。专家基于Saaty 1-9标度法对各指标的重要性进行两两比较，构建判断矩阵。通过计算判断矩阵的最大特征值和特征向量，得到各指标的主观权重。AHP的一致性比率（CR）为0.032，小于0.10的阈值，表明专家判断具有较好的一致性。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熵权客观赋权。</w:t>
      </w:r>
      <w:r>
        <w:rPr>
          <w:rFonts w:ascii="Times New Roman" w:hAnsi="Times New Roman" w:eastAsia="宋体"/>
          <w:b w:val="0"/>
          <w:sz w:val="24"/>
        </w:rPr>
        <w:t xml:space="preserve"> 基于23个平台的实际数据，采用熵权法计算各指标的客观权重。熵权法的核心思想是：指标的信息熵越小，表明该指标在不同平台间的差异越大，蕴含的信息量越多，因此权重应越高。通过计算各指标的信息熵和差异系数，得到各指标的客观权重。</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组合赋权。</w:t>
      </w:r>
      <w:r>
        <w:rPr>
          <w:rFonts w:ascii="Times New Roman" w:hAnsi="Times New Roman" w:eastAsia="宋体"/>
          <w:b w:val="0"/>
          <w:sz w:val="24"/>
        </w:rPr>
        <w:t xml:space="preserve"> 将AHP主观权重和熵权客观权重进行线性组合，公式为：</w:t>
      </w:r>
    </w:p>
    <w:p>
      <w:pPr>
        <w:spacing w:line="360" w:lineRule="auto" w:before="0" w:after="0"/>
        <w:ind w:firstLine="420"/>
        <w:jc w:val="both"/>
      </w:pPr>
      <w:r>
        <w:rPr>
          <w:rFonts w:ascii="Times New Roman" w:hAnsi="Times New Roman" w:eastAsia="宋体"/>
          <w:b w:val="0"/>
          <w:sz w:val="24"/>
        </w:rPr>
        <w:t>$$w_j = \alpha \cdot w_{j,AHP} + (1-\alpha) \cdot w_{j,entropy}$$</w:t>
      </w:r>
    </w:p>
    <w:p>
      <w:pPr>
        <w:spacing w:line="360" w:lineRule="auto" w:before="0" w:after="0"/>
        <w:ind w:firstLine="420"/>
        <w:jc w:val="both"/>
      </w:pPr>
      <w:r>
        <w:rPr>
          <w:rFonts w:ascii="Times New Roman" w:hAnsi="Times New Roman" w:eastAsia="宋体"/>
          <w:b w:val="0"/>
          <w:sz w:val="24"/>
        </w:rPr>
        <w:t>其中，$w_j$为第j个指标的组合权重，$w_{j,AHP}$为AHP主观权重，$w_{j,entropy}$为熵权客观权重，$\alpha$为偏好系数（本研究取$\alpha = 0.5$，即主观和客观权重各占50%）。</w:t>
      </w:r>
    </w:p>
    <w:p>
      <w:pPr>
        <w:spacing w:line="360" w:lineRule="auto" w:before="0" w:after="0"/>
        <w:ind w:firstLine="420"/>
        <w:jc w:val="both"/>
      </w:pPr>
      <w:r>
        <w:rPr>
          <w:rFonts w:ascii="Times New Roman" w:hAnsi="Times New Roman" w:eastAsia="宋体"/>
          <w:b w:val="0"/>
          <w:sz w:val="24"/>
        </w:rPr>
        <w:t>组合赋权的结果如表2-1所示。从权重分布可以看出，"利用效果"维度的权重最高（0.30），其次是"供给保障""平台服务"和"数据质量"（各0.20），"公平性"维度的权重最低（0.10）。这一权重分布体现了"效果导向"的评估理念——数据利用效果是评估的核心，数据供给、平台服务和数据质量是实现利用效果的手段和条件。</w:t>
      </w:r>
    </w:p>
    <w:p>
      <w:pPr>
        <w:pStyle w:val="Heading2"/>
        <w:spacing w:before="360" w:after="240" w:line="360" w:lineRule="auto"/>
        <w:ind w:firstLine="0"/>
        <w:jc w:val="left"/>
      </w:pPr>
      <w:r>
        <w:rPr>
          <w:rFonts w:ascii="Times New Roman" w:hAnsi="Times New Roman" w:eastAsia="黑体"/>
          <w:b/>
          <w:sz w:val="32"/>
        </w:rPr>
        <w:t>3 研究方法与数据</w:t>
      </w:r>
    </w:p>
    <w:p>
      <w:pPr>
        <w:pStyle w:val="Heading3"/>
        <w:spacing w:before="240" w:after="120" w:line="360" w:lineRule="auto"/>
        <w:ind w:firstLine="0"/>
        <w:jc w:val="left"/>
      </w:pPr>
      <w:r>
        <w:rPr>
          <w:rFonts w:ascii="Times New Roman" w:hAnsi="Times New Roman" w:eastAsia="黑体"/>
          <w:b/>
          <w:sz w:val="28"/>
        </w:rPr>
        <w:t>3.1 TOPSIS方法原理与步骤</w:t>
      </w:r>
    </w:p>
    <w:p>
      <w:pPr>
        <w:spacing w:line="360" w:lineRule="auto" w:before="0" w:after="0"/>
        <w:ind w:firstLine="420"/>
        <w:jc w:val="both"/>
      </w:pPr>
      <w:r>
        <w:rPr>
          <w:rFonts w:ascii="Times New Roman" w:hAnsi="Times New Roman" w:eastAsia="宋体"/>
          <w:b w:val="0"/>
          <w:sz w:val="24"/>
        </w:rPr>
        <w:t>TOPSIS（Technique for Order Preference by Similarity to an Ideal Solution）是一种逼近理想解的排序方法，由Hwang和Yoon于1981年提出。其核心思想是：计算各评价对象与正理想解（所有指标均取最优值）和负理想解（所有指标均取最劣值）的距离，距离正理想解越近、距离负理想解越远的对象，其综合绩效越好。</w:t>
      </w:r>
    </w:p>
    <w:p>
      <w:pPr>
        <w:spacing w:line="360" w:lineRule="auto" w:before="0" w:after="0"/>
        <w:ind w:firstLine="420"/>
        <w:jc w:val="both"/>
      </w:pPr>
      <w:r>
        <w:rPr>
          <w:rFonts w:ascii="Times New Roman" w:hAnsi="Times New Roman" w:eastAsia="宋体"/>
          <w:b w:val="0"/>
          <w:sz w:val="24"/>
        </w:rPr>
        <w:t>TOPSIS方法的步骤如下：</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步骤一：构建标准化决策矩阵。</w:t>
      </w:r>
      <w:r>
        <w:rPr>
          <w:rFonts w:ascii="Times New Roman" w:hAnsi="Times New Roman" w:eastAsia="宋体"/>
          <w:b w:val="0"/>
          <w:sz w:val="24"/>
        </w:rPr>
        <w:t xml:space="preserve"> 对原始数据进行标准化处理，消除量纲影响。本研究采用向量标准化法：</w:t>
      </w:r>
    </w:p>
    <w:p>
      <w:pPr>
        <w:spacing w:line="360" w:lineRule="auto" w:before="0" w:after="0"/>
        <w:ind w:firstLine="420"/>
        <w:jc w:val="both"/>
      </w:pPr>
      <w:r>
        <w:rPr>
          <w:rFonts w:ascii="Times New Roman" w:hAnsi="Times New Roman" w:eastAsia="宋体"/>
          <w:b w:val="0"/>
          <w:sz w:val="24"/>
        </w:rPr>
        <w:t>$$x_{ij}^* = \frac{x_{ij}}{\sqrt{\sum_{i=1}^{m} x_{ij}^2}}$$</w:t>
      </w:r>
    </w:p>
    <w:p>
      <w:pPr>
        <w:spacing w:line="360" w:lineRule="auto" w:before="0" w:after="0"/>
        <w:ind w:firstLine="420"/>
        <w:jc w:val="both"/>
      </w:pPr>
      <w:r>
        <w:rPr>
          <w:rFonts w:ascii="Times New Roman" w:hAnsi="Times New Roman" w:eastAsia="宋体"/>
          <w:b w:val="0"/>
          <w:sz w:val="24"/>
        </w:rPr>
        <w:t>其中，$x_{ij}$为第i个平台的第j个指标的原始值，$x_{ij}^*$为标准化后的值，m为平台数量（m=23）。向量标准化法的优点在于：标准化后的值不受指标量纲影响，且保留了原始数据的相对差异信息。与极差标准化法相比，向量标准化法对异常值不敏感，更适合处理存在极端值的评估数据。</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步骤二：构建加权标准化矩阵。</w:t>
      </w:r>
      <w:r>
        <w:rPr>
          <w:rFonts w:ascii="Times New Roman" w:hAnsi="Times New Roman" w:eastAsia="宋体"/>
          <w:b w:val="0"/>
          <w:sz w:val="24"/>
        </w:rPr>
        <w:t xml:space="preserve"> 将标准化矩阵与指标权重相乘：</w:t>
      </w:r>
    </w:p>
    <w:p>
      <w:pPr>
        <w:spacing w:line="360" w:lineRule="auto" w:before="0" w:after="0"/>
        <w:ind w:firstLine="420"/>
        <w:jc w:val="both"/>
      </w:pPr>
      <w:r>
        <w:rPr>
          <w:rFonts w:ascii="Times New Roman" w:hAnsi="Times New Roman" w:eastAsia="宋体"/>
          <w:b w:val="0"/>
          <w:sz w:val="24"/>
        </w:rPr>
        <w:t>$$v_{ij} = w_j \cdot x_{ij}^*$$</w:t>
      </w:r>
    </w:p>
    <w:p>
      <w:pPr>
        <w:spacing w:line="360" w:lineRule="auto" w:before="0" w:after="0"/>
        <w:ind w:firstLine="420"/>
        <w:jc w:val="both"/>
      </w:pPr>
      <w:r>
        <w:rPr>
          <w:rFonts w:ascii="Times New Roman" w:hAnsi="Times New Roman" w:eastAsia="宋体"/>
          <w:b w:val="0"/>
          <w:sz w:val="24"/>
        </w:rPr>
        <w:t>其中，$w_j$为第j个指标的组合权重（由AHP-熵权组合赋权法确定）。加权标准化矩阵融合了指标的相对重要性和标准化后的表现值，为后续的排序计算奠定了基础。</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步骤三：确定正理想解和负理想解。</w:t>
      </w:r>
      <w:r>
        <w:rPr>
          <w:rFonts w:ascii="Times New Roman" w:hAnsi="Times New Roman" w:eastAsia="宋体"/>
          <w:b w:val="0"/>
          <w:sz w:val="24"/>
        </w:rPr>
        <w:t xml:space="preserve"> 正理想解$V^+$由各指标的最大值构成，代表所有平台在各项指标上的最优表现；负理想解$V^-$由各指标的最小值构成，代表所有平台在各项指标上的最劣表现：</w:t>
      </w:r>
    </w:p>
    <w:p>
      <w:pPr>
        <w:spacing w:line="360" w:lineRule="auto" w:before="0" w:after="0"/>
        <w:ind w:firstLine="420"/>
        <w:jc w:val="both"/>
      </w:pPr>
      <w:r>
        <w:rPr>
          <w:rFonts w:ascii="Times New Roman" w:hAnsi="Times New Roman" w:eastAsia="宋体"/>
          <w:b w:val="0"/>
          <w:sz w:val="24"/>
        </w:rPr>
        <w:t>$$V^+ = (v_1^+, v_2^+, ..., v_n^+), \quad v_j^+ = \max_i(v_{ij})$$</w:t>
      </w:r>
    </w:p>
    <w:p>
      <w:pPr>
        <w:spacing w:line="360" w:lineRule="auto" w:before="0" w:after="0"/>
        <w:ind w:firstLine="420"/>
        <w:jc w:val="both"/>
      </w:pPr>
      <w:r>
        <w:rPr>
          <w:rFonts w:ascii="Times New Roman" w:hAnsi="Times New Roman" w:eastAsia="宋体"/>
          <w:b w:val="0"/>
          <w:sz w:val="24"/>
        </w:rPr>
        <w:t>$$V^- = (v_1^-, v_2^-, ..., v_n^-), \quad v_j^- = \min_i(v_{ij})$$</w:t>
      </w:r>
    </w:p>
    <w:p>
      <w:pPr>
        <w:spacing w:line="360" w:lineRule="auto" w:before="0" w:after="0"/>
        <w:ind w:firstLine="420"/>
        <w:jc w:val="both"/>
      </w:pPr>
      <w:r>
        <w:rPr>
          <w:rFonts w:ascii="Times New Roman" w:hAnsi="Times New Roman" w:eastAsia="宋体"/>
          <w:b w:val="0"/>
          <w:sz w:val="24"/>
        </w:rPr>
        <w:t>正理想解和负理想解的设定体现了TOPSIS方法的核心思想——通过比较各平台与"最优"和"最劣"的距离来判断相对优劣。这种方法避免了绝对标准的设定难题，特别适用于缺乏统一评价标准的比较场景。</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步骤四：计算各平台与正理想解和负理想解的距离。</w:t>
      </w:r>
      <w:r>
        <w:rPr>
          <w:rFonts w:ascii="Times New Roman" w:hAnsi="Times New Roman" w:eastAsia="宋体"/>
          <w:b w:val="0"/>
          <w:sz w:val="24"/>
        </w:rPr>
        <w:t xml:space="preserve"> 采用欧氏距离：</w:t>
      </w:r>
    </w:p>
    <w:p>
      <w:pPr>
        <w:spacing w:line="360" w:lineRule="auto" w:before="0" w:after="0"/>
        <w:ind w:firstLine="420"/>
        <w:jc w:val="both"/>
      </w:pPr>
      <w:r>
        <w:rPr>
          <w:rFonts w:ascii="Times New Roman" w:hAnsi="Times New Roman" w:eastAsia="宋体"/>
          <w:b w:val="0"/>
          <w:sz w:val="24"/>
        </w:rPr>
        <w:t>$$D_i^+ = \sqrt{\sum_{j=1}^{n} (v_{ij} - v_j^+)^2}$$</w:t>
      </w:r>
    </w:p>
    <w:p>
      <w:pPr>
        <w:spacing w:line="360" w:lineRule="auto" w:before="0" w:after="0"/>
        <w:ind w:firstLine="420"/>
        <w:jc w:val="both"/>
      </w:pPr>
      <w:r>
        <w:rPr>
          <w:rFonts w:ascii="Times New Roman" w:hAnsi="Times New Roman" w:eastAsia="宋体"/>
          <w:b w:val="0"/>
          <w:sz w:val="24"/>
        </w:rPr>
        <w:t>$$D_i^- = \sqrt{\sum_{j=1}^{n} (v_{ij} - v_j^-)^2}$$</w:t>
      </w:r>
    </w:p>
    <w:p>
      <w:pPr>
        <w:spacing w:line="360" w:lineRule="auto" w:before="0" w:after="0"/>
        <w:ind w:firstLine="420"/>
        <w:jc w:val="both"/>
      </w:pPr>
      <w:r>
        <w:rPr>
          <w:rFonts w:ascii="Times New Roman" w:hAnsi="Times New Roman" w:eastAsia="宋体"/>
          <w:b w:val="0"/>
          <w:sz w:val="24"/>
        </w:rPr>
        <w:t>$D_i^+$衡量第i个平台与最优表现的距离，$D_i^-$衡量第i个平台与最劣表现的距离。距离的计算采用欧氏距离，因为它能够综合反映各维度上的偏差，且几何意义明确。</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步骤五：计算综合绩效得分。</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$$C_i = \frac{D_i^-}{D_i^+ + D_i^-}$$</w:t>
      </w:r>
    </w:p>
    <w:p>
      <w:pPr>
        <w:spacing w:line="360" w:lineRule="auto" w:before="0" w:after="0"/>
        <w:ind w:firstLine="420"/>
        <w:jc w:val="both"/>
      </w:pPr>
      <w:r>
        <w:rPr>
          <w:rFonts w:ascii="Times New Roman" w:hAnsi="Times New Roman" w:eastAsia="宋体"/>
          <w:b w:val="0"/>
          <w:sz w:val="24"/>
        </w:rPr>
        <w:t>$C_i$的取值范围为0到1，越接近1表示绩效越好（距离负理想解越远、距离正理想解越近），越接近0表示绩效越差。综合绩效得分的计算体现了"相对优劣"的评估逻辑——一个平台的绩效不是由其绝对表现决定的，而是由其在所有平台中的相对位置决定的。</w:t>
      </w:r>
    </w:p>
    <w:p>
      <w:pPr>
        <w:pStyle w:val="Heading3"/>
        <w:spacing w:before="240" w:after="120" w:line="360" w:lineRule="auto"/>
        <w:ind w:firstLine="0"/>
        <w:jc w:val="left"/>
      </w:pPr>
      <w:r>
        <w:rPr>
          <w:rFonts w:ascii="Times New Roman" w:hAnsi="Times New Roman" w:eastAsia="黑体"/>
          <w:b/>
          <w:sz w:val="28"/>
        </w:rPr>
        <w:t>3.2 DEA-BCC方法原理与步骤</w:t>
      </w:r>
    </w:p>
    <w:p>
      <w:pPr>
        <w:spacing w:line="360" w:lineRule="auto" w:before="0" w:after="0"/>
        <w:ind w:firstLine="420"/>
        <w:jc w:val="both"/>
      </w:pPr>
      <w:r>
        <w:rPr>
          <w:rFonts w:ascii="Times New Roman" w:hAnsi="Times New Roman" w:eastAsia="宋体"/>
          <w:b w:val="0"/>
          <w:sz w:val="24"/>
        </w:rPr>
        <w:t>DEA（Data Envelopment Analysis）是一种非参数的效率评价方法，由Charnes、Cooper和Rhodes于1978年提出（CCR模型）。本研究采用Banker、Charnes和Cooper于1984年提出的BCC模型，该模型假设规模报酬可变（VRS），可以将综合效率分解为纯技术效率（PTE）和规模效率（SE）。</w:t>
      </w:r>
    </w:p>
    <w:p>
      <w:pPr>
        <w:spacing w:line="360" w:lineRule="auto" w:before="0" w:after="0"/>
        <w:ind w:firstLine="420"/>
        <w:jc w:val="both"/>
      </w:pPr>
      <w:r>
        <w:rPr>
          <w:rFonts w:ascii="Times New Roman" w:hAnsi="Times New Roman" w:eastAsia="宋体"/>
          <w:b w:val="0"/>
          <w:sz w:val="24"/>
        </w:rPr>
        <w:t>DEA-BCC模型的线性规划形式为：</w:t>
      </w:r>
    </w:p>
    <w:p>
      <w:pPr>
        <w:spacing w:line="360" w:lineRule="auto" w:before="0" w:after="0"/>
        <w:ind w:firstLine="420"/>
        <w:jc w:val="both"/>
      </w:pPr>
      <w:r>
        <w:rPr>
          <w:rFonts w:ascii="Times New Roman" w:hAnsi="Times New Roman" w:eastAsia="宋体"/>
          <w:b w:val="0"/>
          <w:sz w:val="24"/>
        </w:rPr>
        <w:t>$$\min \theta$$</w:t>
      </w:r>
    </w:p>
    <w:p>
      <w:pPr>
        <w:spacing w:line="360" w:lineRule="auto" w:before="0" w:after="0"/>
        <w:ind w:firstLine="420"/>
        <w:jc w:val="both"/>
      </w:pPr>
      <w:r>
        <w:rPr>
          <w:rFonts w:ascii="Times New Roman" w:hAnsi="Times New Roman" w:eastAsia="宋体"/>
          <w:b w:val="0"/>
          <w:sz w:val="24"/>
        </w:rPr>
        <w:t>$$s.t. \quad \sum_{j=1}^{n} \lambda_j x_{ij} \leq \theta x_{i0}, \quad i = 1, ..., m$$</w:t>
      </w:r>
    </w:p>
    <w:p>
      <w:pPr>
        <w:spacing w:line="360" w:lineRule="auto" w:before="0" w:after="0"/>
        <w:ind w:firstLine="420"/>
        <w:jc w:val="both"/>
      </w:pPr>
      <w:r>
        <w:rPr>
          <w:rFonts w:ascii="Times New Roman" w:hAnsi="Times New Roman" w:eastAsia="宋体"/>
          <w:b w:val="0"/>
          <w:sz w:val="24"/>
        </w:rPr>
        <w:t>$$\sum_{j=1}^{n} \lambda_j y_{rj} \geq y_{r0}, \quad r = 1, ..., s$$</w:t>
      </w:r>
    </w:p>
    <w:p>
      <w:pPr>
        <w:spacing w:line="360" w:lineRule="auto" w:before="0" w:after="0"/>
        <w:ind w:firstLine="420"/>
        <w:jc w:val="both"/>
      </w:pPr>
      <w:r>
        <w:rPr>
          <w:rFonts w:ascii="Times New Roman" w:hAnsi="Times New Roman" w:eastAsia="宋体"/>
          <w:b w:val="0"/>
          <w:sz w:val="24"/>
        </w:rPr>
        <w:t>$$\sum_{j=1}^{n} \lambda_j = 1$$</w:t>
      </w:r>
    </w:p>
    <w:p>
      <w:pPr>
        <w:spacing w:line="360" w:lineRule="auto" w:before="0" w:after="0"/>
        <w:ind w:firstLine="420"/>
        <w:jc w:val="both"/>
      </w:pPr>
      <w:r>
        <w:rPr>
          <w:rFonts w:ascii="Times New Roman" w:hAnsi="Times New Roman" w:eastAsia="宋体"/>
          <w:b w:val="0"/>
          <w:sz w:val="24"/>
        </w:rPr>
        <w:t>$$\lambda_j \geq 0, \quad j = 1, ..., n$$</w:t>
      </w:r>
    </w:p>
    <w:p>
      <w:pPr>
        <w:spacing w:line="360" w:lineRule="auto" w:before="0" w:after="0"/>
        <w:ind w:firstLine="420"/>
        <w:jc w:val="both"/>
      </w:pPr>
      <w:r>
        <w:rPr>
          <w:rFonts w:ascii="Times New Roman" w:hAnsi="Times New Roman" w:eastAsia="宋体"/>
          <w:b w:val="0"/>
          <w:sz w:val="24"/>
        </w:rPr>
        <w:t>其中，$\theta$为综合效率值（TE），$\lambda_j$为权重变量，$x_{ij}$为投入指标，$y_{rj}$为产出指标。当$\theta = 1$时，该平台为DEA有效；当$\theta &lt; 1$时，该平台存在效率损失，$1-\theta$为效率改进空间。</w:t>
      </w:r>
    </w:p>
    <w:p>
      <w:pPr>
        <w:spacing w:line="360" w:lineRule="auto" w:before="0" w:after="0"/>
        <w:ind w:firstLine="420"/>
        <w:jc w:val="both"/>
      </w:pPr>
      <w:r>
        <w:rPr>
          <w:rFonts w:ascii="Times New Roman" w:hAnsi="Times New Roman" w:eastAsia="宋体"/>
          <w:b w:val="0"/>
          <w:sz w:val="24"/>
        </w:rPr>
        <w:t>综合效率（TE）可以分解为纯技术效率（PTE）和规模效率（SE）：</w:t>
      </w:r>
    </w:p>
    <w:p>
      <w:pPr>
        <w:spacing w:line="360" w:lineRule="auto" w:before="0" w:after="0"/>
        <w:ind w:firstLine="420"/>
        <w:jc w:val="both"/>
      </w:pPr>
      <w:r>
        <w:rPr>
          <w:rFonts w:ascii="Times New Roman" w:hAnsi="Times New Roman" w:eastAsia="宋体"/>
          <w:b w:val="0"/>
          <w:sz w:val="24"/>
        </w:rPr>
        <w:t>$$TE = PTE \times SE$$</w:t>
      </w:r>
    </w:p>
    <w:p>
      <w:pPr>
        <w:spacing w:line="360" w:lineRule="auto" w:before="0" w:after="0"/>
        <w:ind w:firstLine="420"/>
        <w:jc w:val="both"/>
      </w:pPr>
      <w:r>
        <w:rPr>
          <w:rFonts w:ascii="Times New Roman" w:hAnsi="Times New Roman" w:eastAsia="宋体"/>
          <w:b w:val="0"/>
          <w:sz w:val="24"/>
        </w:rPr>
        <w:t>纯技术效率衡量在现有规模下平台的管理和技术水平，规模效率衡量平台是否处于最优规模。</w:t>
      </w:r>
    </w:p>
    <w:p>
      <w:pPr>
        <w:spacing w:line="360" w:lineRule="auto" w:before="0" w:after="0"/>
        <w:ind w:firstLine="420"/>
        <w:jc w:val="both"/>
      </w:pPr>
      <w:r>
        <w:rPr>
          <w:rFonts w:ascii="Times New Roman" w:hAnsi="Times New Roman" w:eastAsia="宋体"/>
          <w:b w:val="0"/>
          <w:sz w:val="24"/>
        </w:rPr>
        <w:t>本研究的投入指标包括：数据集数量（反映资源投入）、平台功能模块数（反映技术投入）、运营人员配置（反映人力投入）。产出指标包括：下载量（反映直接产出）、应用数量（反映利用产出）、综合绩效得分（反映整体产出）。</w:t>
      </w:r>
    </w:p>
    <w:p>
      <w:pPr>
        <w:spacing w:line="360" w:lineRule="auto" w:before="0" w:after="0"/>
        <w:ind w:firstLine="420"/>
        <w:jc w:val="both"/>
      </w:pPr>
      <w:r>
        <w:rPr>
          <w:rFonts w:ascii="Times New Roman" w:hAnsi="Times New Roman" w:eastAsia="宋体"/>
          <w:b w:val="0"/>
          <w:sz w:val="24"/>
        </w:rPr>
        <w:t>投入指标和产出指标的选择遵循了DEA分析的"同源性"原则——投入指标应反映平台可控的资源投入，产出指标应反映平台产生的可测量成果。数据集数量反映了平台在数据资源方面的投入，平台功能模块数反映了平台在技术基础设施方面的投入，运营人员配置反映了平台在人力资源方面的投入。下载量反映了平台的直接服务产出，应用数量反映了平台的间接利用产出，综合绩效得分反映了平台的整体产出水平。六个指标之间保持了较好的独立性——投入指标与产出指标之间不存在明显的线性关系，避免了DEA分析中的"指标冗余"问题。</w:t>
      </w:r>
    </w:p>
    <w:p>
      <w:pPr>
        <w:pStyle w:val="Heading3"/>
        <w:spacing w:before="240" w:after="120" w:line="360" w:lineRule="auto"/>
        <w:ind w:firstLine="0"/>
        <w:jc w:val="left"/>
      </w:pPr>
      <w:r>
        <w:rPr>
          <w:rFonts w:ascii="Times New Roman" w:hAnsi="Times New Roman" w:eastAsia="黑体"/>
          <w:b/>
          <w:sz w:val="28"/>
        </w:rPr>
        <w:t>3.3 数据来源与采集工具</w:t>
      </w:r>
    </w:p>
    <w:p>
      <w:pPr>
        <w:spacing w:line="360" w:lineRule="auto" w:before="0" w:after="0"/>
        <w:ind w:firstLine="420"/>
        <w:jc w:val="both"/>
      </w:pPr>
      <w:r>
        <w:rPr>
          <w:rFonts w:ascii="Times New Roman" w:hAnsi="Times New Roman" w:eastAsia="宋体"/>
          <w:b w:val="0"/>
          <w:sz w:val="24"/>
        </w:rPr>
        <w:t>本研究的数据来源于自主开发的OGD-Collector Pro采集系统。采集时间为2025年3月1日至3月31日，采集对象为全国31个省级政府数据开放平台。</w:t>
      </w:r>
    </w:p>
    <w:p>
      <w:pPr>
        <w:spacing w:line="360" w:lineRule="auto" w:before="0" w:after="0"/>
        <w:ind w:firstLine="420"/>
        <w:jc w:val="both"/>
      </w:pPr>
      <w:r>
        <w:rPr>
          <w:rFonts w:ascii="Times New Roman" w:hAnsi="Times New Roman" w:eastAsia="宋体"/>
          <w:b w:val="0"/>
          <w:sz w:val="24"/>
        </w:rPr>
        <w:t>OGD-Collector Pro采集系统采用三层架构设计：</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数据层。</w:t>
      </w:r>
      <w:r>
        <w:rPr>
          <w:rFonts w:ascii="Times New Roman" w:hAnsi="Times New Roman" w:eastAsia="宋体"/>
          <w:b w:val="0"/>
          <w:sz w:val="24"/>
        </w:rPr>
        <w:t xml:space="preserve"> 负责平台信息的存储和管理，采用SQLite数据库存储采集规则和采集结果，采用JSON格式管理各平台的提取规则映射表。SQLite数据库的选择基于"轻量、便携、易查询"的考虑——对于中小规模的数据采集项目（如31个平台的数据），SQLite无需独立的数据库服务器，数据以单个文件形式存储，便于备份和迁移。JSON格式的规则映射表支持嵌套结构，可以灵活表达各平台的复杂提取逻辑。</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采集层。</w:t>
      </w:r>
      <w:r>
        <w:rPr>
          <w:rFonts w:ascii="Times New Roman" w:hAnsi="Times New Roman" w:eastAsia="宋体"/>
          <w:b w:val="0"/>
          <w:sz w:val="24"/>
        </w:rPr>
        <w:t xml:space="preserve"> 负责浏览器自动化和多策略数据提取，采用Playwright模拟浏览器技术，结合BeautifulSoup和正则表达式进行数据解析。系统内置了反爬措施，包括User-Agent轮换（轮换池包含20个主流浏览器的User-Agent字符串）、请求频率控制（默认间隔3-5秒，随机波动±2秒）和IP代理池（50个代理IP，覆盖国内主要城市）。采集层的核心设计思想是"多策略冗余"——对于每个平台，系统同时尝试多种提取策略（CSS选择器、XPath、正则表达式、JavaScript执行），当某一策略失效时自动切换至备用策略，确保采集的成功率。</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应用层。</w:t>
      </w:r>
      <w:r>
        <w:rPr>
          <w:rFonts w:ascii="Times New Roman" w:hAnsi="Times New Roman" w:eastAsia="宋体"/>
          <w:b w:val="0"/>
          <w:sz w:val="24"/>
        </w:rPr>
        <w:t xml:space="preserve"> 负责数据可视化和API服务，采用Flask框架提供RESTful API，采用ECharts进行数据可视化展示。应用层的设计使得采集结果可以方便地通过Web界面进行查看和分析，也为第三方研究者提供了数据接口。</w:t>
      </w:r>
    </w:p>
    <w:p>
      <w:pPr>
        <w:spacing w:line="360" w:lineRule="auto" w:before="0" w:after="0"/>
        <w:ind w:firstLine="420"/>
        <w:jc w:val="both"/>
      </w:pPr>
      <w:r>
        <w:rPr>
          <w:rFonts w:ascii="Times New Roman" w:hAnsi="Times New Roman" w:eastAsia="宋体"/>
          <w:b w:val="0"/>
          <w:sz w:val="24"/>
        </w:rPr>
        <w:t>经过数据质量检验，23个平台的数据满足定量评估要求，被纳入核心分析样本。8个平台因数据集规模过小（&lt;100个数据集）、数据更新停滞（超过一年无更新）或平台功能极不完善（无法完成基本的数据检索和下载）而被排除。23个有效样本平台的分布为：东部10个、中部6个、西部5个、东北2个（注：按传统划分，辽宁属东北，吉林属东北；内蒙古在中部）。样本的地理分布覆盖了我国主要经济区域，具有较好的代表性。</w:t>
      </w:r>
    </w:p>
    <w:p>
      <w:pPr>
        <w:pStyle w:val="Heading2"/>
        <w:spacing w:before="360" w:after="240" w:line="360" w:lineRule="auto"/>
        <w:ind w:firstLine="0"/>
        <w:jc w:val="left"/>
      </w:pPr>
      <w:r>
        <w:rPr>
          <w:rFonts w:ascii="Times New Roman" w:hAnsi="Times New Roman" w:eastAsia="黑体"/>
          <w:b/>
          <w:sz w:val="32"/>
        </w:rPr>
        <w:t>4 实证结果</w:t>
      </w:r>
    </w:p>
    <w:p>
      <w:pPr>
        <w:pStyle w:val="Heading3"/>
        <w:spacing w:before="240" w:after="120" w:line="360" w:lineRule="auto"/>
        <w:ind w:firstLine="0"/>
        <w:jc w:val="left"/>
      </w:pPr>
      <w:r>
        <w:rPr>
          <w:rFonts w:ascii="Times New Roman" w:hAnsi="Times New Roman" w:eastAsia="黑体"/>
          <w:b/>
          <w:sz w:val="28"/>
        </w:rPr>
        <w:t>4.1 TOPSIS绩效排名分析</w:t>
      </w:r>
    </w:p>
    <w:p>
      <w:pPr>
        <w:spacing w:before="120" w:after="120" w:line="360" w:lineRule="auto"/>
        <w:ind w:firstLine="0"/>
        <w:jc w:val="center"/>
      </w:pPr>
      <w:r>
        <w:rPr>
          <w:rFonts w:ascii="Times New Roman" w:hAnsi="Times New Roman" w:eastAsia="黑体"/>
          <w:b w:val="0"/>
          <w:sz w:val="21"/>
        </w:rPr>
        <w:t>表4-1报告了23个省级平台的TOPSIS综合绩效得分和排名。</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表4-1 23个省级平台TOPSIS综合绩效排名</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before="0" w:after="0"/>
              <w:jc w:val="center"/>
            </w:pPr>
            <w:r>
              <w:rPr>
                <w:rFonts w:ascii="Times New Roman" w:hAnsi="Times New Roman" w:eastAsia="宋体"/>
                <w:b w:val="0"/>
                <w:sz w:val="21"/>
              </w:rPr>
              <w:t>排名</w:t>
            </w:r>
          </w:p>
        </w:tc>
        <w:tc>
          <w:tcPr>
            <w:tcW w:type="dxa" w:w="1440"/>
          </w:tcPr>
          <w:p>
            <w:pPr>
              <w:spacing w:line="240" w:lineRule="auto" w:before="0" w:after="0"/>
              <w:jc w:val="center"/>
            </w:pPr>
            <w:r>
              <w:rPr>
                <w:rFonts w:ascii="Times New Roman" w:hAnsi="Times New Roman" w:eastAsia="宋体"/>
                <w:b w:val="0"/>
                <w:sz w:val="21"/>
              </w:rPr>
              <w:t>平台</w:t>
            </w:r>
          </w:p>
        </w:tc>
        <w:tc>
          <w:tcPr>
            <w:tcW w:type="dxa" w:w="1440"/>
          </w:tcPr>
          <w:p>
            <w:pPr>
              <w:spacing w:line="240" w:lineRule="auto" w:before="0" w:after="0"/>
              <w:jc w:val="center"/>
            </w:pPr>
            <w:r>
              <w:rPr>
                <w:rFonts w:ascii="Times New Roman" w:hAnsi="Times New Roman" w:eastAsia="宋体"/>
                <w:b w:val="0"/>
                <w:sz w:val="21"/>
              </w:rPr>
              <w:t>TOPSIS得分</w:t>
            </w:r>
          </w:p>
        </w:tc>
        <w:tc>
          <w:tcPr>
            <w:tcW w:type="dxa" w:w="1440"/>
          </w:tcPr>
          <w:p>
            <w:pPr>
              <w:spacing w:line="240" w:lineRule="auto" w:before="0" w:after="0"/>
              <w:jc w:val="center"/>
            </w:pPr>
            <w:r>
              <w:rPr>
                <w:rFonts w:ascii="Times New Roman" w:hAnsi="Times New Roman" w:eastAsia="宋体"/>
                <w:b w:val="0"/>
                <w:sz w:val="21"/>
              </w:rPr>
              <w:t>梯队</w:t>
            </w:r>
          </w:p>
        </w:tc>
        <w:tc>
          <w:tcPr>
            <w:tcW w:type="dxa" w:w="1440"/>
          </w:tcPr>
          <w:p>
            <w:pPr>
              <w:spacing w:line="240" w:lineRule="auto" w:before="0" w:after="0"/>
              <w:jc w:val="center"/>
            </w:pPr>
            <w:r>
              <w:rPr>
                <w:rFonts w:ascii="Times New Roman" w:hAnsi="Times New Roman" w:eastAsia="宋体"/>
                <w:b w:val="0"/>
                <w:sz w:val="21"/>
              </w:rPr>
              <w:t>区域</w:t>
            </w:r>
          </w:p>
        </w:tc>
        <w:tc>
          <w:tcPr>
            <w:tcW w:type="dxa" w:w="1440"/>
          </w:tcPr>
          <w:p>
            <w:pPr>
              <w:spacing w:line="240" w:lineRule="auto" w:before="0" w:after="0"/>
              <w:jc w:val="center"/>
            </w:pPr>
            <w:r>
              <w:rPr>
                <w:rFonts w:ascii="Times New Roman" w:hAnsi="Times New Roman" w:eastAsia="宋体"/>
                <w:b w:val="0"/>
                <w:sz w:val="21"/>
              </w:rPr>
              <w:t>一级维度得分</w:t>
            </w:r>
          </w:p>
        </w:tc>
      </w:tr>
      <w:tr>
        <w:tc>
          <w:tcPr>
            <w:tcW w:type="dxa" w:w="1440"/>
          </w:tcPr>
          <w:p>
            <w:pPr>
              <w:spacing w:line="240" w:lineRule="auto" w:before="0" w:after="0"/>
              <w:jc w:val="center"/>
            </w:pPr>
            <w:r>
              <w:rPr>
                <w:rFonts w:ascii="Times New Roman" w:hAnsi="Times New Roman" w:eastAsia="宋体"/>
                <w:b w:val="0"/>
                <w:sz w:val="21"/>
              </w:rPr>
              <w:t>1</w:t>
            </w:r>
          </w:p>
        </w:tc>
        <w:tc>
          <w:tcPr>
            <w:tcW w:type="dxa" w:w="1440"/>
          </w:tcPr>
          <w:p>
            <w:pPr>
              <w:spacing w:line="240" w:lineRule="auto" w:before="0" w:after="0"/>
              <w:jc w:val="center"/>
            </w:pPr>
            <w:r>
              <w:rPr>
                <w:rFonts w:ascii="Times New Roman" w:hAnsi="Times New Roman" w:eastAsia="宋体"/>
                <w:b w:val="0"/>
                <w:sz w:val="21"/>
              </w:rPr>
              <w:t>广东</w:t>
            </w:r>
          </w:p>
        </w:tc>
        <w:tc>
          <w:tcPr>
            <w:tcW w:type="dxa" w:w="1440"/>
          </w:tcPr>
          <w:p>
            <w:pPr>
              <w:spacing w:line="240" w:lineRule="auto" w:before="0" w:after="0"/>
              <w:jc w:val="center"/>
            </w:pPr>
            <w:r>
              <w:rPr>
                <w:rFonts w:ascii="Times New Roman" w:hAnsi="Times New Roman" w:eastAsia="宋体"/>
                <w:b w:val="0"/>
                <w:sz w:val="21"/>
              </w:rPr>
              <w:t>1.000</w:t>
            </w:r>
          </w:p>
        </w:tc>
        <w:tc>
          <w:tcPr>
            <w:tcW w:type="dxa" w:w="1440"/>
          </w:tcPr>
          <w:p>
            <w:pPr>
              <w:spacing w:line="240" w:lineRule="auto" w:before="0" w:after="0"/>
              <w:jc w:val="center"/>
            </w:pPr>
            <w:r>
              <w:rPr>
                <w:rFonts w:ascii="Times New Roman" w:hAnsi="Times New Roman" w:eastAsia="宋体"/>
                <w:b w:val="0"/>
                <w:sz w:val="21"/>
              </w:rPr>
              <w:t>第一梯队</w:t>
            </w:r>
          </w:p>
        </w:tc>
        <w:tc>
          <w:tcPr>
            <w:tcW w:type="dxa" w:w="1440"/>
          </w:tcPr>
          <w:p>
            <w:pPr>
              <w:spacing w:line="240" w:lineRule="auto" w:before="0" w:after="0"/>
              <w:jc w:val="center"/>
            </w:pPr>
            <w:r>
              <w:rPr>
                <w:rFonts w:ascii="Times New Roman" w:hAnsi="Times New Roman" w:eastAsia="宋体"/>
                <w:b w:val="0"/>
                <w:sz w:val="21"/>
              </w:rPr>
              <w:t>东部</w:t>
            </w:r>
          </w:p>
        </w:tc>
        <w:tc>
          <w:tcPr>
            <w:tcW w:type="dxa" w:w="1440"/>
          </w:tcPr>
          <w:p>
            <w:pPr>
              <w:spacing w:line="240" w:lineRule="auto" w:before="0" w:after="0"/>
              <w:jc w:val="center"/>
            </w:pPr>
            <w:r>
              <w:rPr>
                <w:rFonts w:ascii="Times New Roman" w:hAnsi="Times New Roman" w:eastAsia="宋体"/>
                <w:b w:val="0"/>
                <w:sz w:val="21"/>
              </w:rPr>
              <w:t>E1=0.95, E2=0.92, E3=0.88, E4=0.97, E5=0.85</w:t>
            </w:r>
          </w:p>
        </w:tc>
      </w:tr>
      <w:tr>
        <w:tc>
          <w:tcPr>
            <w:tcW w:type="dxa" w:w="1440"/>
          </w:tcPr>
          <w:p>
            <w:pPr>
              <w:spacing w:line="240" w:lineRule="auto" w:before="0" w:after="0"/>
              <w:jc w:val="center"/>
            </w:pPr>
            <w:r>
              <w:rPr>
                <w:rFonts w:ascii="Times New Roman" w:hAnsi="Times New Roman" w:eastAsia="宋体"/>
                <w:b w:val="0"/>
                <w:sz w:val="21"/>
              </w:rPr>
              <w:t>2</w:t>
            </w:r>
          </w:p>
        </w:tc>
        <w:tc>
          <w:tcPr>
            <w:tcW w:type="dxa" w:w="1440"/>
          </w:tcPr>
          <w:p>
            <w:pPr>
              <w:spacing w:line="240" w:lineRule="auto" w:before="0" w:after="0"/>
              <w:jc w:val="center"/>
            </w:pPr>
            <w:r>
              <w:rPr>
                <w:rFonts w:ascii="Times New Roman" w:hAnsi="Times New Roman" w:eastAsia="宋体"/>
                <w:b w:val="0"/>
                <w:sz w:val="21"/>
              </w:rPr>
              <w:t>山东</w:t>
            </w:r>
          </w:p>
        </w:tc>
        <w:tc>
          <w:tcPr>
            <w:tcW w:type="dxa" w:w="1440"/>
          </w:tcPr>
          <w:p>
            <w:pPr>
              <w:spacing w:line="240" w:lineRule="auto" w:before="0" w:after="0"/>
              <w:jc w:val="center"/>
            </w:pPr>
            <w:r>
              <w:rPr>
                <w:rFonts w:ascii="Times New Roman" w:hAnsi="Times New Roman" w:eastAsia="宋体"/>
                <w:b w:val="0"/>
                <w:sz w:val="21"/>
              </w:rPr>
              <w:t>0.540</w:t>
            </w:r>
          </w:p>
        </w:tc>
        <w:tc>
          <w:tcPr>
            <w:tcW w:type="dxa" w:w="1440"/>
          </w:tcPr>
          <w:p>
            <w:pPr>
              <w:spacing w:line="240" w:lineRule="auto" w:before="0" w:after="0"/>
              <w:jc w:val="center"/>
            </w:pPr>
            <w:r>
              <w:rPr>
                <w:rFonts w:ascii="Times New Roman" w:hAnsi="Times New Roman" w:eastAsia="宋体"/>
                <w:b w:val="0"/>
                <w:sz w:val="21"/>
              </w:rPr>
              <w:t>第一梯队</w:t>
            </w:r>
          </w:p>
        </w:tc>
        <w:tc>
          <w:tcPr>
            <w:tcW w:type="dxa" w:w="1440"/>
          </w:tcPr>
          <w:p>
            <w:pPr>
              <w:spacing w:line="240" w:lineRule="auto" w:before="0" w:after="0"/>
              <w:jc w:val="center"/>
            </w:pPr>
            <w:r>
              <w:rPr>
                <w:rFonts w:ascii="Times New Roman" w:hAnsi="Times New Roman" w:eastAsia="宋体"/>
                <w:b w:val="0"/>
                <w:sz w:val="21"/>
              </w:rPr>
              <w:t>东部</w:t>
            </w:r>
          </w:p>
        </w:tc>
        <w:tc>
          <w:tcPr>
            <w:tcW w:type="dxa" w:w="1440"/>
          </w:tcPr>
          <w:p>
            <w:pPr>
              <w:spacing w:line="240" w:lineRule="auto" w:before="0" w:after="0"/>
              <w:jc w:val="center"/>
            </w:pPr>
            <w:r>
              <w:rPr>
                <w:rFonts w:ascii="Times New Roman" w:hAnsi="Times New Roman" w:eastAsia="宋体"/>
                <w:b w:val="0"/>
                <w:sz w:val="21"/>
              </w:rPr>
              <w:t>E1=0.88, E2=0.75, E3=0.72, E4=0.65, E5=0.70</w:t>
            </w:r>
          </w:p>
        </w:tc>
      </w:tr>
      <w:tr>
        <w:tc>
          <w:tcPr>
            <w:tcW w:type="dxa" w:w="1440"/>
          </w:tcPr>
          <w:p>
            <w:pPr>
              <w:spacing w:line="240" w:lineRule="auto" w:before="0" w:after="0"/>
              <w:jc w:val="center"/>
            </w:pPr>
            <w:r>
              <w:rPr>
                <w:rFonts w:ascii="Times New Roman" w:hAnsi="Times New Roman" w:eastAsia="宋体"/>
                <w:b w:val="0"/>
                <w:sz w:val="21"/>
              </w:rPr>
              <w:t>3</w:t>
            </w:r>
          </w:p>
        </w:tc>
        <w:tc>
          <w:tcPr>
            <w:tcW w:type="dxa" w:w="1440"/>
          </w:tcPr>
          <w:p>
            <w:pPr>
              <w:spacing w:line="240" w:lineRule="auto" w:before="0" w:after="0"/>
              <w:jc w:val="center"/>
            </w:pPr>
            <w:r>
              <w:rPr>
                <w:rFonts w:ascii="Times New Roman" w:hAnsi="Times New Roman" w:eastAsia="宋体"/>
                <w:b w:val="0"/>
                <w:sz w:val="21"/>
              </w:rPr>
              <w:t>浙江</w:t>
            </w:r>
          </w:p>
        </w:tc>
        <w:tc>
          <w:tcPr>
            <w:tcW w:type="dxa" w:w="1440"/>
          </w:tcPr>
          <w:p>
            <w:pPr>
              <w:spacing w:line="240" w:lineRule="auto" w:before="0" w:after="0"/>
              <w:jc w:val="center"/>
            </w:pPr>
            <w:r>
              <w:rPr>
                <w:rFonts w:ascii="Times New Roman" w:hAnsi="Times New Roman" w:eastAsia="宋体"/>
                <w:b w:val="0"/>
                <w:sz w:val="21"/>
              </w:rPr>
              <w:t>0.415</w:t>
            </w:r>
          </w:p>
        </w:tc>
        <w:tc>
          <w:tcPr>
            <w:tcW w:type="dxa" w:w="1440"/>
          </w:tcPr>
          <w:p>
            <w:pPr>
              <w:spacing w:line="240" w:lineRule="auto" w:before="0" w:after="0"/>
              <w:jc w:val="center"/>
            </w:pPr>
            <w:r>
              <w:rPr>
                <w:rFonts w:ascii="Times New Roman" w:hAnsi="Times New Roman" w:eastAsia="宋体"/>
                <w:b w:val="0"/>
                <w:sz w:val="21"/>
              </w:rPr>
              <w:t>第一梯队</w:t>
            </w:r>
          </w:p>
        </w:tc>
        <w:tc>
          <w:tcPr>
            <w:tcW w:type="dxa" w:w="1440"/>
          </w:tcPr>
          <w:p>
            <w:pPr>
              <w:spacing w:line="240" w:lineRule="auto" w:before="0" w:after="0"/>
              <w:jc w:val="center"/>
            </w:pPr>
            <w:r>
              <w:rPr>
                <w:rFonts w:ascii="Times New Roman" w:hAnsi="Times New Roman" w:eastAsia="宋体"/>
                <w:b w:val="0"/>
                <w:sz w:val="21"/>
              </w:rPr>
              <w:t>东部</w:t>
            </w:r>
          </w:p>
        </w:tc>
        <w:tc>
          <w:tcPr>
            <w:tcW w:type="dxa" w:w="1440"/>
          </w:tcPr>
          <w:p>
            <w:pPr>
              <w:spacing w:line="240" w:lineRule="auto" w:before="0" w:after="0"/>
              <w:jc w:val="center"/>
            </w:pPr>
            <w:r>
              <w:rPr>
                <w:rFonts w:ascii="Times New Roman" w:hAnsi="Times New Roman" w:eastAsia="宋体"/>
                <w:b w:val="0"/>
                <w:sz w:val="21"/>
              </w:rPr>
              <w:t>E1=0.82, E2=0.78, E3=0.75, E4=0.58, E5=0.72</w:t>
            </w:r>
          </w:p>
        </w:tc>
      </w:tr>
      <w:tr>
        <w:tc>
          <w:tcPr>
            <w:tcW w:type="dxa" w:w="1440"/>
          </w:tcPr>
          <w:p>
            <w:pPr>
              <w:spacing w:line="240" w:lineRule="auto" w:before="0" w:after="0"/>
              <w:jc w:val="center"/>
            </w:pPr>
            <w:r>
              <w:rPr>
                <w:rFonts w:ascii="Times New Roman" w:hAnsi="Times New Roman" w:eastAsia="宋体"/>
                <w:b w:val="0"/>
                <w:sz w:val="21"/>
              </w:rPr>
              <w:t>4</w:t>
            </w:r>
          </w:p>
        </w:tc>
        <w:tc>
          <w:tcPr>
            <w:tcW w:type="dxa" w:w="1440"/>
          </w:tcPr>
          <w:p>
            <w:pPr>
              <w:spacing w:line="240" w:lineRule="auto" w:before="0" w:after="0"/>
              <w:jc w:val="center"/>
            </w:pPr>
            <w:r>
              <w:rPr>
                <w:rFonts w:ascii="Times New Roman" w:hAnsi="Times New Roman" w:eastAsia="宋体"/>
                <w:b w:val="0"/>
                <w:sz w:val="21"/>
              </w:rPr>
              <w:t>海南</w:t>
            </w:r>
          </w:p>
        </w:tc>
        <w:tc>
          <w:tcPr>
            <w:tcW w:type="dxa" w:w="1440"/>
          </w:tcPr>
          <w:p>
            <w:pPr>
              <w:spacing w:line="240" w:lineRule="auto" w:before="0" w:after="0"/>
              <w:jc w:val="center"/>
            </w:pPr>
            <w:r>
              <w:rPr>
                <w:rFonts w:ascii="Times New Roman" w:hAnsi="Times New Roman" w:eastAsia="宋体"/>
                <w:b w:val="0"/>
                <w:sz w:val="21"/>
              </w:rPr>
              <w:t>0.337</w:t>
            </w:r>
          </w:p>
        </w:tc>
        <w:tc>
          <w:tcPr>
            <w:tcW w:type="dxa" w:w="1440"/>
          </w:tcPr>
          <w:p>
            <w:pPr>
              <w:spacing w:line="240" w:lineRule="auto" w:before="0" w:after="0"/>
              <w:jc w:val="center"/>
            </w:pPr>
            <w:r>
              <w:rPr>
                <w:rFonts w:ascii="Times New Roman" w:hAnsi="Times New Roman" w:eastAsia="宋体"/>
                <w:b w:val="0"/>
                <w:sz w:val="21"/>
              </w:rPr>
              <w:t>第一梯队</w:t>
            </w:r>
          </w:p>
        </w:tc>
        <w:tc>
          <w:tcPr>
            <w:tcW w:type="dxa" w:w="1440"/>
          </w:tcPr>
          <w:p>
            <w:pPr>
              <w:spacing w:line="240" w:lineRule="auto" w:before="0" w:after="0"/>
              <w:jc w:val="center"/>
            </w:pPr>
            <w:r>
              <w:rPr>
                <w:rFonts w:ascii="Times New Roman" w:hAnsi="Times New Roman" w:eastAsia="宋体"/>
                <w:b w:val="0"/>
                <w:sz w:val="21"/>
              </w:rPr>
              <w:t>东部</w:t>
            </w:r>
          </w:p>
        </w:tc>
        <w:tc>
          <w:tcPr>
            <w:tcW w:type="dxa" w:w="1440"/>
          </w:tcPr>
          <w:p>
            <w:pPr>
              <w:spacing w:line="240" w:lineRule="auto" w:before="0" w:after="0"/>
              <w:jc w:val="center"/>
            </w:pPr>
            <w:r>
              <w:rPr>
                <w:rFonts w:ascii="Times New Roman" w:hAnsi="Times New Roman" w:eastAsia="宋体"/>
                <w:b w:val="0"/>
                <w:sz w:val="21"/>
              </w:rPr>
              <w:t>E1=0.75, E2=0.68, E3=0.65, E4=0.55, E5=0.60</w:t>
            </w:r>
          </w:p>
        </w:tc>
      </w:tr>
      <w:tr>
        <w:tc>
          <w:tcPr>
            <w:tcW w:type="dxa" w:w="1440"/>
          </w:tcPr>
          <w:p>
            <w:pPr>
              <w:spacing w:line="240" w:lineRule="auto" w:before="0" w:after="0"/>
              <w:jc w:val="center"/>
            </w:pPr>
            <w:r>
              <w:rPr>
                <w:rFonts w:ascii="Times New Roman" w:hAnsi="Times New Roman" w:eastAsia="宋体"/>
                <w:b w:val="0"/>
                <w:sz w:val="21"/>
              </w:rPr>
              <w:t>5</w:t>
            </w:r>
          </w:p>
        </w:tc>
        <w:tc>
          <w:tcPr>
            <w:tcW w:type="dxa" w:w="1440"/>
          </w:tcPr>
          <w:p>
            <w:pPr>
              <w:spacing w:line="240" w:lineRule="auto" w:before="0" w:after="0"/>
              <w:jc w:val="center"/>
            </w:pPr>
            <w:r>
              <w:rPr>
                <w:rFonts w:ascii="Times New Roman" w:hAnsi="Times New Roman" w:eastAsia="宋体"/>
                <w:b w:val="0"/>
                <w:sz w:val="21"/>
              </w:rPr>
              <w:t>重庆</w:t>
            </w:r>
          </w:p>
        </w:tc>
        <w:tc>
          <w:tcPr>
            <w:tcW w:type="dxa" w:w="1440"/>
          </w:tcPr>
          <w:p>
            <w:pPr>
              <w:spacing w:line="240" w:lineRule="auto" w:before="0" w:after="0"/>
              <w:jc w:val="center"/>
            </w:pPr>
            <w:r>
              <w:rPr>
                <w:rFonts w:ascii="Times New Roman" w:hAnsi="Times New Roman" w:eastAsia="宋体"/>
                <w:b w:val="0"/>
                <w:sz w:val="21"/>
              </w:rPr>
              <w:t>0.287</w:t>
            </w:r>
          </w:p>
        </w:tc>
        <w:tc>
          <w:tcPr>
            <w:tcW w:type="dxa" w:w="1440"/>
          </w:tcPr>
          <w:p>
            <w:pPr>
              <w:spacing w:line="240" w:lineRule="auto" w:before="0" w:after="0"/>
              <w:jc w:val="center"/>
            </w:pPr>
            <w:r>
              <w:rPr>
                <w:rFonts w:ascii="Times New Roman" w:hAnsi="Times New Roman" w:eastAsia="宋体"/>
                <w:b w:val="0"/>
                <w:sz w:val="21"/>
              </w:rPr>
              <w:t>第二梯队</w:t>
            </w:r>
          </w:p>
        </w:tc>
        <w:tc>
          <w:tcPr>
            <w:tcW w:type="dxa" w:w="1440"/>
          </w:tcPr>
          <w:p>
            <w:pPr>
              <w:spacing w:line="240" w:lineRule="auto" w:before="0" w:after="0"/>
              <w:jc w:val="center"/>
            </w:pPr>
            <w:r>
              <w:rPr>
                <w:rFonts w:ascii="Times New Roman" w:hAnsi="Times New Roman" w:eastAsia="宋体"/>
                <w:b w:val="0"/>
                <w:sz w:val="21"/>
              </w:rPr>
              <w:t>西部</w:t>
            </w:r>
          </w:p>
        </w:tc>
        <w:tc>
          <w:tcPr>
            <w:tcW w:type="dxa" w:w="1440"/>
          </w:tcPr>
          <w:p>
            <w:pPr>
              <w:spacing w:line="240" w:lineRule="auto" w:before="0" w:after="0"/>
              <w:jc w:val="center"/>
            </w:pPr>
            <w:r>
              <w:rPr>
                <w:rFonts w:ascii="Times New Roman" w:hAnsi="Times New Roman" w:eastAsia="宋体"/>
                <w:b w:val="0"/>
                <w:sz w:val="21"/>
              </w:rPr>
              <w:t>E1=0.65, E2=0.62, E3=0.58, E4=0.52, E5=0.55</w:t>
            </w:r>
          </w:p>
        </w:tc>
      </w:tr>
      <w:tr>
        <w:tc>
          <w:tcPr>
            <w:tcW w:type="dxa" w:w="1440"/>
          </w:tcPr>
          <w:p>
            <w:pPr>
              <w:spacing w:line="240" w:lineRule="auto" w:before="0" w:after="0"/>
              <w:jc w:val="center"/>
            </w:pPr>
            <w:r>
              <w:rPr>
                <w:rFonts w:ascii="Times New Roman" w:hAnsi="Times New Roman" w:eastAsia="宋体"/>
                <w:b w:val="0"/>
                <w:sz w:val="21"/>
              </w:rPr>
              <w:t>6</w:t>
            </w:r>
          </w:p>
        </w:tc>
        <w:tc>
          <w:tcPr>
            <w:tcW w:type="dxa" w:w="1440"/>
          </w:tcPr>
          <w:p>
            <w:pPr>
              <w:spacing w:line="240" w:lineRule="auto" w:before="0" w:after="0"/>
              <w:jc w:val="center"/>
            </w:pPr>
            <w:r>
              <w:rPr>
                <w:rFonts w:ascii="Times New Roman" w:hAnsi="Times New Roman" w:eastAsia="宋体"/>
                <w:b w:val="0"/>
                <w:sz w:val="21"/>
              </w:rPr>
              <w:t>湖北</w:t>
            </w:r>
          </w:p>
        </w:tc>
        <w:tc>
          <w:tcPr>
            <w:tcW w:type="dxa" w:w="1440"/>
          </w:tcPr>
          <w:p>
            <w:pPr>
              <w:spacing w:line="240" w:lineRule="auto" w:before="0" w:after="0"/>
              <w:jc w:val="center"/>
            </w:pPr>
            <w:r>
              <w:rPr>
                <w:rFonts w:ascii="Times New Roman" w:hAnsi="Times New Roman" w:eastAsia="宋体"/>
                <w:b w:val="0"/>
                <w:sz w:val="21"/>
              </w:rPr>
              <w:t>0.262</w:t>
            </w:r>
          </w:p>
        </w:tc>
        <w:tc>
          <w:tcPr>
            <w:tcW w:type="dxa" w:w="1440"/>
          </w:tcPr>
          <w:p>
            <w:pPr>
              <w:spacing w:line="240" w:lineRule="auto" w:before="0" w:after="0"/>
              <w:jc w:val="center"/>
            </w:pPr>
            <w:r>
              <w:rPr>
                <w:rFonts w:ascii="Times New Roman" w:hAnsi="Times New Roman" w:eastAsia="宋体"/>
                <w:b w:val="0"/>
                <w:sz w:val="21"/>
              </w:rPr>
              <w:t>第二梯队</w:t>
            </w:r>
          </w:p>
        </w:tc>
        <w:tc>
          <w:tcPr>
            <w:tcW w:type="dxa" w:w="1440"/>
          </w:tcPr>
          <w:p>
            <w:pPr>
              <w:spacing w:line="240" w:lineRule="auto" w:before="0" w:after="0"/>
              <w:jc w:val="center"/>
            </w:pPr>
            <w:r>
              <w:rPr>
                <w:rFonts w:ascii="Times New Roman" w:hAnsi="Times New Roman" w:eastAsia="宋体"/>
                <w:b w:val="0"/>
                <w:sz w:val="21"/>
              </w:rPr>
              <w:t>中部</w:t>
            </w:r>
          </w:p>
        </w:tc>
        <w:tc>
          <w:tcPr>
            <w:tcW w:type="dxa" w:w="1440"/>
          </w:tcPr>
          <w:p>
            <w:pPr>
              <w:spacing w:line="240" w:lineRule="auto" w:before="0" w:after="0"/>
              <w:jc w:val="center"/>
            </w:pPr>
            <w:r>
              <w:rPr>
                <w:rFonts w:ascii="Times New Roman" w:hAnsi="Times New Roman" w:eastAsia="宋体"/>
                <w:b w:val="0"/>
                <w:sz w:val="21"/>
              </w:rPr>
              <w:t>E1=0.62, E2=0.58, E3=0.55, E4=0.48, E5=0.52</w:t>
            </w:r>
          </w:p>
        </w:tc>
      </w:tr>
      <w:tr>
        <w:tc>
          <w:tcPr>
            <w:tcW w:type="dxa" w:w="1440"/>
          </w:tcPr>
          <w:p>
            <w:pPr>
              <w:spacing w:line="240" w:lineRule="auto" w:before="0" w:after="0"/>
              <w:jc w:val="center"/>
            </w:pPr>
            <w:r>
              <w:rPr>
                <w:rFonts w:ascii="Times New Roman" w:hAnsi="Times New Roman" w:eastAsia="宋体"/>
                <w:b w:val="0"/>
                <w:sz w:val="21"/>
              </w:rPr>
              <w:t>7</w:t>
            </w:r>
          </w:p>
        </w:tc>
        <w:tc>
          <w:tcPr>
            <w:tcW w:type="dxa" w:w="1440"/>
          </w:tcPr>
          <w:p>
            <w:pPr>
              <w:spacing w:line="240" w:lineRule="auto" w:before="0" w:after="0"/>
              <w:jc w:val="center"/>
            </w:pPr>
            <w:r>
              <w:rPr>
                <w:rFonts w:ascii="Times New Roman" w:hAnsi="Times New Roman" w:eastAsia="宋体"/>
                <w:b w:val="0"/>
                <w:sz w:val="21"/>
              </w:rPr>
              <w:t>贵州</w:t>
            </w:r>
          </w:p>
        </w:tc>
        <w:tc>
          <w:tcPr>
            <w:tcW w:type="dxa" w:w="1440"/>
          </w:tcPr>
          <w:p>
            <w:pPr>
              <w:spacing w:line="240" w:lineRule="auto" w:before="0" w:after="0"/>
              <w:jc w:val="center"/>
            </w:pPr>
            <w:r>
              <w:rPr>
                <w:rFonts w:ascii="Times New Roman" w:hAnsi="Times New Roman" w:eastAsia="宋体"/>
                <w:b w:val="0"/>
                <w:sz w:val="21"/>
              </w:rPr>
              <w:t>0.199</w:t>
            </w:r>
          </w:p>
        </w:tc>
        <w:tc>
          <w:tcPr>
            <w:tcW w:type="dxa" w:w="1440"/>
          </w:tcPr>
          <w:p>
            <w:pPr>
              <w:spacing w:line="240" w:lineRule="auto" w:before="0" w:after="0"/>
              <w:jc w:val="center"/>
            </w:pPr>
            <w:r>
              <w:rPr>
                <w:rFonts w:ascii="Times New Roman" w:hAnsi="Times New Roman" w:eastAsia="宋体"/>
                <w:b w:val="0"/>
                <w:sz w:val="21"/>
              </w:rPr>
              <w:t>第二梯队</w:t>
            </w:r>
          </w:p>
        </w:tc>
        <w:tc>
          <w:tcPr>
            <w:tcW w:type="dxa" w:w="1440"/>
          </w:tcPr>
          <w:p>
            <w:pPr>
              <w:spacing w:line="240" w:lineRule="auto" w:before="0" w:after="0"/>
              <w:jc w:val="center"/>
            </w:pPr>
            <w:r>
              <w:rPr>
                <w:rFonts w:ascii="Times New Roman" w:hAnsi="Times New Roman" w:eastAsia="宋体"/>
                <w:b w:val="0"/>
                <w:sz w:val="21"/>
              </w:rPr>
              <w:t>西部</w:t>
            </w:r>
          </w:p>
        </w:tc>
        <w:tc>
          <w:tcPr>
            <w:tcW w:type="dxa" w:w="1440"/>
          </w:tcPr>
          <w:p>
            <w:pPr>
              <w:spacing w:line="240" w:lineRule="auto" w:before="0" w:after="0"/>
              <w:jc w:val="center"/>
            </w:pPr>
            <w:r>
              <w:rPr>
                <w:rFonts w:ascii="Times New Roman" w:hAnsi="Times New Roman" w:eastAsia="宋体"/>
                <w:b w:val="0"/>
                <w:sz w:val="21"/>
              </w:rPr>
              <w:t>E1=0.55, E2=0.52, E3=0.48, E4=0.42, E5=0.45</w:t>
            </w:r>
          </w:p>
        </w:tc>
      </w:tr>
      <w:tr>
        <w:tc>
          <w:tcPr>
            <w:tcW w:type="dxa" w:w="1440"/>
          </w:tcPr>
          <w:p>
            <w:pPr>
              <w:spacing w:line="240" w:lineRule="auto" w:before="0" w:after="0"/>
              <w:jc w:val="center"/>
            </w:pPr>
            <w:r>
              <w:rPr>
                <w:rFonts w:ascii="Times New Roman" w:hAnsi="Times New Roman" w:eastAsia="宋体"/>
                <w:b w:val="0"/>
                <w:sz w:val="21"/>
              </w:rPr>
              <w:t>8</w:t>
            </w:r>
          </w:p>
        </w:tc>
        <w:tc>
          <w:tcPr>
            <w:tcW w:type="dxa" w:w="1440"/>
          </w:tcPr>
          <w:p>
            <w:pPr>
              <w:spacing w:line="240" w:lineRule="auto" w:before="0" w:after="0"/>
              <w:jc w:val="center"/>
            </w:pPr>
            <w:r>
              <w:rPr>
                <w:rFonts w:ascii="Times New Roman" w:hAnsi="Times New Roman" w:eastAsia="宋体"/>
                <w:b w:val="0"/>
                <w:sz w:val="21"/>
              </w:rPr>
              <w:t>上海</w:t>
            </w:r>
          </w:p>
        </w:tc>
        <w:tc>
          <w:tcPr>
            <w:tcW w:type="dxa" w:w="1440"/>
          </w:tcPr>
          <w:p>
            <w:pPr>
              <w:spacing w:line="240" w:lineRule="auto" w:before="0" w:after="0"/>
              <w:jc w:val="center"/>
            </w:pPr>
            <w:r>
              <w:rPr>
                <w:rFonts w:ascii="Times New Roman" w:hAnsi="Times New Roman" w:eastAsia="宋体"/>
                <w:b w:val="0"/>
                <w:sz w:val="21"/>
              </w:rPr>
              <w:t>0.199</w:t>
            </w:r>
          </w:p>
        </w:tc>
        <w:tc>
          <w:tcPr>
            <w:tcW w:type="dxa" w:w="1440"/>
          </w:tcPr>
          <w:p>
            <w:pPr>
              <w:spacing w:line="240" w:lineRule="auto" w:before="0" w:after="0"/>
              <w:jc w:val="center"/>
            </w:pPr>
            <w:r>
              <w:rPr>
                <w:rFonts w:ascii="Times New Roman" w:hAnsi="Times New Roman" w:eastAsia="宋体"/>
                <w:b w:val="0"/>
                <w:sz w:val="21"/>
              </w:rPr>
              <w:t>第二梯队</w:t>
            </w:r>
          </w:p>
        </w:tc>
        <w:tc>
          <w:tcPr>
            <w:tcW w:type="dxa" w:w="1440"/>
          </w:tcPr>
          <w:p>
            <w:pPr>
              <w:spacing w:line="240" w:lineRule="auto" w:before="0" w:after="0"/>
              <w:jc w:val="center"/>
            </w:pPr>
            <w:r>
              <w:rPr>
                <w:rFonts w:ascii="Times New Roman" w:hAnsi="Times New Roman" w:eastAsia="宋体"/>
                <w:b w:val="0"/>
                <w:sz w:val="21"/>
              </w:rPr>
              <w:t>东部</w:t>
            </w:r>
          </w:p>
        </w:tc>
        <w:tc>
          <w:tcPr>
            <w:tcW w:type="dxa" w:w="1440"/>
          </w:tcPr>
          <w:p>
            <w:pPr>
              <w:spacing w:line="240" w:lineRule="auto" w:before="0" w:after="0"/>
              <w:jc w:val="center"/>
            </w:pPr>
            <w:r>
              <w:rPr>
                <w:rFonts w:ascii="Times New Roman" w:hAnsi="Times New Roman" w:eastAsia="宋体"/>
                <w:b w:val="0"/>
                <w:sz w:val="21"/>
              </w:rPr>
              <w:t>E1=0.58, E2=0.55, E3=0.52, E4=0.45, E5=0.48</w:t>
            </w:r>
          </w:p>
        </w:tc>
      </w:tr>
      <w:tr>
        <w:tc>
          <w:tcPr>
            <w:tcW w:type="dxa" w:w="1440"/>
          </w:tcPr>
          <w:p>
            <w:pPr>
              <w:spacing w:line="240" w:lineRule="auto" w:before="0" w:after="0"/>
              <w:jc w:val="center"/>
            </w:pPr>
            <w:r>
              <w:rPr>
                <w:rFonts w:ascii="Times New Roman" w:hAnsi="Times New Roman" w:eastAsia="宋体"/>
                <w:b w:val="0"/>
                <w:sz w:val="21"/>
              </w:rPr>
              <w:t>9</w:t>
            </w:r>
          </w:p>
        </w:tc>
        <w:tc>
          <w:tcPr>
            <w:tcW w:type="dxa" w:w="1440"/>
          </w:tcPr>
          <w:p>
            <w:pPr>
              <w:spacing w:line="240" w:lineRule="auto" w:before="0" w:after="0"/>
              <w:jc w:val="center"/>
            </w:pPr>
            <w:r>
              <w:rPr>
                <w:rFonts w:ascii="Times New Roman" w:hAnsi="Times New Roman" w:eastAsia="宋体"/>
                <w:b w:val="0"/>
                <w:sz w:val="21"/>
              </w:rPr>
              <w:t>广西</w:t>
            </w:r>
          </w:p>
        </w:tc>
        <w:tc>
          <w:tcPr>
            <w:tcW w:type="dxa" w:w="1440"/>
          </w:tcPr>
          <w:p>
            <w:pPr>
              <w:spacing w:line="240" w:lineRule="auto" w:before="0" w:after="0"/>
              <w:jc w:val="center"/>
            </w:pPr>
            <w:r>
              <w:rPr>
                <w:rFonts w:ascii="Times New Roman" w:hAnsi="Times New Roman" w:eastAsia="宋体"/>
                <w:b w:val="0"/>
                <w:sz w:val="21"/>
              </w:rPr>
              <w:t>0.183</w:t>
            </w:r>
          </w:p>
        </w:tc>
        <w:tc>
          <w:tcPr>
            <w:tcW w:type="dxa" w:w="1440"/>
          </w:tcPr>
          <w:p>
            <w:pPr>
              <w:spacing w:line="240" w:lineRule="auto" w:before="0" w:after="0"/>
              <w:jc w:val="center"/>
            </w:pPr>
            <w:r>
              <w:rPr>
                <w:rFonts w:ascii="Times New Roman" w:hAnsi="Times New Roman" w:eastAsia="宋体"/>
                <w:b w:val="0"/>
                <w:sz w:val="21"/>
              </w:rPr>
              <w:t>第二梯队</w:t>
            </w:r>
          </w:p>
        </w:tc>
        <w:tc>
          <w:tcPr>
            <w:tcW w:type="dxa" w:w="1440"/>
          </w:tcPr>
          <w:p>
            <w:pPr>
              <w:spacing w:line="240" w:lineRule="auto" w:before="0" w:after="0"/>
              <w:jc w:val="center"/>
            </w:pPr>
            <w:r>
              <w:rPr>
                <w:rFonts w:ascii="Times New Roman" w:hAnsi="Times New Roman" w:eastAsia="宋体"/>
                <w:b w:val="0"/>
                <w:sz w:val="21"/>
              </w:rPr>
              <w:t>西部</w:t>
            </w:r>
          </w:p>
        </w:tc>
        <w:tc>
          <w:tcPr>
            <w:tcW w:type="dxa" w:w="1440"/>
          </w:tcPr>
          <w:p>
            <w:pPr>
              <w:spacing w:line="240" w:lineRule="auto" w:before="0" w:after="0"/>
              <w:jc w:val="center"/>
            </w:pPr>
            <w:r>
              <w:rPr>
                <w:rFonts w:ascii="Times New Roman" w:hAnsi="Times New Roman" w:eastAsia="宋体"/>
                <w:b w:val="0"/>
                <w:sz w:val="21"/>
              </w:rPr>
              <w:t>E1=0.52, E2=0.48, E3=0.45, E4=0.40, E5=0.42</w:t>
            </w:r>
          </w:p>
        </w:tc>
      </w:tr>
      <w:tr>
        <w:tc>
          <w:tcPr>
            <w:tcW w:type="dxa" w:w="1440"/>
          </w:tcPr>
          <w:p>
            <w:pPr>
              <w:spacing w:line="240" w:lineRule="auto" w:before="0" w:after="0"/>
              <w:jc w:val="center"/>
            </w:pPr>
            <w:r>
              <w:rPr>
                <w:rFonts w:ascii="Times New Roman" w:hAnsi="Times New Roman" w:eastAsia="宋体"/>
                <w:b w:val="0"/>
                <w:sz w:val="21"/>
              </w:rPr>
              <w:t>10</w:t>
            </w:r>
          </w:p>
        </w:tc>
        <w:tc>
          <w:tcPr>
            <w:tcW w:type="dxa" w:w="1440"/>
          </w:tcPr>
          <w:p>
            <w:pPr>
              <w:spacing w:line="240" w:lineRule="auto" w:before="0" w:after="0"/>
              <w:jc w:val="center"/>
            </w:pPr>
            <w:r>
              <w:rPr>
                <w:rFonts w:ascii="Times New Roman" w:hAnsi="Times New Roman" w:eastAsia="宋体"/>
                <w:b w:val="0"/>
                <w:sz w:val="21"/>
              </w:rPr>
              <w:t>四川</w:t>
            </w:r>
          </w:p>
        </w:tc>
        <w:tc>
          <w:tcPr>
            <w:tcW w:type="dxa" w:w="1440"/>
          </w:tcPr>
          <w:p>
            <w:pPr>
              <w:spacing w:line="240" w:lineRule="auto" w:before="0" w:after="0"/>
              <w:jc w:val="center"/>
            </w:pPr>
            <w:r>
              <w:rPr>
                <w:rFonts w:ascii="Times New Roman" w:hAnsi="Times New Roman" w:eastAsia="宋体"/>
                <w:b w:val="0"/>
                <w:sz w:val="21"/>
              </w:rPr>
              <w:t>0.181</w:t>
            </w:r>
          </w:p>
        </w:tc>
        <w:tc>
          <w:tcPr>
            <w:tcW w:type="dxa" w:w="1440"/>
          </w:tcPr>
          <w:p>
            <w:pPr>
              <w:spacing w:line="240" w:lineRule="auto" w:before="0" w:after="0"/>
              <w:jc w:val="center"/>
            </w:pPr>
            <w:r>
              <w:rPr>
                <w:rFonts w:ascii="Times New Roman" w:hAnsi="Times New Roman" w:eastAsia="宋体"/>
                <w:b w:val="0"/>
                <w:sz w:val="21"/>
              </w:rPr>
              <w:t>第二梯队</w:t>
            </w:r>
          </w:p>
        </w:tc>
        <w:tc>
          <w:tcPr>
            <w:tcW w:type="dxa" w:w="1440"/>
          </w:tcPr>
          <w:p>
            <w:pPr>
              <w:spacing w:line="240" w:lineRule="auto" w:before="0" w:after="0"/>
              <w:jc w:val="center"/>
            </w:pPr>
            <w:r>
              <w:rPr>
                <w:rFonts w:ascii="Times New Roman" w:hAnsi="Times New Roman" w:eastAsia="宋体"/>
                <w:b w:val="0"/>
                <w:sz w:val="21"/>
              </w:rPr>
              <w:t>西部</w:t>
            </w:r>
          </w:p>
        </w:tc>
        <w:tc>
          <w:tcPr>
            <w:tcW w:type="dxa" w:w="1440"/>
          </w:tcPr>
          <w:p>
            <w:pPr>
              <w:spacing w:line="240" w:lineRule="auto" w:before="0" w:after="0"/>
              <w:jc w:val="center"/>
            </w:pPr>
            <w:r>
              <w:rPr>
                <w:rFonts w:ascii="Times New Roman" w:hAnsi="Times New Roman" w:eastAsia="宋体"/>
                <w:b w:val="0"/>
                <w:sz w:val="21"/>
              </w:rPr>
              <w:t>E1=0.50, E2=0.48, E3=0.45, E4=0.42, E5=0.40</w:t>
            </w:r>
          </w:p>
        </w:tc>
      </w:tr>
      <w:tr>
        <w:tc>
          <w:tcPr>
            <w:tcW w:type="dxa" w:w="1440"/>
          </w:tcPr>
          <w:p>
            <w:pPr>
              <w:spacing w:line="240" w:lineRule="auto" w:before="0" w:after="0"/>
              <w:jc w:val="center"/>
            </w:pPr>
            <w:r>
              <w:rPr>
                <w:rFonts w:ascii="Times New Roman" w:hAnsi="Times New Roman" w:eastAsia="宋体"/>
                <w:b w:val="0"/>
                <w:sz w:val="21"/>
              </w:rPr>
              <w:t>11</w:t>
            </w:r>
          </w:p>
        </w:tc>
        <w:tc>
          <w:tcPr>
            <w:tcW w:type="dxa" w:w="1440"/>
          </w:tcPr>
          <w:p>
            <w:pPr>
              <w:spacing w:line="240" w:lineRule="auto" w:before="0" w:after="0"/>
              <w:jc w:val="center"/>
            </w:pPr>
            <w:r>
              <w:rPr>
                <w:rFonts w:ascii="Times New Roman" w:hAnsi="Times New Roman" w:eastAsia="宋体"/>
                <w:b w:val="0"/>
                <w:sz w:val="21"/>
              </w:rPr>
              <w:t>北京</w:t>
            </w:r>
          </w:p>
        </w:tc>
        <w:tc>
          <w:tcPr>
            <w:tcW w:type="dxa" w:w="1440"/>
          </w:tcPr>
          <w:p>
            <w:pPr>
              <w:spacing w:line="240" w:lineRule="auto" w:before="0" w:after="0"/>
              <w:jc w:val="center"/>
            </w:pPr>
            <w:r>
              <w:rPr>
                <w:rFonts w:ascii="Times New Roman" w:hAnsi="Times New Roman" w:eastAsia="宋体"/>
                <w:b w:val="0"/>
                <w:sz w:val="21"/>
              </w:rPr>
              <w:t>0.181</w:t>
            </w:r>
          </w:p>
        </w:tc>
        <w:tc>
          <w:tcPr>
            <w:tcW w:type="dxa" w:w="1440"/>
          </w:tcPr>
          <w:p>
            <w:pPr>
              <w:spacing w:line="240" w:lineRule="auto" w:before="0" w:after="0"/>
              <w:jc w:val="center"/>
            </w:pPr>
            <w:r>
              <w:rPr>
                <w:rFonts w:ascii="Times New Roman" w:hAnsi="Times New Roman" w:eastAsia="宋体"/>
                <w:b w:val="0"/>
                <w:sz w:val="21"/>
              </w:rPr>
              <w:t>第二梯队</w:t>
            </w:r>
          </w:p>
        </w:tc>
        <w:tc>
          <w:tcPr>
            <w:tcW w:type="dxa" w:w="1440"/>
          </w:tcPr>
          <w:p>
            <w:pPr>
              <w:spacing w:line="240" w:lineRule="auto" w:before="0" w:after="0"/>
              <w:jc w:val="center"/>
            </w:pPr>
            <w:r>
              <w:rPr>
                <w:rFonts w:ascii="Times New Roman" w:hAnsi="Times New Roman" w:eastAsia="宋体"/>
                <w:b w:val="0"/>
                <w:sz w:val="21"/>
              </w:rPr>
              <w:t>东部</w:t>
            </w:r>
          </w:p>
        </w:tc>
        <w:tc>
          <w:tcPr>
            <w:tcW w:type="dxa" w:w="1440"/>
          </w:tcPr>
          <w:p>
            <w:pPr>
              <w:spacing w:line="240" w:lineRule="auto" w:before="0" w:after="0"/>
              <w:jc w:val="center"/>
            </w:pPr>
            <w:r>
              <w:rPr>
                <w:rFonts w:ascii="Times New Roman" w:hAnsi="Times New Roman" w:eastAsia="宋体"/>
                <w:b w:val="0"/>
                <w:sz w:val="21"/>
              </w:rPr>
              <w:t>E1=0.52, E2=0.50, E3=0.48, E4=0.40, E5=0.42</w:t>
            </w:r>
          </w:p>
        </w:tc>
      </w:tr>
      <w:tr>
        <w:tc>
          <w:tcPr>
            <w:tcW w:type="dxa" w:w="1440"/>
          </w:tcPr>
          <w:p>
            <w:pPr>
              <w:spacing w:line="240" w:lineRule="auto" w:before="0" w:after="0"/>
              <w:jc w:val="center"/>
            </w:pPr>
            <w:r>
              <w:rPr>
                <w:rFonts w:ascii="Times New Roman" w:hAnsi="Times New Roman" w:eastAsia="宋体"/>
                <w:b w:val="0"/>
                <w:sz w:val="21"/>
              </w:rPr>
              <w:t>12</w:t>
            </w:r>
          </w:p>
        </w:tc>
        <w:tc>
          <w:tcPr>
            <w:tcW w:type="dxa" w:w="1440"/>
          </w:tcPr>
          <w:p>
            <w:pPr>
              <w:spacing w:line="240" w:lineRule="auto" w:before="0" w:after="0"/>
              <w:jc w:val="center"/>
            </w:pPr>
            <w:r>
              <w:rPr>
                <w:rFonts w:ascii="Times New Roman" w:hAnsi="Times New Roman" w:eastAsia="宋体"/>
                <w:b w:val="0"/>
                <w:sz w:val="21"/>
              </w:rPr>
              <w:t>福建</w:t>
            </w:r>
          </w:p>
        </w:tc>
        <w:tc>
          <w:tcPr>
            <w:tcW w:type="dxa" w:w="1440"/>
          </w:tcPr>
          <w:p>
            <w:pPr>
              <w:spacing w:line="240" w:lineRule="auto" w:before="0" w:after="0"/>
              <w:jc w:val="center"/>
            </w:pPr>
            <w:r>
              <w:rPr>
                <w:rFonts w:ascii="Times New Roman" w:hAnsi="Times New Roman" w:eastAsia="宋体"/>
                <w:b w:val="0"/>
                <w:sz w:val="21"/>
              </w:rPr>
              <w:t>0.178</w:t>
            </w:r>
          </w:p>
        </w:tc>
        <w:tc>
          <w:tcPr>
            <w:tcW w:type="dxa" w:w="1440"/>
          </w:tcPr>
          <w:p>
            <w:pPr>
              <w:spacing w:line="240" w:lineRule="auto" w:before="0" w:after="0"/>
              <w:jc w:val="center"/>
            </w:pPr>
            <w:r>
              <w:rPr>
                <w:rFonts w:ascii="Times New Roman" w:hAnsi="Times New Roman" w:eastAsia="宋体"/>
                <w:b w:val="0"/>
                <w:sz w:val="21"/>
              </w:rPr>
              <w:t>第二梯队</w:t>
            </w:r>
          </w:p>
        </w:tc>
        <w:tc>
          <w:tcPr>
            <w:tcW w:type="dxa" w:w="1440"/>
          </w:tcPr>
          <w:p>
            <w:pPr>
              <w:spacing w:line="240" w:lineRule="auto" w:before="0" w:after="0"/>
              <w:jc w:val="center"/>
            </w:pPr>
            <w:r>
              <w:rPr>
                <w:rFonts w:ascii="Times New Roman" w:hAnsi="Times New Roman" w:eastAsia="宋体"/>
                <w:b w:val="0"/>
                <w:sz w:val="21"/>
              </w:rPr>
              <w:t>东部</w:t>
            </w:r>
          </w:p>
        </w:tc>
        <w:tc>
          <w:tcPr>
            <w:tcW w:type="dxa" w:w="1440"/>
          </w:tcPr>
          <w:p>
            <w:pPr>
              <w:spacing w:line="240" w:lineRule="auto" w:before="0" w:after="0"/>
              <w:jc w:val="center"/>
            </w:pPr>
            <w:r>
              <w:rPr>
                <w:rFonts w:ascii="Times New Roman" w:hAnsi="Times New Roman" w:eastAsia="宋体"/>
                <w:b w:val="0"/>
                <w:sz w:val="21"/>
              </w:rPr>
              <w:t>E1=0.48, E2=0.45, E3=0.42, E4=0.38, E5=0.40</w:t>
            </w:r>
          </w:p>
        </w:tc>
      </w:tr>
      <w:tr>
        <w:tc>
          <w:tcPr>
            <w:tcW w:type="dxa" w:w="1440"/>
          </w:tcPr>
          <w:p>
            <w:pPr>
              <w:spacing w:line="240" w:lineRule="auto" w:before="0" w:after="0"/>
              <w:jc w:val="center"/>
            </w:pPr>
            <w:r>
              <w:rPr>
                <w:rFonts w:ascii="Times New Roman" w:hAnsi="Times New Roman" w:eastAsia="宋体"/>
                <w:b w:val="0"/>
                <w:sz w:val="21"/>
              </w:rPr>
              <w:t>13</w:t>
            </w:r>
          </w:p>
        </w:tc>
        <w:tc>
          <w:tcPr>
            <w:tcW w:type="dxa" w:w="1440"/>
          </w:tcPr>
          <w:p>
            <w:pPr>
              <w:spacing w:line="240" w:lineRule="auto" w:before="0" w:after="0"/>
              <w:jc w:val="center"/>
            </w:pPr>
            <w:r>
              <w:rPr>
                <w:rFonts w:ascii="Times New Roman" w:hAnsi="Times New Roman" w:eastAsia="宋体"/>
                <w:b w:val="0"/>
                <w:sz w:val="21"/>
              </w:rPr>
              <w:t>辽宁</w:t>
            </w:r>
          </w:p>
        </w:tc>
        <w:tc>
          <w:tcPr>
            <w:tcW w:type="dxa" w:w="1440"/>
          </w:tcPr>
          <w:p>
            <w:pPr>
              <w:spacing w:line="240" w:lineRule="auto" w:before="0" w:after="0"/>
              <w:jc w:val="center"/>
            </w:pPr>
            <w:r>
              <w:rPr>
                <w:rFonts w:ascii="Times New Roman" w:hAnsi="Times New Roman" w:eastAsia="宋体"/>
                <w:b w:val="0"/>
                <w:sz w:val="21"/>
              </w:rPr>
              <w:t>0.178</w:t>
            </w:r>
          </w:p>
        </w:tc>
        <w:tc>
          <w:tcPr>
            <w:tcW w:type="dxa" w:w="1440"/>
          </w:tcPr>
          <w:p>
            <w:pPr>
              <w:spacing w:line="240" w:lineRule="auto" w:before="0" w:after="0"/>
              <w:jc w:val="center"/>
            </w:pPr>
            <w:r>
              <w:rPr>
                <w:rFonts w:ascii="Times New Roman" w:hAnsi="Times New Roman" w:eastAsia="宋体"/>
                <w:b w:val="0"/>
                <w:sz w:val="21"/>
              </w:rPr>
              <w:t>第二梯队</w:t>
            </w:r>
          </w:p>
        </w:tc>
        <w:tc>
          <w:tcPr>
            <w:tcW w:type="dxa" w:w="1440"/>
          </w:tcPr>
          <w:p>
            <w:pPr>
              <w:spacing w:line="240" w:lineRule="auto" w:before="0" w:after="0"/>
              <w:jc w:val="center"/>
            </w:pPr>
            <w:r>
              <w:rPr>
                <w:rFonts w:ascii="Times New Roman" w:hAnsi="Times New Roman" w:eastAsia="宋体"/>
                <w:b w:val="0"/>
                <w:sz w:val="21"/>
              </w:rPr>
              <w:t>东北</w:t>
            </w:r>
          </w:p>
        </w:tc>
        <w:tc>
          <w:tcPr>
            <w:tcW w:type="dxa" w:w="1440"/>
          </w:tcPr>
          <w:p>
            <w:pPr>
              <w:spacing w:line="240" w:lineRule="auto" w:before="0" w:after="0"/>
              <w:jc w:val="center"/>
            </w:pPr>
            <w:r>
              <w:rPr>
                <w:rFonts w:ascii="Times New Roman" w:hAnsi="Times New Roman" w:eastAsia="宋体"/>
                <w:b w:val="0"/>
                <w:sz w:val="21"/>
              </w:rPr>
              <w:t>E1=0.50, E2=0.45, E3=0.42, E4=0.38, E5=0.40</w:t>
            </w:r>
          </w:p>
        </w:tc>
      </w:tr>
      <w:tr>
        <w:tc>
          <w:tcPr>
            <w:tcW w:type="dxa" w:w="1440"/>
          </w:tcPr>
          <w:p>
            <w:pPr>
              <w:spacing w:line="240" w:lineRule="auto" w:before="0" w:after="0"/>
              <w:jc w:val="center"/>
            </w:pPr>
            <w:r>
              <w:rPr>
                <w:rFonts w:ascii="Times New Roman" w:hAnsi="Times New Roman" w:eastAsia="宋体"/>
                <w:b w:val="0"/>
                <w:sz w:val="21"/>
              </w:rPr>
              <w:t>14</w:t>
            </w:r>
          </w:p>
        </w:tc>
        <w:tc>
          <w:tcPr>
            <w:tcW w:type="dxa" w:w="1440"/>
          </w:tcPr>
          <w:p>
            <w:pPr>
              <w:spacing w:line="240" w:lineRule="auto" w:before="0" w:after="0"/>
              <w:jc w:val="center"/>
            </w:pPr>
            <w:r>
              <w:rPr>
                <w:rFonts w:ascii="Times New Roman" w:hAnsi="Times New Roman" w:eastAsia="宋体"/>
                <w:b w:val="0"/>
                <w:sz w:val="21"/>
              </w:rPr>
              <w:t>江苏</w:t>
            </w:r>
          </w:p>
        </w:tc>
        <w:tc>
          <w:tcPr>
            <w:tcW w:type="dxa" w:w="1440"/>
          </w:tcPr>
          <w:p>
            <w:pPr>
              <w:spacing w:line="240" w:lineRule="auto" w:before="0" w:after="0"/>
              <w:jc w:val="center"/>
            </w:pPr>
            <w:r>
              <w:rPr>
                <w:rFonts w:ascii="Times New Roman" w:hAnsi="Times New Roman" w:eastAsia="宋体"/>
                <w:b w:val="0"/>
                <w:sz w:val="21"/>
              </w:rPr>
              <w:t>0.172</w:t>
            </w:r>
          </w:p>
        </w:tc>
        <w:tc>
          <w:tcPr>
            <w:tcW w:type="dxa" w:w="1440"/>
          </w:tcPr>
          <w:p>
            <w:pPr>
              <w:spacing w:line="240" w:lineRule="auto" w:before="0" w:after="0"/>
              <w:jc w:val="center"/>
            </w:pPr>
            <w:r>
              <w:rPr>
                <w:rFonts w:ascii="Times New Roman" w:hAnsi="Times New Roman" w:eastAsia="宋体"/>
                <w:b w:val="0"/>
                <w:sz w:val="21"/>
              </w:rPr>
              <w:t>第三梯队</w:t>
            </w:r>
          </w:p>
        </w:tc>
        <w:tc>
          <w:tcPr>
            <w:tcW w:type="dxa" w:w="1440"/>
          </w:tcPr>
          <w:p>
            <w:pPr>
              <w:spacing w:line="240" w:lineRule="auto" w:before="0" w:after="0"/>
              <w:jc w:val="center"/>
            </w:pPr>
            <w:r>
              <w:rPr>
                <w:rFonts w:ascii="Times New Roman" w:hAnsi="Times New Roman" w:eastAsia="宋体"/>
                <w:b w:val="0"/>
                <w:sz w:val="21"/>
              </w:rPr>
              <w:t>东部</w:t>
            </w:r>
          </w:p>
        </w:tc>
        <w:tc>
          <w:tcPr>
            <w:tcW w:type="dxa" w:w="1440"/>
          </w:tcPr>
          <w:p>
            <w:pPr>
              <w:spacing w:line="240" w:lineRule="auto" w:before="0" w:after="0"/>
              <w:jc w:val="center"/>
            </w:pPr>
            <w:r>
              <w:rPr>
                <w:rFonts w:ascii="Times New Roman" w:hAnsi="Times New Roman" w:eastAsia="宋体"/>
                <w:b w:val="0"/>
                <w:sz w:val="21"/>
              </w:rPr>
              <w:t>E1=0.45, E2=0.42, E3=0.40, E4=0.35, E5=0.38</w:t>
            </w:r>
          </w:p>
        </w:tc>
      </w:tr>
      <w:tr>
        <w:tc>
          <w:tcPr>
            <w:tcW w:type="dxa" w:w="1440"/>
          </w:tcPr>
          <w:p>
            <w:pPr>
              <w:spacing w:line="240" w:lineRule="auto" w:before="0" w:after="0"/>
              <w:jc w:val="center"/>
            </w:pPr>
            <w:r>
              <w:rPr>
                <w:rFonts w:ascii="Times New Roman" w:hAnsi="Times New Roman" w:eastAsia="宋体"/>
                <w:b w:val="0"/>
                <w:sz w:val="21"/>
              </w:rPr>
              <w:t>15</w:t>
            </w:r>
          </w:p>
        </w:tc>
        <w:tc>
          <w:tcPr>
            <w:tcW w:type="dxa" w:w="1440"/>
          </w:tcPr>
          <w:p>
            <w:pPr>
              <w:spacing w:line="240" w:lineRule="auto" w:before="0" w:after="0"/>
              <w:jc w:val="center"/>
            </w:pPr>
            <w:r>
              <w:rPr>
                <w:rFonts w:ascii="Times New Roman" w:hAnsi="Times New Roman" w:eastAsia="宋体"/>
                <w:b w:val="0"/>
                <w:sz w:val="21"/>
              </w:rPr>
              <w:t>湖南</w:t>
            </w:r>
          </w:p>
        </w:tc>
        <w:tc>
          <w:tcPr>
            <w:tcW w:type="dxa" w:w="1440"/>
          </w:tcPr>
          <w:p>
            <w:pPr>
              <w:spacing w:line="240" w:lineRule="auto" w:before="0" w:after="0"/>
              <w:jc w:val="center"/>
            </w:pPr>
            <w:r>
              <w:rPr>
                <w:rFonts w:ascii="Times New Roman" w:hAnsi="Times New Roman" w:eastAsia="宋体"/>
                <w:b w:val="0"/>
                <w:sz w:val="21"/>
              </w:rPr>
              <w:t>0.172</w:t>
            </w:r>
          </w:p>
        </w:tc>
        <w:tc>
          <w:tcPr>
            <w:tcW w:type="dxa" w:w="1440"/>
          </w:tcPr>
          <w:p>
            <w:pPr>
              <w:spacing w:line="240" w:lineRule="auto" w:before="0" w:after="0"/>
              <w:jc w:val="center"/>
            </w:pPr>
            <w:r>
              <w:rPr>
                <w:rFonts w:ascii="Times New Roman" w:hAnsi="Times New Roman" w:eastAsia="宋体"/>
                <w:b w:val="0"/>
                <w:sz w:val="21"/>
              </w:rPr>
              <w:t>第三梯队</w:t>
            </w:r>
          </w:p>
        </w:tc>
        <w:tc>
          <w:tcPr>
            <w:tcW w:type="dxa" w:w="1440"/>
          </w:tcPr>
          <w:p>
            <w:pPr>
              <w:spacing w:line="240" w:lineRule="auto" w:before="0" w:after="0"/>
              <w:jc w:val="center"/>
            </w:pPr>
            <w:r>
              <w:rPr>
                <w:rFonts w:ascii="Times New Roman" w:hAnsi="Times New Roman" w:eastAsia="宋体"/>
                <w:b w:val="0"/>
                <w:sz w:val="21"/>
              </w:rPr>
              <w:t>中部</w:t>
            </w:r>
          </w:p>
        </w:tc>
        <w:tc>
          <w:tcPr>
            <w:tcW w:type="dxa" w:w="1440"/>
          </w:tcPr>
          <w:p>
            <w:pPr>
              <w:spacing w:line="240" w:lineRule="auto" w:before="0" w:after="0"/>
              <w:jc w:val="center"/>
            </w:pPr>
            <w:r>
              <w:rPr>
                <w:rFonts w:ascii="Times New Roman" w:hAnsi="Times New Roman" w:eastAsia="宋体"/>
                <w:b w:val="0"/>
                <w:sz w:val="21"/>
              </w:rPr>
              <w:t>E1=0.42, E2=0.40, E3=0.38, E4=0.35, E5=0.35</w:t>
            </w:r>
          </w:p>
        </w:tc>
      </w:tr>
      <w:tr>
        <w:tc>
          <w:tcPr>
            <w:tcW w:type="dxa" w:w="1440"/>
          </w:tcPr>
          <w:p>
            <w:pPr>
              <w:spacing w:line="240" w:lineRule="auto" w:before="0" w:after="0"/>
              <w:jc w:val="center"/>
            </w:pPr>
            <w:r>
              <w:rPr>
                <w:rFonts w:ascii="Times New Roman" w:hAnsi="Times New Roman" w:eastAsia="宋体"/>
                <w:b w:val="0"/>
                <w:sz w:val="21"/>
              </w:rPr>
              <w:t>16</w:t>
            </w:r>
          </w:p>
        </w:tc>
        <w:tc>
          <w:tcPr>
            <w:tcW w:type="dxa" w:w="1440"/>
          </w:tcPr>
          <w:p>
            <w:pPr>
              <w:spacing w:line="240" w:lineRule="auto" w:before="0" w:after="0"/>
              <w:jc w:val="center"/>
            </w:pPr>
            <w:r>
              <w:rPr>
                <w:rFonts w:ascii="Times New Roman" w:hAnsi="Times New Roman" w:eastAsia="宋体"/>
                <w:b w:val="0"/>
                <w:sz w:val="21"/>
              </w:rPr>
              <w:t>江西</w:t>
            </w:r>
          </w:p>
        </w:tc>
        <w:tc>
          <w:tcPr>
            <w:tcW w:type="dxa" w:w="1440"/>
          </w:tcPr>
          <w:p>
            <w:pPr>
              <w:spacing w:line="240" w:lineRule="auto" w:before="0" w:after="0"/>
              <w:jc w:val="center"/>
            </w:pPr>
            <w:r>
              <w:rPr>
                <w:rFonts w:ascii="Times New Roman" w:hAnsi="Times New Roman" w:eastAsia="宋体"/>
                <w:b w:val="0"/>
                <w:sz w:val="21"/>
              </w:rPr>
              <w:t>0.171</w:t>
            </w:r>
          </w:p>
        </w:tc>
        <w:tc>
          <w:tcPr>
            <w:tcW w:type="dxa" w:w="1440"/>
          </w:tcPr>
          <w:p>
            <w:pPr>
              <w:spacing w:line="240" w:lineRule="auto" w:before="0" w:after="0"/>
              <w:jc w:val="center"/>
            </w:pPr>
            <w:r>
              <w:rPr>
                <w:rFonts w:ascii="Times New Roman" w:hAnsi="Times New Roman" w:eastAsia="宋体"/>
                <w:b w:val="0"/>
                <w:sz w:val="21"/>
              </w:rPr>
              <w:t>第三梯队</w:t>
            </w:r>
          </w:p>
        </w:tc>
        <w:tc>
          <w:tcPr>
            <w:tcW w:type="dxa" w:w="1440"/>
          </w:tcPr>
          <w:p>
            <w:pPr>
              <w:spacing w:line="240" w:lineRule="auto" w:before="0" w:after="0"/>
              <w:jc w:val="center"/>
            </w:pPr>
            <w:r>
              <w:rPr>
                <w:rFonts w:ascii="Times New Roman" w:hAnsi="Times New Roman" w:eastAsia="宋体"/>
                <w:b w:val="0"/>
                <w:sz w:val="21"/>
              </w:rPr>
              <w:t>中部</w:t>
            </w:r>
          </w:p>
        </w:tc>
        <w:tc>
          <w:tcPr>
            <w:tcW w:type="dxa" w:w="1440"/>
          </w:tcPr>
          <w:p>
            <w:pPr>
              <w:spacing w:line="240" w:lineRule="auto" w:before="0" w:after="0"/>
              <w:jc w:val="center"/>
            </w:pPr>
            <w:r>
              <w:rPr>
                <w:rFonts w:ascii="Times New Roman" w:hAnsi="Times New Roman" w:eastAsia="宋体"/>
                <w:b w:val="0"/>
                <w:sz w:val="21"/>
              </w:rPr>
              <w:t>E1=0.40, E2=0.38, E3=0.35, E4=0.32, E5=0.35</w:t>
            </w:r>
          </w:p>
        </w:tc>
      </w:tr>
      <w:tr>
        <w:tc>
          <w:tcPr>
            <w:tcW w:type="dxa" w:w="1440"/>
          </w:tcPr>
          <w:p>
            <w:pPr>
              <w:spacing w:line="240" w:lineRule="auto" w:before="0" w:after="0"/>
              <w:jc w:val="center"/>
            </w:pPr>
            <w:r>
              <w:rPr>
                <w:rFonts w:ascii="Times New Roman" w:hAnsi="Times New Roman" w:eastAsia="宋体"/>
                <w:b w:val="0"/>
                <w:sz w:val="21"/>
              </w:rPr>
              <w:t>17</w:t>
            </w:r>
          </w:p>
        </w:tc>
        <w:tc>
          <w:tcPr>
            <w:tcW w:type="dxa" w:w="1440"/>
          </w:tcPr>
          <w:p>
            <w:pPr>
              <w:spacing w:line="240" w:lineRule="auto" w:before="0" w:after="0"/>
              <w:jc w:val="center"/>
            </w:pPr>
            <w:r>
              <w:rPr>
                <w:rFonts w:ascii="Times New Roman" w:hAnsi="Times New Roman" w:eastAsia="宋体"/>
                <w:b w:val="0"/>
                <w:sz w:val="21"/>
              </w:rPr>
              <w:t>吉林</w:t>
            </w:r>
          </w:p>
        </w:tc>
        <w:tc>
          <w:tcPr>
            <w:tcW w:type="dxa" w:w="1440"/>
          </w:tcPr>
          <w:p>
            <w:pPr>
              <w:spacing w:line="240" w:lineRule="auto" w:before="0" w:after="0"/>
              <w:jc w:val="center"/>
            </w:pPr>
            <w:r>
              <w:rPr>
                <w:rFonts w:ascii="Times New Roman" w:hAnsi="Times New Roman" w:eastAsia="宋体"/>
                <w:b w:val="0"/>
                <w:sz w:val="21"/>
              </w:rPr>
              <w:t>0.171</w:t>
            </w:r>
          </w:p>
        </w:tc>
        <w:tc>
          <w:tcPr>
            <w:tcW w:type="dxa" w:w="1440"/>
          </w:tcPr>
          <w:p>
            <w:pPr>
              <w:spacing w:line="240" w:lineRule="auto" w:before="0" w:after="0"/>
              <w:jc w:val="center"/>
            </w:pPr>
            <w:r>
              <w:rPr>
                <w:rFonts w:ascii="Times New Roman" w:hAnsi="Times New Roman" w:eastAsia="宋体"/>
                <w:b w:val="0"/>
                <w:sz w:val="21"/>
              </w:rPr>
              <w:t>第三梯队</w:t>
            </w:r>
          </w:p>
        </w:tc>
        <w:tc>
          <w:tcPr>
            <w:tcW w:type="dxa" w:w="1440"/>
          </w:tcPr>
          <w:p>
            <w:pPr>
              <w:spacing w:line="240" w:lineRule="auto" w:before="0" w:after="0"/>
              <w:jc w:val="center"/>
            </w:pPr>
            <w:r>
              <w:rPr>
                <w:rFonts w:ascii="Times New Roman" w:hAnsi="Times New Roman" w:eastAsia="宋体"/>
                <w:b w:val="0"/>
                <w:sz w:val="21"/>
              </w:rPr>
              <w:t>东北</w:t>
            </w:r>
          </w:p>
        </w:tc>
        <w:tc>
          <w:tcPr>
            <w:tcW w:type="dxa" w:w="1440"/>
          </w:tcPr>
          <w:p>
            <w:pPr>
              <w:spacing w:line="240" w:lineRule="auto" w:before="0" w:after="0"/>
              <w:jc w:val="center"/>
            </w:pPr>
            <w:r>
              <w:rPr>
                <w:rFonts w:ascii="Times New Roman" w:hAnsi="Times New Roman" w:eastAsia="宋体"/>
                <w:b w:val="0"/>
                <w:sz w:val="21"/>
              </w:rPr>
              <w:t>E1=0.42, E2=0.38, E3=0.35, E4=0.32, E5=0.35</w:t>
            </w:r>
          </w:p>
        </w:tc>
      </w:tr>
      <w:tr>
        <w:tc>
          <w:tcPr>
            <w:tcW w:type="dxa" w:w="1440"/>
          </w:tcPr>
          <w:p>
            <w:pPr>
              <w:spacing w:line="240" w:lineRule="auto" w:before="0" w:after="0"/>
              <w:jc w:val="center"/>
            </w:pPr>
            <w:r>
              <w:rPr>
                <w:rFonts w:ascii="Times New Roman" w:hAnsi="Times New Roman" w:eastAsia="宋体"/>
                <w:b w:val="0"/>
                <w:sz w:val="21"/>
              </w:rPr>
              <w:t>18</w:t>
            </w:r>
          </w:p>
        </w:tc>
        <w:tc>
          <w:tcPr>
            <w:tcW w:type="dxa" w:w="1440"/>
          </w:tcPr>
          <w:p>
            <w:pPr>
              <w:spacing w:line="240" w:lineRule="auto" w:before="0" w:after="0"/>
              <w:jc w:val="center"/>
            </w:pPr>
            <w:r>
              <w:rPr>
                <w:rFonts w:ascii="Times New Roman" w:hAnsi="Times New Roman" w:eastAsia="宋体"/>
                <w:b w:val="0"/>
                <w:sz w:val="21"/>
              </w:rPr>
              <w:t>内蒙古</w:t>
            </w:r>
          </w:p>
        </w:tc>
        <w:tc>
          <w:tcPr>
            <w:tcW w:type="dxa" w:w="1440"/>
          </w:tcPr>
          <w:p>
            <w:pPr>
              <w:spacing w:line="240" w:lineRule="auto" w:before="0" w:after="0"/>
              <w:jc w:val="center"/>
            </w:pPr>
            <w:r>
              <w:rPr>
                <w:rFonts w:ascii="Times New Roman" w:hAnsi="Times New Roman" w:eastAsia="宋体"/>
                <w:b w:val="0"/>
                <w:sz w:val="21"/>
              </w:rPr>
              <w:t>0.171</w:t>
            </w:r>
          </w:p>
        </w:tc>
        <w:tc>
          <w:tcPr>
            <w:tcW w:type="dxa" w:w="1440"/>
          </w:tcPr>
          <w:p>
            <w:pPr>
              <w:spacing w:line="240" w:lineRule="auto" w:before="0" w:after="0"/>
              <w:jc w:val="center"/>
            </w:pPr>
            <w:r>
              <w:rPr>
                <w:rFonts w:ascii="Times New Roman" w:hAnsi="Times New Roman" w:eastAsia="宋体"/>
                <w:b w:val="0"/>
                <w:sz w:val="21"/>
              </w:rPr>
              <w:t>第三梯队</w:t>
            </w:r>
          </w:p>
        </w:tc>
        <w:tc>
          <w:tcPr>
            <w:tcW w:type="dxa" w:w="1440"/>
          </w:tcPr>
          <w:p>
            <w:pPr>
              <w:spacing w:line="240" w:lineRule="auto" w:before="0" w:after="0"/>
              <w:jc w:val="center"/>
            </w:pPr>
            <w:r>
              <w:rPr>
                <w:rFonts w:ascii="Times New Roman" w:hAnsi="Times New Roman" w:eastAsia="宋体"/>
                <w:b w:val="0"/>
                <w:sz w:val="21"/>
              </w:rPr>
              <w:t>中部</w:t>
            </w:r>
          </w:p>
        </w:tc>
        <w:tc>
          <w:tcPr>
            <w:tcW w:type="dxa" w:w="1440"/>
          </w:tcPr>
          <w:p>
            <w:pPr>
              <w:spacing w:line="240" w:lineRule="auto" w:before="0" w:after="0"/>
              <w:jc w:val="center"/>
            </w:pPr>
            <w:r>
              <w:rPr>
                <w:rFonts w:ascii="Times New Roman" w:hAnsi="Times New Roman" w:eastAsia="宋体"/>
                <w:b w:val="0"/>
                <w:sz w:val="21"/>
              </w:rPr>
              <w:t>E1=0.40, E2=0.38, E3=0.35, E4=0.32, E5=0.35</w:t>
            </w:r>
          </w:p>
        </w:tc>
      </w:tr>
      <w:tr>
        <w:tc>
          <w:tcPr>
            <w:tcW w:type="dxa" w:w="1440"/>
          </w:tcPr>
          <w:p>
            <w:pPr>
              <w:spacing w:line="240" w:lineRule="auto" w:before="0" w:after="0"/>
              <w:jc w:val="center"/>
            </w:pPr>
            <w:r>
              <w:rPr>
                <w:rFonts w:ascii="Times New Roman" w:hAnsi="Times New Roman" w:eastAsia="宋体"/>
                <w:b w:val="0"/>
                <w:sz w:val="21"/>
              </w:rPr>
              <w:t>19</w:t>
            </w:r>
          </w:p>
        </w:tc>
        <w:tc>
          <w:tcPr>
            <w:tcW w:type="dxa" w:w="1440"/>
          </w:tcPr>
          <w:p>
            <w:pPr>
              <w:spacing w:line="240" w:lineRule="auto" w:before="0" w:after="0"/>
              <w:jc w:val="center"/>
            </w:pPr>
            <w:r>
              <w:rPr>
                <w:rFonts w:ascii="Times New Roman" w:hAnsi="Times New Roman" w:eastAsia="宋体"/>
                <w:b w:val="0"/>
                <w:sz w:val="21"/>
              </w:rPr>
              <w:t>天津</w:t>
            </w:r>
          </w:p>
        </w:tc>
        <w:tc>
          <w:tcPr>
            <w:tcW w:type="dxa" w:w="1440"/>
          </w:tcPr>
          <w:p>
            <w:pPr>
              <w:spacing w:line="240" w:lineRule="auto" w:before="0" w:after="0"/>
              <w:jc w:val="center"/>
            </w:pPr>
            <w:r>
              <w:rPr>
                <w:rFonts w:ascii="Times New Roman" w:hAnsi="Times New Roman" w:eastAsia="宋体"/>
                <w:b w:val="0"/>
                <w:sz w:val="21"/>
              </w:rPr>
              <w:t>0.166</w:t>
            </w:r>
          </w:p>
        </w:tc>
        <w:tc>
          <w:tcPr>
            <w:tcW w:type="dxa" w:w="1440"/>
          </w:tcPr>
          <w:p>
            <w:pPr>
              <w:spacing w:line="240" w:lineRule="auto" w:before="0" w:after="0"/>
              <w:jc w:val="center"/>
            </w:pPr>
            <w:r>
              <w:rPr>
                <w:rFonts w:ascii="Times New Roman" w:hAnsi="Times New Roman" w:eastAsia="宋体"/>
                <w:b w:val="0"/>
                <w:sz w:val="21"/>
              </w:rPr>
              <w:t>第三梯队</w:t>
            </w:r>
          </w:p>
        </w:tc>
        <w:tc>
          <w:tcPr>
            <w:tcW w:type="dxa" w:w="1440"/>
          </w:tcPr>
          <w:p>
            <w:pPr>
              <w:spacing w:line="240" w:lineRule="auto" w:before="0" w:after="0"/>
              <w:jc w:val="center"/>
            </w:pPr>
            <w:r>
              <w:rPr>
                <w:rFonts w:ascii="Times New Roman" w:hAnsi="Times New Roman" w:eastAsia="宋体"/>
                <w:b w:val="0"/>
                <w:sz w:val="21"/>
              </w:rPr>
              <w:t>东部</w:t>
            </w:r>
          </w:p>
        </w:tc>
        <w:tc>
          <w:tcPr>
            <w:tcW w:type="dxa" w:w="1440"/>
          </w:tcPr>
          <w:p>
            <w:pPr>
              <w:spacing w:line="240" w:lineRule="auto" w:before="0" w:after="0"/>
              <w:jc w:val="center"/>
            </w:pPr>
            <w:r>
              <w:rPr>
                <w:rFonts w:ascii="Times New Roman" w:hAnsi="Times New Roman" w:eastAsia="宋体"/>
                <w:b w:val="0"/>
                <w:sz w:val="21"/>
              </w:rPr>
              <w:t>E1=0.38, E2=0.35, E3=0.32, E4=0.30, E5=0.32</w:t>
            </w:r>
          </w:p>
        </w:tc>
      </w:tr>
      <w:tr>
        <w:tc>
          <w:tcPr>
            <w:tcW w:type="dxa" w:w="1440"/>
          </w:tcPr>
          <w:p>
            <w:pPr>
              <w:spacing w:line="240" w:lineRule="auto" w:before="0" w:after="0"/>
              <w:jc w:val="center"/>
            </w:pPr>
            <w:r>
              <w:rPr>
                <w:rFonts w:ascii="Times New Roman" w:hAnsi="Times New Roman" w:eastAsia="宋体"/>
                <w:b w:val="0"/>
                <w:sz w:val="21"/>
              </w:rPr>
              <w:t>20</w:t>
            </w:r>
          </w:p>
        </w:tc>
        <w:tc>
          <w:tcPr>
            <w:tcW w:type="dxa" w:w="1440"/>
          </w:tcPr>
          <w:p>
            <w:pPr>
              <w:spacing w:line="240" w:lineRule="auto" w:before="0" w:after="0"/>
              <w:jc w:val="center"/>
            </w:pPr>
            <w:r>
              <w:rPr>
                <w:rFonts w:ascii="Times New Roman" w:hAnsi="Times New Roman" w:eastAsia="宋体"/>
                <w:b w:val="0"/>
                <w:sz w:val="21"/>
              </w:rPr>
              <w:t>河南</w:t>
            </w:r>
          </w:p>
        </w:tc>
        <w:tc>
          <w:tcPr>
            <w:tcW w:type="dxa" w:w="1440"/>
          </w:tcPr>
          <w:p>
            <w:pPr>
              <w:spacing w:line="240" w:lineRule="auto" w:before="0" w:after="0"/>
              <w:jc w:val="center"/>
            </w:pPr>
            <w:r>
              <w:rPr>
                <w:rFonts w:ascii="Times New Roman" w:hAnsi="Times New Roman" w:eastAsia="宋体"/>
                <w:b w:val="0"/>
                <w:sz w:val="21"/>
              </w:rPr>
              <w:t>0.083</w:t>
            </w:r>
          </w:p>
        </w:tc>
        <w:tc>
          <w:tcPr>
            <w:tcW w:type="dxa" w:w="1440"/>
          </w:tcPr>
          <w:p>
            <w:pPr>
              <w:spacing w:line="240" w:lineRule="auto" w:before="0" w:after="0"/>
              <w:jc w:val="center"/>
            </w:pPr>
            <w:r>
              <w:rPr>
                <w:rFonts w:ascii="Times New Roman" w:hAnsi="Times New Roman" w:eastAsia="宋体"/>
                <w:b w:val="0"/>
                <w:sz w:val="21"/>
              </w:rPr>
              <w:t>第三梯队</w:t>
            </w:r>
          </w:p>
        </w:tc>
        <w:tc>
          <w:tcPr>
            <w:tcW w:type="dxa" w:w="1440"/>
          </w:tcPr>
          <w:p>
            <w:pPr>
              <w:spacing w:line="240" w:lineRule="auto" w:before="0" w:after="0"/>
              <w:jc w:val="center"/>
            </w:pPr>
            <w:r>
              <w:rPr>
                <w:rFonts w:ascii="Times New Roman" w:hAnsi="Times New Roman" w:eastAsia="宋体"/>
                <w:b w:val="0"/>
                <w:sz w:val="21"/>
              </w:rPr>
              <w:t>中部</w:t>
            </w:r>
          </w:p>
        </w:tc>
        <w:tc>
          <w:tcPr>
            <w:tcW w:type="dxa" w:w="1440"/>
          </w:tcPr>
          <w:p>
            <w:pPr>
              <w:spacing w:line="240" w:lineRule="auto" w:before="0" w:after="0"/>
              <w:jc w:val="center"/>
            </w:pPr>
            <w:r>
              <w:rPr>
                <w:rFonts w:ascii="Times New Roman" w:hAnsi="Times New Roman" w:eastAsia="宋体"/>
                <w:b w:val="0"/>
                <w:sz w:val="21"/>
              </w:rPr>
              <w:t>E1=0.25, E2=0.22, E3=0.20, E4=0.18, E5=0.20</w:t>
            </w:r>
          </w:p>
        </w:tc>
      </w:tr>
      <w:tr>
        <w:tc>
          <w:tcPr>
            <w:tcW w:type="dxa" w:w="1440"/>
          </w:tcPr>
          <w:p>
            <w:pPr>
              <w:spacing w:line="240" w:lineRule="auto" w:before="0" w:after="0"/>
              <w:jc w:val="center"/>
            </w:pPr>
            <w:r>
              <w:rPr>
                <w:rFonts w:ascii="Times New Roman" w:hAnsi="Times New Roman" w:eastAsia="宋体"/>
                <w:b w:val="0"/>
                <w:sz w:val="21"/>
              </w:rPr>
              <w:t>21</w:t>
            </w:r>
          </w:p>
        </w:tc>
        <w:tc>
          <w:tcPr>
            <w:tcW w:type="dxa" w:w="1440"/>
          </w:tcPr>
          <w:p>
            <w:pPr>
              <w:spacing w:line="240" w:lineRule="auto" w:before="0" w:after="0"/>
              <w:jc w:val="center"/>
            </w:pPr>
            <w:r>
              <w:rPr>
                <w:rFonts w:ascii="Times New Roman" w:hAnsi="Times New Roman" w:eastAsia="宋体"/>
                <w:b w:val="0"/>
                <w:sz w:val="21"/>
              </w:rPr>
              <w:t>云南</w:t>
            </w:r>
          </w:p>
        </w:tc>
        <w:tc>
          <w:tcPr>
            <w:tcW w:type="dxa" w:w="1440"/>
          </w:tcPr>
          <w:p>
            <w:pPr>
              <w:spacing w:line="240" w:lineRule="auto" w:before="0" w:after="0"/>
              <w:jc w:val="center"/>
            </w:pPr>
            <w:r>
              <w:rPr>
                <w:rFonts w:ascii="Times New Roman" w:hAnsi="Times New Roman" w:eastAsia="宋体"/>
                <w:b w:val="0"/>
                <w:sz w:val="21"/>
              </w:rPr>
              <w:t>0.082</w:t>
            </w:r>
          </w:p>
        </w:tc>
        <w:tc>
          <w:tcPr>
            <w:tcW w:type="dxa" w:w="1440"/>
          </w:tcPr>
          <w:p>
            <w:pPr>
              <w:spacing w:line="240" w:lineRule="auto" w:before="0" w:after="0"/>
              <w:jc w:val="center"/>
            </w:pPr>
            <w:r>
              <w:rPr>
                <w:rFonts w:ascii="Times New Roman" w:hAnsi="Times New Roman" w:eastAsia="宋体"/>
                <w:b w:val="0"/>
                <w:sz w:val="21"/>
              </w:rPr>
              <w:t>第三梯队</w:t>
            </w:r>
          </w:p>
        </w:tc>
        <w:tc>
          <w:tcPr>
            <w:tcW w:type="dxa" w:w="1440"/>
          </w:tcPr>
          <w:p>
            <w:pPr>
              <w:spacing w:line="240" w:lineRule="auto" w:before="0" w:after="0"/>
              <w:jc w:val="center"/>
            </w:pPr>
            <w:r>
              <w:rPr>
                <w:rFonts w:ascii="Times New Roman" w:hAnsi="Times New Roman" w:eastAsia="宋体"/>
                <w:b w:val="0"/>
                <w:sz w:val="21"/>
              </w:rPr>
              <w:t>西部</w:t>
            </w:r>
          </w:p>
        </w:tc>
        <w:tc>
          <w:tcPr>
            <w:tcW w:type="dxa" w:w="1440"/>
          </w:tcPr>
          <w:p>
            <w:pPr>
              <w:spacing w:line="240" w:lineRule="auto" w:before="0" w:after="0"/>
              <w:jc w:val="center"/>
            </w:pPr>
            <w:r>
              <w:rPr>
                <w:rFonts w:ascii="Times New Roman" w:hAnsi="Times New Roman" w:eastAsia="宋体"/>
                <w:b w:val="0"/>
                <w:sz w:val="21"/>
              </w:rPr>
              <w:t>E1=0.22, E2=0.20, E3=0.18, E4=0.15, E5=0.18</w:t>
            </w:r>
          </w:p>
        </w:tc>
      </w:tr>
      <w:tr>
        <w:tc>
          <w:tcPr>
            <w:tcW w:type="dxa" w:w="1440"/>
          </w:tcPr>
          <w:p>
            <w:pPr>
              <w:spacing w:line="240" w:lineRule="auto" w:before="0" w:after="0"/>
              <w:jc w:val="center"/>
            </w:pPr>
            <w:r>
              <w:rPr>
                <w:rFonts w:ascii="Times New Roman" w:hAnsi="Times New Roman" w:eastAsia="宋体"/>
                <w:b w:val="0"/>
                <w:sz w:val="21"/>
              </w:rPr>
              <w:t>22</w:t>
            </w:r>
          </w:p>
        </w:tc>
        <w:tc>
          <w:tcPr>
            <w:tcW w:type="dxa" w:w="1440"/>
          </w:tcPr>
          <w:p>
            <w:pPr>
              <w:spacing w:line="240" w:lineRule="auto" w:before="0" w:after="0"/>
              <w:jc w:val="center"/>
            </w:pPr>
            <w:r>
              <w:rPr>
                <w:rFonts w:ascii="Times New Roman" w:hAnsi="Times New Roman" w:eastAsia="宋体"/>
                <w:b w:val="0"/>
                <w:sz w:val="21"/>
              </w:rPr>
              <w:t>山西</w:t>
            </w:r>
          </w:p>
        </w:tc>
        <w:tc>
          <w:tcPr>
            <w:tcW w:type="dxa" w:w="1440"/>
          </w:tcPr>
          <w:p>
            <w:pPr>
              <w:spacing w:line="240" w:lineRule="auto" w:before="0" w:after="0"/>
              <w:jc w:val="center"/>
            </w:pPr>
            <w:r>
              <w:rPr>
                <w:rFonts w:ascii="Times New Roman" w:hAnsi="Times New Roman" w:eastAsia="宋体"/>
                <w:b w:val="0"/>
                <w:sz w:val="21"/>
              </w:rPr>
              <w:t>0.000</w:t>
            </w:r>
          </w:p>
        </w:tc>
        <w:tc>
          <w:tcPr>
            <w:tcW w:type="dxa" w:w="1440"/>
          </w:tcPr>
          <w:p>
            <w:pPr>
              <w:spacing w:line="240" w:lineRule="auto" w:before="0" w:after="0"/>
              <w:jc w:val="center"/>
            </w:pPr>
            <w:r>
              <w:rPr>
                <w:rFonts w:ascii="Times New Roman" w:hAnsi="Times New Roman" w:eastAsia="宋体"/>
                <w:b w:val="0"/>
                <w:sz w:val="21"/>
              </w:rPr>
              <w:t>第三梯队</w:t>
            </w:r>
          </w:p>
        </w:tc>
        <w:tc>
          <w:tcPr>
            <w:tcW w:type="dxa" w:w="1440"/>
          </w:tcPr>
          <w:p>
            <w:pPr>
              <w:spacing w:line="240" w:lineRule="auto" w:before="0" w:after="0"/>
              <w:jc w:val="center"/>
            </w:pPr>
            <w:r>
              <w:rPr>
                <w:rFonts w:ascii="Times New Roman" w:hAnsi="Times New Roman" w:eastAsia="宋体"/>
                <w:b w:val="0"/>
                <w:sz w:val="21"/>
              </w:rPr>
              <w:t>中部</w:t>
            </w:r>
          </w:p>
        </w:tc>
        <w:tc>
          <w:tcPr>
            <w:tcW w:type="dxa" w:w="1440"/>
          </w:tcPr>
          <w:p>
            <w:pPr>
              <w:spacing w:line="240" w:lineRule="auto" w:before="0" w:after="0"/>
              <w:jc w:val="center"/>
            </w:pPr>
            <w:r>
              <w:rPr>
                <w:rFonts w:ascii="Times New Roman" w:hAnsi="Times New Roman" w:eastAsia="宋体"/>
                <w:b w:val="0"/>
                <w:sz w:val="21"/>
              </w:rPr>
              <w:t>E1=0.15, E2=0.12, E3=0.10, E4=0.08, E5=0.10</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Pro采集系统 + TOPSIS计算，2025年3月。E1-E5分别为供给保障、平台服务、数据质量、利用效果、公平性五个维度的标准化得分。</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从表4-1可以看出三个显著特征：</w:t>
      </w:r>
    </w:p>
    <w:p>
      <w:pPr>
        <w:spacing w:line="360" w:lineRule="auto" w:before="0" w:after="0"/>
        <w:ind w:firstLine="420"/>
        <w:jc w:val="both"/>
      </w:pPr>
      <w:r>
        <w:rPr>
          <w:rFonts w:ascii="Times New Roman" w:hAnsi="Times New Roman" w:eastAsia="宋体"/>
          <w:b w:val="0"/>
          <w:sz w:val="24"/>
        </w:rPr>
        <w:t>第一，</w:t>
      </w:r>
      <w:r>
        <w:rPr>
          <w:rFonts w:ascii="Times New Roman" w:hAnsi="Times New Roman" w:eastAsia="宋体"/>
          <w:b/>
          <w:sz w:val="24"/>
        </w:rPr>
        <w:t>绩效差异显著，呈现"头部集中"特征。</w:t>
      </w:r>
      <w:r>
        <w:rPr>
          <w:rFonts w:ascii="Times New Roman" w:hAnsi="Times New Roman" w:eastAsia="宋体"/>
          <w:b w:val="0"/>
          <w:sz w:val="24"/>
        </w:rPr>
        <w:t xml:space="preserve"> 前4名（广东、山东、浙江、海南）的得分显著高于其余平台，且第一梯队（得分≥0.25）与第二梯队（0.15-0.25）之间存在明显的"绩效断崖"。广东以1.000的满分位居榜首，是唯一的"标杆平台"；山东以0.540位居第二，但与广东之间存在近一倍的差距。从变异系数来看，23个平台TOPSIS得分的标准差为0.258，变异系数高达1.03，表明平台间的绩效差异极为显著。</w:t>
      </w:r>
    </w:p>
    <w:p>
      <w:pPr>
        <w:spacing w:line="360" w:lineRule="auto" w:before="0" w:after="0"/>
        <w:ind w:firstLine="420"/>
        <w:jc w:val="both"/>
      </w:pPr>
      <w:r>
        <w:rPr>
          <w:rFonts w:ascii="Times New Roman" w:hAnsi="Times New Roman" w:eastAsia="宋体"/>
          <w:b w:val="0"/>
          <w:sz w:val="24"/>
        </w:rPr>
        <w:t>"头部集中"特征的深层原因在于制度资源和技术能力的累积优势。广东平台作为全国首个省级数据开放平台（2016年上线），在政策先发、技术积累、人才储备和应用生态方面均建立了显著的领先优势。这种领先优势具有"自我强化"特征——平台绩效越好，越能吸引更多的数据用户和开发者，形成"强者愈强"的正反馈循环。相反，绩效落后的平台（如山西、云南、河南）则陷入"绩效低下→用户流失→应用匮乏→绩效进一步低下"的恶性循环。打破这种"马太效应"需要从制度层面进行干预——通过转移支付、技术援助和人才交流，帮助落后平台建立基本的数据开放能力。</w:t>
      </w:r>
    </w:p>
    <w:p>
      <w:pPr>
        <w:spacing w:line="360" w:lineRule="auto" w:before="0" w:after="0"/>
        <w:ind w:firstLine="420"/>
        <w:jc w:val="both"/>
      </w:pPr>
      <w:r>
        <w:rPr>
          <w:rFonts w:ascii="Times New Roman" w:hAnsi="Times New Roman" w:eastAsia="宋体"/>
          <w:b w:val="0"/>
          <w:sz w:val="24"/>
        </w:rPr>
        <w:t>第二，</w:t>
      </w:r>
      <w:r>
        <w:rPr>
          <w:rFonts w:ascii="Times New Roman" w:hAnsi="Times New Roman" w:eastAsia="宋体"/>
          <w:b/>
          <w:sz w:val="24"/>
        </w:rPr>
        <w:t>维度得分呈现"供给&gt;服务&gt;质量&gt;效果&gt;公平"的递减趋势。</w:t>
      </w:r>
      <w:r>
        <w:rPr>
          <w:rFonts w:ascii="Times New Roman" w:hAnsi="Times New Roman" w:eastAsia="宋体"/>
          <w:b w:val="0"/>
          <w:sz w:val="24"/>
        </w:rPr>
        <w:t xml:space="preserve"> 大多数平台在供给保障维度的得分最高，在利用效果维度的得分最低。这一发现印证了现有评估体系的"供给导向"偏差——平台在供给侧投入较多，但在效果侧表现不足。</w:t>
      </w:r>
    </w:p>
    <w:p>
      <w:pPr>
        <w:spacing w:line="360" w:lineRule="auto" w:before="0" w:after="0"/>
        <w:ind w:firstLine="420"/>
        <w:jc w:val="both"/>
      </w:pPr>
      <w:r>
        <w:rPr>
          <w:rFonts w:ascii="Times New Roman" w:hAnsi="Times New Roman" w:eastAsia="宋体"/>
          <w:b w:val="0"/>
          <w:sz w:val="24"/>
        </w:rPr>
        <w:t>第三，</w:t>
      </w:r>
      <w:r>
        <w:rPr>
          <w:rFonts w:ascii="Times New Roman" w:hAnsi="Times New Roman" w:eastAsia="宋体"/>
          <w:b/>
          <w:sz w:val="24"/>
        </w:rPr>
        <w:t>梯队内部差异显著。</w:t>
      </w:r>
      <w:r>
        <w:rPr>
          <w:rFonts w:ascii="Times New Roman" w:hAnsi="Times New Roman" w:eastAsia="宋体"/>
          <w:b w:val="0"/>
          <w:sz w:val="24"/>
        </w:rPr>
        <w:t xml:space="preserve"> 即便是同一梯队的平台，其维度得分结构也存在明显差异。例如，同为第一梯队的山东和浙江，山东的供给保障得分（0.88）显著高于浙江（0.82），但浙江的平台服务得分（0.78）高于山东（0.75）。这种"维度偏科"现象提示：高绩效的实现路径并非单一，不同平台可以通过不同的维度组合达到相似的绩效水平。</w:t>
      </w:r>
    </w:p>
    <w:p>
      <w:pPr>
        <w:pStyle w:val="Heading3"/>
        <w:spacing w:before="240" w:after="120" w:line="360" w:lineRule="auto"/>
        <w:ind w:firstLine="0"/>
        <w:jc w:val="left"/>
      </w:pPr>
      <w:r>
        <w:rPr>
          <w:rFonts w:ascii="Times New Roman" w:hAnsi="Times New Roman" w:eastAsia="黑体"/>
          <w:b/>
          <w:sz w:val="28"/>
        </w:rPr>
        <w:t>4.2 DEA效率分析</w:t>
      </w:r>
    </w:p>
    <w:p>
      <w:pPr>
        <w:spacing w:before="120" w:after="120" w:line="360" w:lineRule="auto"/>
        <w:ind w:firstLine="0"/>
        <w:jc w:val="center"/>
      </w:pPr>
      <w:r>
        <w:rPr>
          <w:rFonts w:ascii="Times New Roman" w:hAnsi="Times New Roman" w:eastAsia="黑体"/>
          <w:b w:val="0"/>
          <w:sz w:val="21"/>
        </w:rPr>
        <w:t>表4-2报告了23个省级平台的DEA效率分析结果。</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表4-2 23个省级平台DEA效率分析结果</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before="0" w:after="0"/>
              <w:jc w:val="center"/>
            </w:pPr>
            <w:r>
              <w:rPr>
                <w:rFonts w:ascii="Times New Roman" w:hAnsi="Times New Roman" w:eastAsia="宋体"/>
                <w:b w:val="0"/>
                <w:sz w:val="21"/>
              </w:rPr>
              <w:t>排名</w:t>
            </w:r>
          </w:p>
        </w:tc>
        <w:tc>
          <w:tcPr>
            <w:tcW w:type="dxa" w:w="1234"/>
          </w:tcPr>
          <w:p>
            <w:pPr>
              <w:spacing w:line="240" w:lineRule="auto" w:before="0" w:after="0"/>
              <w:jc w:val="center"/>
            </w:pPr>
            <w:r>
              <w:rPr>
                <w:rFonts w:ascii="Times New Roman" w:hAnsi="Times New Roman" w:eastAsia="宋体"/>
                <w:b w:val="0"/>
                <w:sz w:val="21"/>
              </w:rPr>
              <w:t>平台</w:t>
            </w:r>
          </w:p>
        </w:tc>
        <w:tc>
          <w:tcPr>
            <w:tcW w:type="dxa" w:w="1234"/>
          </w:tcPr>
          <w:p>
            <w:pPr>
              <w:spacing w:line="240" w:lineRule="auto" w:before="0" w:after="0"/>
              <w:jc w:val="center"/>
            </w:pPr>
            <w:r>
              <w:rPr>
                <w:rFonts w:ascii="Times New Roman" w:hAnsi="Times New Roman" w:eastAsia="宋体"/>
                <w:b w:val="0"/>
                <w:sz w:val="21"/>
              </w:rPr>
              <w:t>综合效率(TE)</w:t>
            </w:r>
          </w:p>
        </w:tc>
        <w:tc>
          <w:tcPr>
            <w:tcW w:type="dxa" w:w="1234"/>
          </w:tcPr>
          <w:p>
            <w:pPr>
              <w:spacing w:line="240" w:lineRule="auto" w:before="0" w:after="0"/>
              <w:jc w:val="center"/>
            </w:pPr>
            <w:r>
              <w:rPr>
                <w:rFonts w:ascii="Times New Roman" w:hAnsi="Times New Roman" w:eastAsia="宋体"/>
                <w:b w:val="0"/>
                <w:sz w:val="21"/>
              </w:rPr>
              <w:t>纯技术效率(PTE)</w:t>
            </w:r>
          </w:p>
        </w:tc>
        <w:tc>
          <w:tcPr>
            <w:tcW w:type="dxa" w:w="1234"/>
          </w:tcPr>
          <w:p>
            <w:pPr>
              <w:spacing w:line="240" w:lineRule="auto" w:before="0" w:after="0"/>
              <w:jc w:val="center"/>
            </w:pPr>
            <w:r>
              <w:rPr>
                <w:rFonts w:ascii="Times New Roman" w:hAnsi="Times New Roman" w:eastAsia="宋体"/>
                <w:b w:val="0"/>
                <w:sz w:val="21"/>
              </w:rPr>
              <w:t>规模效率(SE)</w:t>
            </w:r>
          </w:p>
        </w:tc>
        <w:tc>
          <w:tcPr>
            <w:tcW w:type="dxa" w:w="1234"/>
          </w:tcPr>
          <w:p>
            <w:pPr>
              <w:spacing w:line="240" w:lineRule="auto" w:before="0" w:after="0"/>
              <w:jc w:val="center"/>
            </w:pPr>
            <w:r>
              <w:rPr>
                <w:rFonts w:ascii="Times New Roman" w:hAnsi="Times New Roman" w:eastAsia="宋体"/>
                <w:b w:val="0"/>
                <w:sz w:val="21"/>
              </w:rPr>
              <w:t>效率类型</w:t>
            </w:r>
          </w:p>
        </w:tc>
        <w:tc>
          <w:tcPr>
            <w:tcW w:type="dxa" w:w="1234"/>
          </w:tcPr>
          <w:p>
            <w:pPr>
              <w:spacing w:line="240" w:lineRule="auto" w:before="0" w:after="0"/>
              <w:jc w:val="center"/>
            </w:pPr>
            <w:r>
              <w:rPr>
                <w:rFonts w:ascii="Times New Roman" w:hAnsi="Times New Roman" w:eastAsia="宋体"/>
                <w:b w:val="0"/>
                <w:sz w:val="21"/>
              </w:rPr>
              <w:t>规模报酬</w:t>
            </w:r>
          </w:p>
        </w:tc>
      </w:tr>
      <w:tr>
        <w:tc>
          <w:tcPr>
            <w:tcW w:type="dxa" w:w="1234"/>
          </w:tcPr>
          <w:p>
            <w:pPr>
              <w:spacing w:line="240" w:lineRule="auto" w:before="0" w:after="0"/>
              <w:jc w:val="center"/>
            </w:pPr>
            <w:r>
              <w:rPr>
                <w:rFonts w:ascii="Times New Roman" w:hAnsi="Times New Roman" w:eastAsia="宋体"/>
                <w:b w:val="0"/>
                <w:sz w:val="21"/>
              </w:rPr>
              <w:t>1</w:t>
            </w:r>
          </w:p>
        </w:tc>
        <w:tc>
          <w:tcPr>
            <w:tcW w:type="dxa" w:w="1234"/>
          </w:tcPr>
          <w:p>
            <w:pPr>
              <w:spacing w:line="240" w:lineRule="auto" w:before="0" w:after="0"/>
              <w:jc w:val="center"/>
            </w:pPr>
            <w:r>
              <w:rPr>
                <w:rFonts w:ascii="Times New Roman" w:hAnsi="Times New Roman" w:eastAsia="宋体"/>
                <w:b w:val="0"/>
                <w:sz w:val="21"/>
              </w:rPr>
              <w:t>山东</w:t>
            </w:r>
          </w:p>
        </w:tc>
        <w:tc>
          <w:tcPr>
            <w:tcW w:type="dxa" w:w="1234"/>
          </w:tcPr>
          <w:p>
            <w:pPr>
              <w:spacing w:line="240" w:lineRule="auto" w:before="0" w:after="0"/>
              <w:jc w:val="center"/>
            </w:pPr>
            <w:r>
              <w:rPr>
                <w:rFonts w:ascii="Times New Roman" w:hAnsi="Times New Roman" w:eastAsia="宋体"/>
                <w:b w:val="0"/>
                <w:sz w:val="21"/>
              </w:rPr>
              <w:t>0.498</w:t>
            </w:r>
          </w:p>
        </w:tc>
        <w:tc>
          <w:tcPr>
            <w:tcW w:type="dxa" w:w="1234"/>
          </w:tcPr>
          <w:p>
            <w:pPr>
              <w:spacing w:line="240" w:lineRule="auto" w:before="0" w:after="0"/>
              <w:jc w:val="center"/>
            </w:pPr>
            <w:r>
              <w:rPr>
                <w:rFonts w:ascii="Times New Roman" w:hAnsi="Times New Roman" w:eastAsia="宋体"/>
                <w:b w:val="0"/>
                <w:sz w:val="21"/>
              </w:rPr>
              <w:t>0.498</w:t>
            </w:r>
          </w:p>
        </w:tc>
        <w:tc>
          <w:tcPr>
            <w:tcW w:type="dxa" w:w="1234"/>
          </w:tcPr>
          <w:p>
            <w:pPr>
              <w:spacing w:line="240" w:lineRule="auto" w:before="0" w:after="0"/>
              <w:jc w:val="center"/>
            </w:pPr>
            <w:r>
              <w:rPr>
                <w:rFonts w:ascii="Times New Roman" w:hAnsi="Times New Roman" w:eastAsia="宋体"/>
                <w:b w:val="0"/>
                <w:sz w:val="21"/>
              </w:rPr>
              <w:t>1.000</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不变</w:t>
            </w:r>
          </w:p>
        </w:tc>
      </w:tr>
      <w:tr>
        <w:tc>
          <w:tcPr>
            <w:tcW w:type="dxa" w:w="1234"/>
          </w:tcPr>
          <w:p>
            <w:pPr>
              <w:spacing w:line="240" w:lineRule="auto" w:before="0" w:after="0"/>
              <w:jc w:val="center"/>
            </w:pPr>
            <w:r>
              <w:rPr>
                <w:rFonts w:ascii="Times New Roman" w:hAnsi="Times New Roman" w:eastAsia="宋体"/>
                <w:b w:val="0"/>
                <w:sz w:val="21"/>
              </w:rPr>
              <w:t>2</w:t>
            </w:r>
          </w:p>
        </w:tc>
        <w:tc>
          <w:tcPr>
            <w:tcW w:type="dxa" w:w="1234"/>
          </w:tcPr>
          <w:p>
            <w:pPr>
              <w:spacing w:line="240" w:lineRule="auto" w:before="0" w:after="0"/>
              <w:jc w:val="center"/>
            </w:pPr>
            <w:r>
              <w:rPr>
                <w:rFonts w:ascii="Times New Roman" w:hAnsi="Times New Roman" w:eastAsia="宋体"/>
                <w:b w:val="0"/>
                <w:sz w:val="21"/>
              </w:rPr>
              <w:t>广东</w:t>
            </w:r>
          </w:p>
        </w:tc>
        <w:tc>
          <w:tcPr>
            <w:tcW w:type="dxa" w:w="1234"/>
          </w:tcPr>
          <w:p>
            <w:pPr>
              <w:spacing w:line="240" w:lineRule="auto" w:before="0" w:after="0"/>
              <w:jc w:val="center"/>
            </w:pPr>
            <w:r>
              <w:rPr>
                <w:rFonts w:ascii="Times New Roman" w:hAnsi="Times New Roman" w:eastAsia="宋体"/>
                <w:b w:val="0"/>
                <w:sz w:val="21"/>
              </w:rPr>
              <w:t>0.485</w:t>
            </w:r>
          </w:p>
        </w:tc>
        <w:tc>
          <w:tcPr>
            <w:tcW w:type="dxa" w:w="1234"/>
          </w:tcPr>
          <w:p>
            <w:pPr>
              <w:spacing w:line="240" w:lineRule="auto" w:before="0" w:after="0"/>
              <w:jc w:val="center"/>
            </w:pPr>
            <w:r>
              <w:rPr>
                <w:rFonts w:ascii="Times New Roman" w:hAnsi="Times New Roman" w:eastAsia="宋体"/>
                <w:b w:val="0"/>
                <w:sz w:val="21"/>
              </w:rPr>
              <w:t>0.520</w:t>
            </w:r>
          </w:p>
        </w:tc>
        <w:tc>
          <w:tcPr>
            <w:tcW w:type="dxa" w:w="1234"/>
          </w:tcPr>
          <w:p>
            <w:pPr>
              <w:spacing w:line="240" w:lineRule="auto" w:before="0" w:after="0"/>
              <w:jc w:val="center"/>
            </w:pPr>
            <w:r>
              <w:rPr>
                <w:rFonts w:ascii="Times New Roman" w:hAnsi="Times New Roman" w:eastAsia="宋体"/>
                <w:b w:val="0"/>
                <w:sz w:val="21"/>
              </w:rPr>
              <w:t>0.933</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3</w:t>
            </w:r>
          </w:p>
        </w:tc>
        <w:tc>
          <w:tcPr>
            <w:tcW w:type="dxa" w:w="1234"/>
          </w:tcPr>
          <w:p>
            <w:pPr>
              <w:spacing w:line="240" w:lineRule="auto" w:before="0" w:after="0"/>
              <w:jc w:val="center"/>
            </w:pPr>
            <w:r>
              <w:rPr>
                <w:rFonts w:ascii="Times New Roman" w:hAnsi="Times New Roman" w:eastAsia="宋体"/>
                <w:b w:val="0"/>
                <w:sz w:val="21"/>
              </w:rPr>
              <w:t>浙江</w:t>
            </w:r>
          </w:p>
        </w:tc>
        <w:tc>
          <w:tcPr>
            <w:tcW w:type="dxa" w:w="1234"/>
          </w:tcPr>
          <w:p>
            <w:pPr>
              <w:spacing w:line="240" w:lineRule="auto" w:before="0" w:after="0"/>
              <w:jc w:val="center"/>
            </w:pPr>
            <w:r>
              <w:rPr>
                <w:rFonts w:ascii="Times New Roman" w:hAnsi="Times New Roman" w:eastAsia="宋体"/>
                <w:b w:val="0"/>
                <w:sz w:val="21"/>
              </w:rPr>
              <w:t>0.445</w:t>
            </w:r>
          </w:p>
        </w:tc>
        <w:tc>
          <w:tcPr>
            <w:tcW w:type="dxa" w:w="1234"/>
          </w:tcPr>
          <w:p>
            <w:pPr>
              <w:spacing w:line="240" w:lineRule="auto" w:before="0" w:after="0"/>
              <w:jc w:val="center"/>
            </w:pPr>
            <w:r>
              <w:rPr>
                <w:rFonts w:ascii="Times New Roman" w:hAnsi="Times New Roman" w:eastAsia="宋体"/>
                <w:b w:val="0"/>
                <w:sz w:val="21"/>
              </w:rPr>
              <w:t>0.465</w:t>
            </w:r>
          </w:p>
        </w:tc>
        <w:tc>
          <w:tcPr>
            <w:tcW w:type="dxa" w:w="1234"/>
          </w:tcPr>
          <w:p>
            <w:pPr>
              <w:spacing w:line="240" w:lineRule="auto" w:before="0" w:after="0"/>
              <w:jc w:val="center"/>
            </w:pPr>
            <w:r>
              <w:rPr>
                <w:rFonts w:ascii="Times New Roman" w:hAnsi="Times New Roman" w:eastAsia="宋体"/>
                <w:b w:val="0"/>
                <w:sz w:val="21"/>
              </w:rPr>
              <w:t>0.957</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4</w:t>
            </w:r>
          </w:p>
        </w:tc>
        <w:tc>
          <w:tcPr>
            <w:tcW w:type="dxa" w:w="1234"/>
          </w:tcPr>
          <w:p>
            <w:pPr>
              <w:spacing w:line="240" w:lineRule="auto" w:before="0" w:after="0"/>
              <w:jc w:val="center"/>
            </w:pPr>
            <w:r>
              <w:rPr>
                <w:rFonts w:ascii="Times New Roman" w:hAnsi="Times New Roman" w:eastAsia="宋体"/>
                <w:b w:val="0"/>
                <w:sz w:val="21"/>
              </w:rPr>
              <w:t>海南</w:t>
            </w:r>
          </w:p>
        </w:tc>
        <w:tc>
          <w:tcPr>
            <w:tcW w:type="dxa" w:w="1234"/>
          </w:tcPr>
          <w:p>
            <w:pPr>
              <w:spacing w:line="240" w:lineRule="auto" w:before="0" w:after="0"/>
              <w:jc w:val="center"/>
            </w:pPr>
            <w:r>
              <w:rPr>
                <w:rFonts w:ascii="Times New Roman" w:hAnsi="Times New Roman" w:eastAsia="宋体"/>
                <w:b w:val="0"/>
                <w:sz w:val="21"/>
              </w:rPr>
              <w:t>0.398</w:t>
            </w:r>
          </w:p>
        </w:tc>
        <w:tc>
          <w:tcPr>
            <w:tcW w:type="dxa" w:w="1234"/>
          </w:tcPr>
          <w:p>
            <w:pPr>
              <w:spacing w:line="240" w:lineRule="auto" w:before="0" w:after="0"/>
              <w:jc w:val="center"/>
            </w:pPr>
            <w:r>
              <w:rPr>
                <w:rFonts w:ascii="Times New Roman" w:hAnsi="Times New Roman" w:eastAsia="宋体"/>
                <w:b w:val="0"/>
                <w:sz w:val="21"/>
              </w:rPr>
              <w:t>0.412</w:t>
            </w:r>
          </w:p>
        </w:tc>
        <w:tc>
          <w:tcPr>
            <w:tcW w:type="dxa" w:w="1234"/>
          </w:tcPr>
          <w:p>
            <w:pPr>
              <w:spacing w:line="240" w:lineRule="auto" w:before="0" w:after="0"/>
              <w:jc w:val="center"/>
            </w:pPr>
            <w:r>
              <w:rPr>
                <w:rFonts w:ascii="Times New Roman" w:hAnsi="Times New Roman" w:eastAsia="宋体"/>
                <w:b w:val="0"/>
                <w:sz w:val="21"/>
              </w:rPr>
              <w:t>0.966</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5</w:t>
            </w:r>
          </w:p>
        </w:tc>
        <w:tc>
          <w:tcPr>
            <w:tcW w:type="dxa" w:w="1234"/>
          </w:tcPr>
          <w:p>
            <w:pPr>
              <w:spacing w:line="240" w:lineRule="auto" w:before="0" w:after="0"/>
              <w:jc w:val="center"/>
            </w:pPr>
            <w:r>
              <w:rPr>
                <w:rFonts w:ascii="Times New Roman" w:hAnsi="Times New Roman" w:eastAsia="宋体"/>
                <w:b w:val="0"/>
                <w:sz w:val="21"/>
              </w:rPr>
              <w:t>重庆</w:t>
            </w:r>
          </w:p>
        </w:tc>
        <w:tc>
          <w:tcPr>
            <w:tcW w:type="dxa" w:w="1234"/>
          </w:tcPr>
          <w:p>
            <w:pPr>
              <w:spacing w:line="240" w:lineRule="auto" w:before="0" w:after="0"/>
              <w:jc w:val="center"/>
            </w:pPr>
            <w:r>
              <w:rPr>
                <w:rFonts w:ascii="Times New Roman" w:hAnsi="Times New Roman" w:eastAsia="宋体"/>
                <w:b w:val="0"/>
                <w:sz w:val="21"/>
              </w:rPr>
              <w:t>0.365</w:t>
            </w:r>
          </w:p>
        </w:tc>
        <w:tc>
          <w:tcPr>
            <w:tcW w:type="dxa" w:w="1234"/>
          </w:tcPr>
          <w:p>
            <w:pPr>
              <w:spacing w:line="240" w:lineRule="auto" w:before="0" w:after="0"/>
              <w:jc w:val="center"/>
            </w:pPr>
            <w:r>
              <w:rPr>
                <w:rFonts w:ascii="Times New Roman" w:hAnsi="Times New Roman" w:eastAsia="宋体"/>
                <w:b w:val="0"/>
                <w:sz w:val="21"/>
              </w:rPr>
              <w:t>0.378</w:t>
            </w:r>
          </w:p>
        </w:tc>
        <w:tc>
          <w:tcPr>
            <w:tcW w:type="dxa" w:w="1234"/>
          </w:tcPr>
          <w:p>
            <w:pPr>
              <w:spacing w:line="240" w:lineRule="auto" w:before="0" w:after="0"/>
              <w:jc w:val="center"/>
            </w:pPr>
            <w:r>
              <w:rPr>
                <w:rFonts w:ascii="Times New Roman" w:hAnsi="Times New Roman" w:eastAsia="宋体"/>
                <w:b w:val="0"/>
                <w:sz w:val="21"/>
              </w:rPr>
              <w:t>0.966</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6</w:t>
            </w:r>
          </w:p>
        </w:tc>
        <w:tc>
          <w:tcPr>
            <w:tcW w:type="dxa" w:w="1234"/>
          </w:tcPr>
          <w:p>
            <w:pPr>
              <w:spacing w:line="240" w:lineRule="auto" w:before="0" w:after="0"/>
              <w:jc w:val="center"/>
            </w:pPr>
            <w:r>
              <w:rPr>
                <w:rFonts w:ascii="Times New Roman" w:hAnsi="Times New Roman" w:eastAsia="宋体"/>
                <w:b w:val="0"/>
                <w:sz w:val="21"/>
              </w:rPr>
              <w:t>湖北</w:t>
            </w:r>
          </w:p>
        </w:tc>
        <w:tc>
          <w:tcPr>
            <w:tcW w:type="dxa" w:w="1234"/>
          </w:tcPr>
          <w:p>
            <w:pPr>
              <w:spacing w:line="240" w:lineRule="auto" w:before="0" w:after="0"/>
              <w:jc w:val="center"/>
            </w:pPr>
            <w:r>
              <w:rPr>
                <w:rFonts w:ascii="Times New Roman" w:hAnsi="Times New Roman" w:eastAsia="宋体"/>
                <w:b w:val="0"/>
                <w:sz w:val="21"/>
              </w:rPr>
              <w:t>0.338</w:t>
            </w:r>
          </w:p>
        </w:tc>
        <w:tc>
          <w:tcPr>
            <w:tcW w:type="dxa" w:w="1234"/>
          </w:tcPr>
          <w:p>
            <w:pPr>
              <w:spacing w:line="240" w:lineRule="auto" w:before="0" w:after="0"/>
              <w:jc w:val="center"/>
            </w:pPr>
            <w:r>
              <w:rPr>
                <w:rFonts w:ascii="Times New Roman" w:hAnsi="Times New Roman" w:eastAsia="宋体"/>
                <w:b w:val="0"/>
                <w:sz w:val="21"/>
              </w:rPr>
              <w:t>0.352</w:t>
            </w:r>
          </w:p>
        </w:tc>
        <w:tc>
          <w:tcPr>
            <w:tcW w:type="dxa" w:w="1234"/>
          </w:tcPr>
          <w:p>
            <w:pPr>
              <w:spacing w:line="240" w:lineRule="auto" w:before="0" w:after="0"/>
              <w:jc w:val="center"/>
            </w:pPr>
            <w:r>
              <w:rPr>
                <w:rFonts w:ascii="Times New Roman" w:hAnsi="Times New Roman" w:eastAsia="宋体"/>
                <w:b w:val="0"/>
                <w:sz w:val="21"/>
              </w:rPr>
              <w:t>0.960</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7</w:t>
            </w:r>
          </w:p>
        </w:tc>
        <w:tc>
          <w:tcPr>
            <w:tcW w:type="dxa" w:w="1234"/>
          </w:tcPr>
          <w:p>
            <w:pPr>
              <w:spacing w:line="240" w:lineRule="auto" w:before="0" w:after="0"/>
              <w:jc w:val="center"/>
            </w:pPr>
            <w:r>
              <w:rPr>
                <w:rFonts w:ascii="Times New Roman" w:hAnsi="Times New Roman" w:eastAsia="宋体"/>
                <w:b w:val="0"/>
                <w:sz w:val="21"/>
              </w:rPr>
              <w:t>上海</w:t>
            </w:r>
          </w:p>
        </w:tc>
        <w:tc>
          <w:tcPr>
            <w:tcW w:type="dxa" w:w="1234"/>
          </w:tcPr>
          <w:p>
            <w:pPr>
              <w:spacing w:line="240" w:lineRule="auto" w:before="0" w:after="0"/>
              <w:jc w:val="center"/>
            </w:pPr>
            <w:r>
              <w:rPr>
                <w:rFonts w:ascii="Times New Roman" w:hAnsi="Times New Roman" w:eastAsia="宋体"/>
                <w:b w:val="0"/>
                <w:sz w:val="21"/>
              </w:rPr>
              <w:t>0.312</w:t>
            </w:r>
          </w:p>
        </w:tc>
        <w:tc>
          <w:tcPr>
            <w:tcW w:type="dxa" w:w="1234"/>
          </w:tcPr>
          <w:p>
            <w:pPr>
              <w:spacing w:line="240" w:lineRule="auto" w:before="0" w:after="0"/>
              <w:jc w:val="center"/>
            </w:pPr>
            <w:r>
              <w:rPr>
                <w:rFonts w:ascii="Times New Roman" w:hAnsi="Times New Roman" w:eastAsia="宋体"/>
                <w:b w:val="0"/>
                <w:sz w:val="21"/>
              </w:rPr>
              <w:t>0.350</w:t>
            </w:r>
          </w:p>
        </w:tc>
        <w:tc>
          <w:tcPr>
            <w:tcW w:type="dxa" w:w="1234"/>
          </w:tcPr>
          <w:p>
            <w:pPr>
              <w:spacing w:line="240" w:lineRule="auto" w:before="0" w:after="0"/>
              <w:jc w:val="center"/>
            </w:pPr>
            <w:r>
              <w:rPr>
                <w:rFonts w:ascii="Times New Roman" w:hAnsi="Times New Roman" w:eastAsia="宋体"/>
                <w:b w:val="0"/>
                <w:sz w:val="21"/>
              </w:rPr>
              <w:t>0.891</w:t>
            </w:r>
          </w:p>
        </w:tc>
        <w:tc>
          <w:tcPr>
            <w:tcW w:type="dxa" w:w="1234"/>
          </w:tcPr>
          <w:p>
            <w:pPr>
              <w:spacing w:line="240" w:lineRule="auto" w:before="0" w:after="0"/>
              <w:jc w:val="center"/>
            </w:pPr>
            <w:r>
              <w:rPr>
                <w:rFonts w:ascii="Times New Roman" w:hAnsi="Times New Roman" w:eastAsia="宋体"/>
                <w:b w:val="0"/>
                <w:sz w:val="21"/>
              </w:rPr>
              <w:t>规模短板型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8</w:t>
            </w:r>
          </w:p>
        </w:tc>
        <w:tc>
          <w:tcPr>
            <w:tcW w:type="dxa" w:w="1234"/>
          </w:tcPr>
          <w:p>
            <w:pPr>
              <w:spacing w:line="240" w:lineRule="auto" w:before="0" w:after="0"/>
              <w:jc w:val="center"/>
            </w:pPr>
            <w:r>
              <w:rPr>
                <w:rFonts w:ascii="Times New Roman" w:hAnsi="Times New Roman" w:eastAsia="宋体"/>
                <w:b w:val="0"/>
                <w:sz w:val="21"/>
              </w:rPr>
              <w:t>贵州</w:t>
            </w:r>
          </w:p>
        </w:tc>
        <w:tc>
          <w:tcPr>
            <w:tcW w:type="dxa" w:w="1234"/>
          </w:tcPr>
          <w:p>
            <w:pPr>
              <w:spacing w:line="240" w:lineRule="auto" w:before="0" w:after="0"/>
              <w:jc w:val="center"/>
            </w:pPr>
            <w:r>
              <w:rPr>
                <w:rFonts w:ascii="Times New Roman" w:hAnsi="Times New Roman" w:eastAsia="宋体"/>
                <w:b w:val="0"/>
                <w:sz w:val="21"/>
              </w:rPr>
              <w:t>0.298</w:t>
            </w:r>
          </w:p>
        </w:tc>
        <w:tc>
          <w:tcPr>
            <w:tcW w:type="dxa" w:w="1234"/>
          </w:tcPr>
          <w:p>
            <w:pPr>
              <w:spacing w:line="240" w:lineRule="auto" w:before="0" w:after="0"/>
              <w:jc w:val="center"/>
            </w:pPr>
            <w:r>
              <w:rPr>
                <w:rFonts w:ascii="Times New Roman" w:hAnsi="Times New Roman" w:eastAsia="宋体"/>
                <w:b w:val="0"/>
                <w:sz w:val="21"/>
              </w:rPr>
              <w:t>0.310</w:t>
            </w:r>
          </w:p>
        </w:tc>
        <w:tc>
          <w:tcPr>
            <w:tcW w:type="dxa" w:w="1234"/>
          </w:tcPr>
          <w:p>
            <w:pPr>
              <w:spacing w:line="240" w:lineRule="auto" w:before="0" w:after="0"/>
              <w:jc w:val="center"/>
            </w:pPr>
            <w:r>
              <w:rPr>
                <w:rFonts w:ascii="Times New Roman" w:hAnsi="Times New Roman" w:eastAsia="宋体"/>
                <w:b w:val="0"/>
                <w:sz w:val="21"/>
              </w:rPr>
              <w:t>0.961</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9</w:t>
            </w:r>
          </w:p>
        </w:tc>
        <w:tc>
          <w:tcPr>
            <w:tcW w:type="dxa" w:w="1234"/>
          </w:tcPr>
          <w:p>
            <w:pPr>
              <w:spacing w:line="240" w:lineRule="auto" w:before="0" w:after="0"/>
              <w:jc w:val="center"/>
            </w:pPr>
            <w:r>
              <w:rPr>
                <w:rFonts w:ascii="Times New Roman" w:hAnsi="Times New Roman" w:eastAsia="宋体"/>
                <w:b w:val="0"/>
                <w:sz w:val="21"/>
              </w:rPr>
              <w:t>北京</w:t>
            </w:r>
          </w:p>
        </w:tc>
        <w:tc>
          <w:tcPr>
            <w:tcW w:type="dxa" w:w="1234"/>
          </w:tcPr>
          <w:p>
            <w:pPr>
              <w:spacing w:line="240" w:lineRule="auto" w:before="0" w:after="0"/>
              <w:jc w:val="center"/>
            </w:pPr>
            <w:r>
              <w:rPr>
                <w:rFonts w:ascii="Times New Roman" w:hAnsi="Times New Roman" w:eastAsia="宋体"/>
                <w:b w:val="0"/>
                <w:sz w:val="21"/>
              </w:rPr>
              <w:t>0.285</w:t>
            </w:r>
          </w:p>
        </w:tc>
        <w:tc>
          <w:tcPr>
            <w:tcW w:type="dxa" w:w="1234"/>
          </w:tcPr>
          <w:p>
            <w:pPr>
              <w:spacing w:line="240" w:lineRule="auto" w:before="0" w:after="0"/>
              <w:jc w:val="center"/>
            </w:pPr>
            <w:r>
              <w:rPr>
                <w:rFonts w:ascii="Times New Roman" w:hAnsi="Times New Roman" w:eastAsia="宋体"/>
                <w:b w:val="0"/>
                <w:sz w:val="21"/>
              </w:rPr>
              <w:t>0.310</w:t>
            </w:r>
          </w:p>
        </w:tc>
        <w:tc>
          <w:tcPr>
            <w:tcW w:type="dxa" w:w="1234"/>
          </w:tcPr>
          <w:p>
            <w:pPr>
              <w:spacing w:line="240" w:lineRule="auto" w:before="0" w:after="0"/>
              <w:jc w:val="center"/>
            </w:pPr>
            <w:r>
              <w:rPr>
                <w:rFonts w:ascii="Times New Roman" w:hAnsi="Times New Roman" w:eastAsia="宋体"/>
                <w:b w:val="0"/>
                <w:sz w:val="21"/>
              </w:rPr>
              <w:t>0.919</w:t>
            </w:r>
          </w:p>
        </w:tc>
        <w:tc>
          <w:tcPr>
            <w:tcW w:type="dxa" w:w="1234"/>
          </w:tcPr>
          <w:p>
            <w:pPr>
              <w:spacing w:line="240" w:lineRule="auto" w:before="0" w:after="0"/>
              <w:jc w:val="center"/>
            </w:pPr>
            <w:r>
              <w:rPr>
                <w:rFonts w:ascii="Times New Roman" w:hAnsi="Times New Roman" w:eastAsia="宋体"/>
                <w:b w:val="0"/>
                <w:sz w:val="21"/>
              </w:rPr>
              <w:t>规模短板型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10</w:t>
            </w:r>
          </w:p>
        </w:tc>
        <w:tc>
          <w:tcPr>
            <w:tcW w:type="dxa" w:w="1234"/>
          </w:tcPr>
          <w:p>
            <w:pPr>
              <w:spacing w:line="240" w:lineRule="auto" w:before="0" w:after="0"/>
              <w:jc w:val="center"/>
            </w:pPr>
            <w:r>
              <w:rPr>
                <w:rFonts w:ascii="Times New Roman" w:hAnsi="Times New Roman" w:eastAsia="宋体"/>
                <w:b w:val="0"/>
                <w:sz w:val="21"/>
              </w:rPr>
              <w:t>四川</w:t>
            </w:r>
          </w:p>
        </w:tc>
        <w:tc>
          <w:tcPr>
            <w:tcW w:type="dxa" w:w="1234"/>
          </w:tcPr>
          <w:p>
            <w:pPr>
              <w:spacing w:line="240" w:lineRule="auto" w:before="0" w:after="0"/>
              <w:jc w:val="center"/>
            </w:pPr>
            <w:r>
              <w:rPr>
                <w:rFonts w:ascii="Times New Roman" w:hAnsi="Times New Roman" w:eastAsia="宋体"/>
                <w:b w:val="0"/>
                <w:sz w:val="21"/>
              </w:rPr>
              <w:t>0.278</w:t>
            </w:r>
          </w:p>
        </w:tc>
        <w:tc>
          <w:tcPr>
            <w:tcW w:type="dxa" w:w="1234"/>
          </w:tcPr>
          <w:p>
            <w:pPr>
              <w:spacing w:line="240" w:lineRule="auto" w:before="0" w:after="0"/>
              <w:jc w:val="center"/>
            </w:pPr>
            <w:r>
              <w:rPr>
                <w:rFonts w:ascii="Times New Roman" w:hAnsi="Times New Roman" w:eastAsia="宋体"/>
                <w:b w:val="0"/>
                <w:sz w:val="21"/>
              </w:rPr>
              <w:t>0.290</w:t>
            </w:r>
          </w:p>
        </w:tc>
        <w:tc>
          <w:tcPr>
            <w:tcW w:type="dxa" w:w="1234"/>
          </w:tcPr>
          <w:p>
            <w:pPr>
              <w:spacing w:line="240" w:lineRule="auto" w:before="0" w:after="0"/>
              <w:jc w:val="center"/>
            </w:pPr>
            <w:r>
              <w:rPr>
                <w:rFonts w:ascii="Times New Roman" w:hAnsi="Times New Roman" w:eastAsia="宋体"/>
                <w:b w:val="0"/>
                <w:sz w:val="21"/>
              </w:rPr>
              <w:t>0.959</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11</w:t>
            </w:r>
          </w:p>
        </w:tc>
        <w:tc>
          <w:tcPr>
            <w:tcW w:type="dxa" w:w="1234"/>
          </w:tcPr>
          <w:p>
            <w:pPr>
              <w:spacing w:line="240" w:lineRule="auto" w:before="0" w:after="0"/>
              <w:jc w:val="center"/>
            </w:pPr>
            <w:r>
              <w:rPr>
                <w:rFonts w:ascii="Times New Roman" w:hAnsi="Times New Roman" w:eastAsia="宋体"/>
                <w:b w:val="0"/>
                <w:sz w:val="21"/>
              </w:rPr>
              <w:t>福建</w:t>
            </w:r>
          </w:p>
        </w:tc>
        <w:tc>
          <w:tcPr>
            <w:tcW w:type="dxa" w:w="1234"/>
          </w:tcPr>
          <w:p>
            <w:pPr>
              <w:spacing w:line="240" w:lineRule="auto" w:before="0" w:after="0"/>
              <w:jc w:val="center"/>
            </w:pPr>
            <w:r>
              <w:rPr>
                <w:rFonts w:ascii="Times New Roman" w:hAnsi="Times New Roman" w:eastAsia="宋体"/>
                <w:b w:val="0"/>
                <w:sz w:val="21"/>
              </w:rPr>
              <w:t>0.268</w:t>
            </w:r>
          </w:p>
        </w:tc>
        <w:tc>
          <w:tcPr>
            <w:tcW w:type="dxa" w:w="1234"/>
          </w:tcPr>
          <w:p>
            <w:pPr>
              <w:spacing w:line="240" w:lineRule="auto" w:before="0" w:after="0"/>
              <w:jc w:val="center"/>
            </w:pPr>
            <w:r>
              <w:rPr>
                <w:rFonts w:ascii="Times New Roman" w:hAnsi="Times New Roman" w:eastAsia="宋体"/>
                <w:b w:val="0"/>
                <w:sz w:val="21"/>
              </w:rPr>
              <w:t>0.285</w:t>
            </w:r>
          </w:p>
        </w:tc>
        <w:tc>
          <w:tcPr>
            <w:tcW w:type="dxa" w:w="1234"/>
          </w:tcPr>
          <w:p>
            <w:pPr>
              <w:spacing w:line="240" w:lineRule="auto" w:before="0" w:after="0"/>
              <w:jc w:val="center"/>
            </w:pPr>
            <w:r>
              <w:rPr>
                <w:rFonts w:ascii="Times New Roman" w:hAnsi="Times New Roman" w:eastAsia="宋体"/>
                <w:b w:val="0"/>
                <w:sz w:val="21"/>
              </w:rPr>
              <w:t>0.940</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12</w:t>
            </w:r>
          </w:p>
        </w:tc>
        <w:tc>
          <w:tcPr>
            <w:tcW w:type="dxa" w:w="1234"/>
          </w:tcPr>
          <w:p>
            <w:pPr>
              <w:spacing w:line="240" w:lineRule="auto" w:before="0" w:after="0"/>
              <w:jc w:val="center"/>
            </w:pPr>
            <w:r>
              <w:rPr>
                <w:rFonts w:ascii="Times New Roman" w:hAnsi="Times New Roman" w:eastAsia="宋体"/>
                <w:b w:val="0"/>
                <w:sz w:val="21"/>
              </w:rPr>
              <w:t>辽宁</w:t>
            </w:r>
          </w:p>
        </w:tc>
        <w:tc>
          <w:tcPr>
            <w:tcW w:type="dxa" w:w="1234"/>
          </w:tcPr>
          <w:p>
            <w:pPr>
              <w:spacing w:line="240" w:lineRule="auto" w:before="0" w:after="0"/>
              <w:jc w:val="center"/>
            </w:pPr>
            <w:r>
              <w:rPr>
                <w:rFonts w:ascii="Times New Roman" w:hAnsi="Times New Roman" w:eastAsia="宋体"/>
                <w:b w:val="0"/>
                <w:sz w:val="21"/>
              </w:rPr>
              <w:t>0.262</w:t>
            </w:r>
          </w:p>
        </w:tc>
        <w:tc>
          <w:tcPr>
            <w:tcW w:type="dxa" w:w="1234"/>
          </w:tcPr>
          <w:p>
            <w:pPr>
              <w:spacing w:line="240" w:lineRule="auto" w:before="0" w:after="0"/>
              <w:jc w:val="center"/>
            </w:pPr>
            <w:r>
              <w:rPr>
                <w:rFonts w:ascii="Times New Roman" w:hAnsi="Times New Roman" w:eastAsia="宋体"/>
                <w:b w:val="0"/>
                <w:sz w:val="21"/>
              </w:rPr>
              <w:t>0.275</w:t>
            </w:r>
          </w:p>
        </w:tc>
        <w:tc>
          <w:tcPr>
            <w:tcW w:type="dxa" w:w="1234"/>
          </w:tcPr>
          <w:p>
            <w:pPr>
              <w:spacing w:line="240" w:lineRule="auto" w:before="0" w:after="0"/>
              <w:jc w:val="center"/>
            </w:pPr>
            <w:r>
              <w:rPr>
                <w:rFonts w:ascii="Times New Roman" w:hAnsi="Times New Roman" w:eastAsia="宋体"/>
                <w:b w:val="0"/>
                <w:sz w:val="21"/>
              </w:rPr>
              <w:t>0.953</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13</w:t>
            </w:r>
          </w:p>
        </w:tc>
        <w:tc>
          <w:tcPr>
            <w:tcW w:type="dxa" w:w="1234"/>
          </w:tcPr>
          <w:p>
            <w:pPr>
              <w:spacing w:line="240" w:lineRule="auto" w:before="0" w:after="0"/>
              <w:jc w:val="center"/>
            </w:pPr>
            <w:r>
              <w:rPr>
                <w:rFonts w:ascii="Times New Roman" w:hAnsi="Times New Roman" w:eastAsia="宋体"/>
                <w:b w:val="0"/>
                <w:sz w:val="21"/>
              </w:rPr>
              <w:t>广西</w:t>
            </w:r>
          </w:p>
        </w:tc>
        <w:tc>
          <w:tcPr>
            <w:tcW w:type="dxa" w:w="1234"/>
          </w:tcPr>
          <w:p>
            <w:pPr>
              <w:spacing w:line="240" w:lineRule="auto" w:before="0" w:after="0"/>
              <w:jc w:val="center"/>
            </w:pPr>
            <w:r>
              <w:rPr>
                <w:rFonts w:ascii="Times New Roman" w:hAnsi="Times New Roman" w:eastAsia="宋体"/>
                <w:b w:val="0"/>
                <w:sz w:val="21"/>
              </w:rPr>
              <w:t>0.255</w:t>
            </w:r>
          </w:p>
        </w:tc>
        <w:tc>
          <w:tcPr>
            <w:tcW w:type="dxa" w:w="1234"/>
          </w:tcPr>
          <w:p>
            <w:pPr>
              <w:spacing w:line="240" w:lineRule="auto" w:before="0" w:after="0"/>
              <w:jc w:val="center"/>
            </w:pPr>
            <w:r>
              <w:rPr>
                <w:rFonts w:ascii="Times New Roman" w:hAnsi="Times New Roman" w:eastAsia="宋体"/>
                <w:b w:val="0"/>
                <w:sz w:val="21"/>
              </w:rPr>
              <w:t>0.265</w:t>
            </w:r>
          </w:p>
        </w:tc>
        <w:tc>
          <w:tcPr>
            <w:tcW w:type="dxa" w:w="1234"/>
          </w:tcPr>
          <w:p>
            <w:pPr>
              <w:spacing w:line="240" w:lineRule="auto" w:before="0" w:after="0"/>
              <w:jc w:val="center"/>
            </w:pPr>
            <w:r>
              <w:rPr>
                <w:rFonts w:ascii="Times New Roman" w:hAnsi="Times New Roman" w:eastAsia="宋体"/>
                <w:b w:val="0"/>
                <w:sz w:val="21"/>
              </w:rPr>
              <w:t>0.962</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14</w:t>
            </w:r>
          </w:p>
        </w:tc>
        <w:tc>
          <w:tcPr>
            <w:tcW w:type="dxa" w:w="1234"/>
          </w:tcPr>
          <w:p>
            <w:pPr>
              <w:spacing w:line="240" w:lineRule="auto" w:before="0" w:after="0"/>
              <w:jc w:val="center"/>
            </w:pPr>
            <w:r>
              <w:rPr>
                <w:rFonts w:ascii="Times New Roman" w:hAnsi="Times New Roman" w:eastAsia="宋体"/>
                <w:b w:val="0"/>
                <w:sz w:val="21"/>
              </w:rPr>
              <w:t>江苏</w:t>
            </w:r>
          </w:p>
        </w:tc>
        <w:tc>
          <w:tcPr>
            <w:tcW w:type="dxa" w:w="1234"/>
          </w:tcPr>
          <w:p>
            <w:pPr>
              <w:spacing w:line="240" w:lineRule="auto" w:before="0" w:after="0"/>
              <w:jc w:val="center"/>
            </w:pPr>
            <w:r>
              <w:rPr>
                <w:rFonts w:ascii="Times New Roman" w:hAnsi="Times New Roman" w:eastAsia="宋体"/>
                <w:b w:val="0"/>
                <w:sz w:val="21"/>
              </w:rPr>
              <w:t>0.248</w:t>
            </w:r>
          </w:p>
        </w:tc>
        <w:tc>
          <w:tcPr>
            <w:tcW w:type="dxa" w:w="1234"/>
          </w:tcPr>
          <w:p>
            <w:pPr>
              <w:spacing w:line="240" w:lineRule="auto" w:before="0" w:after="0"/>
              <w:jc w:val="center"/>
            </w:pPr>
            <w:r>
              <w:rPr>
                <w:rFonts w:ascii="Times New Roman" w:hAnsi="Times New Roman" w:eastAsia="宋体"/>
                <w:b w:val="0"/>
                <w:sz w:val="21"/>
              </w:rPr>
              <w:t>0.262</w:t>
            </w:r>
          </w:p>
        </w:tc>
        <w:tc>
          <w:tcPr>
            <w:tcW w:type="dxa" w:w="1234"/>
          </w:tcPr>
          <w:p>
            <w:pPr>
              <w:spacing w:line="240" w:lineRule="auto" w:before="0" w:after="0"/>
              <w:jc w:val="center"/>
            </w:pPr>
            <w:r>
              <w:rPr>
                <w:rFonts w:ascii="Times New Roman" w:hAnsi="Times New Roman" w:eastAsia="宋体"/>
                <w:b w:val="0"/>
                <w:sz w:val="21"/>
              </w:rPr>
              <w:t>0.947</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15</w:t>
            </w:r>
          </w:p>
        </w:tc>
        <w:tc>
          <w:tcPr>
            <w:tcW w:type="dxa" w:w="1234"/>
          </w:tcPr>
          <w:p>
            <w:pPr>
              <w:spacing w:line="240" w:lineRule="auto" w:before="0" w:after="0"/>
              <w:jc w:val="center"/>
            </w:pPr>
            <w:r>
              <w:rPr>
                <w:rFonts w:ascii="Times New Roman" w:hAnsi="Times New Roman" w:eastAsia="宋体"/>
                <w:b w:val="0"/>
                <w:sz w:val="21"/>
              </w:rPr>
              <w:t>湖南</w:t>
            </w:r>
          </w:p>
        </w:tc>
        <w:tc>
          <w:tcPr>
            <w:tcW w:type="dxa" w:w="1234"/>
          </w:tcPr>
          <w:p>
            <w:pPr>
              <w:spacing w:line="240" w:lineRule="auto" w:before="0" w:after="0"/>
              <w:jc w:val="center"/>
            </w:pPr>
            <w:r>
              <w:rPr>
                <w:rFonts w:ascii="Times New Roman" w:hAnsi="Times New Roman" w:eastAsia="宋体"/>
                <w:b w:val="0"/>
                <w:sz w:val="21"/>
              </w:rPr>
              <w:t>0.235</w:t>
            </w:r>
          </w:p>
        </w:tc>
        <w:tc>
          <w:tcPr>
            <w:tcW w:type="dxa" w:w="1234"/>
          </w:tcPr>
          <w:p>
            <w:pPr>
              <w:spacing w:line="240" w:lineRule="auto" w:before="0" w:after="0"/>
              <w:jc w:val="center"/>
            </w:pPr>
            <w:r>
              <w:rPr>
                <w:rFonts w:ascii="Times New Roman" w:hAnsi="Times New Roman" w:eastAsia="宋体"/>
                <w:b w:val="0"/>
                <w:sz w:val="21"/>
              </w:rPr>
              <w:t>0.248</w:t>
            </w:r>
          </w:p>
        </w:tc>
        <w:tc>
          <w:tcPr>
            <w:tcW w:type="dxa" w:w="1234"/>
          </w:tcPr>
          <w:p>
            <w:pPr>
              <w:spacing w:line="240" w:lineRule="auto" w:before="0" w:after="0"/>
              <w:jc w:val="center"/>
            </w:pPr>
            <w:r>
              <w:rPr>
                <w:rFonts w:ascii="Times New Roman" w:hAnsi="Times New Roman" w:eastAsia="宋体"/>
                <w:b w:val="0"/>
                <w:sz w:val="21"/>
              </w:rPr>
              <w:t>0.948</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16</w:t>
            </w:r>
          </w:p>
        </w:tc>
        <w:tc>
          <w:tcPr>
            <w:tcW w:type="dxa" w:w="1234"/>
          </w:tcPr>
          <w:p>
            <w:pPr>
              <w:spacing w:line="240" w:lineRule="auto" w:before="0" w:after="0"/>
              <w:jc w:val="center"/>
            </w:pPr>
            <w:r>
              <w:rPr>
                <w:rFonts w:ascii="Times New Roman" w:hAnsi="Times New Roman" w:eastAsia="宋体"/>
                <w:b w:val="0"/>
                <w:sz w:val="21"/>
              </w:rPr>
              <w:t>江西</w:t>
            </w:r>
          </w:p>
        </w:tc>
        <w:tc>
          <w:tcPr>
            <w:tcW w:type="dxa" w:w="1234"/>
          </w:tcPr>
          <w:p>
            <w:pPr>
              <w:spacing w:line="240" w:lineRule="auto" w:before="0" w:after="0"/>
              <w:jc w:val="center"/>
            </w:pPr>
            <w:r>
              <w:rPr>
                <w:rFonts w:ascii="Times New Roman" w:hAnsi="Times New Roman" w:eastAsia="宋体"/>
                <w:b w:val="0"/>
                <w:sz w:val="21"/>
              </w:rPr>
              <w:t>0.228</w:t>
            </w:r>
          </w:p>
        </w:tc>
        <w:tc>
          <w:tcPr>
            <w:tcW w:type="dxa" w:w="1234"/>
          </w:tcPr>
          <w:p>
            <w:pPr>
              <w:spacing w:line="240" w:lineRule="auto" w:before="0" w:after="0"/>
              <w:jc w:val="center"/>
            </w:pPr>
            <w:r>
              <w:rPr>
                <w:rFonts w:ascii="Times New Roman" w:hAnsi="Times New Roman" w:eastAsia="宋体"/>
                <w:b w:val="0"/>
                <w:sz w:val="21"/>
              </w:rPr>
              <w:t>0.240</w:t>
            </w:r>
          </w:p>
        </w:tc>
        <w:tc>
          <w:tcPr>
            <w:tcW w:type="dxa" w:w="1234"/>
          </w:tcPr>
          <w:p>
            <w:pPr>
              <w:spacing w:line="240" w:lineRule="auto" w:before="0" w:after="0"/>
              <w:jc w:val="center"/>
            </w:pPr>
            <w:r>
              <w:rPr>
                <w:rFonts w:ascii="Times New Roman" w:hAnsi="Times New Roman" w:eastAsia="宋体"/>
                <w:b w:val="0"/>
                <w:sz w:val="21"/>
              </w:rPr>
              <w:t>0.950</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17</w:t>
            </w:r>
          </w:p>
        </w:tc>
        <w:tc>
          <w:tcPr>
            <w:tcW w:type="dxa" w:w="1234"/>
          </w:tcPr>
          <w:p>
            <w:pPr>
              <w:spacing w:line="240" w:lineRule="auto" w:before="0" w:after="0"/>
              <w:jc w:val="center"/>
            </w:pPr>
            <w:r>
              <w:rPr>
                <w:rFonts w:ascii="Times New Roman" w:hAnsi="Times New Roman" w:eastAsia="宋体"/>
                <w:b w:val="0"/>
                <w:sz w:val="21"/>
              </w:rPr>
              <w:t>吉林</w:t>
            </w:r>
          </w:p>
        </w:tc>
        <w:tc>
          <w:tcPr>
            <w:tcW w:type="dxa" w:w="1234"/>
          </w:tcPr>
          <w:p>
            <w:pPr>
              <w:spacing w:line="240" w:lineRule="auto" w:before="0" w:after="0"/>
              <w:jc w:val="center"/>
            </w:pPr>
            <w:r>
              <w:rPr>
                <w:rFonts w:ascii="Times New Roman" w:hAnsi="Times New Roman" w:eastAsia="宋体"/>
                <w:b w:val="0"/>
                <w:sz w:val="21"/>
              </w:rPr>
              <w:t>0.220</w:t>
            </w:r>
          </w:p>
        </w:tc>
        <w:tc>
          <w:tcPr>
            <w:tcW w:type="dxa" w:w="1234"/>
          </w:tcPr>
          <w:p>
            <w:pPr>
              <w:spacing w:line="240" w:lineRule="auto" w:before="0" w:after="0"/>
              <w:jc w:val="center"/>
            </w:pPr>
            <w:r>
              <w:rPr>
                <w:rFonts w:ascii="Times New Roman" w:hAnsi="Times New Roman" w:eastAsia="宋体"/>
                <w:b w:val="0"/>
                <w:sz w:val="21"/>
              </w:rPr>
              <w:t>0.232</w:t>
            </w:r>
          </w:p>
        </w:tc>
        <w:tc>
          <w:tcPr>
            <w:tcW w:type="dxa" w:w="1234"/>
          </w:tcPr>
          <w:p>
            <w:pPr>
              <w:spacing w:line="240" w:lineRule="auto" w:before="0" w:after="0"/>
              <w:jc w:val="center"/>
            </w:pPr>
            <w:r>
              <w:rPr>
                <w:rFonts w:ascii="Times New Roman" w:hAnsi="Times New Roman" w:eastAsia="宋体"/>
                <w:b w:val="0"/>
                <w:sz w:val="21"/>
              </w:rPr>
              <w:t>0.948</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18</w:t>
            </w:r>
          </w:p>
        </w:tc>
        <w:tc>
          <w:tcPr>
            <w:tcW w:type="dxa" w:w="1234"/>
          </w:tcPr>
          <w:p>
            <w:pPr>
              <w:spacing w:line="240" w:lineRule="auto" w:before="0" w:after="0"/>
              <w:jc w:val="center"/>
            </w:pPr>
            <w:r>
              <w:rPr>
                <w:rFonts w:ascii="Times New Roman" w:hAnsi="Times New Roman" w:eastAsia="宋体"/>
                <w:b w:val="0"/>
                <w:sz w:val="21"/>
              </w:rPr>
              <w:t>内蒙古</w:t>
            </w:r>
          </w:p>
        </w:tc>
        <w:tc>
          <w:tcPr>
            <w:tcW w:type="dxa" w:w="1234"/>
          </w:tcPr>
          <w:p>
            <w:pPr>
              <w:spacing w:line="240" w:lineRule="auto" w:before="0" w:after="0"/>
              <w:jc w:val="center"/>
            </w:pPr>
            <w:r>
              <w:rPr>
                <w:rFonts w:ascii="Times New Roman" w:hAnsi="Times New Roman" w:eastAsia="宋体"/>
                <w:b w:val="0"/>
                <w:sz w:val="21"/>
              </w:rPr>
              <w:t>0.215</w:t>
            </w:r>
          </w:p>
        </w:tc>
        <w:tc>
          <w:tcPr>
            <w:tcW w:type="dxa" w:w="1234"/>
          </w:tcPr>
          <w:p>
            <w:pPr>
              <w:spacing w:line="240" w:lineRule="auto" w:before="0" w:after="0"/>
              <w:jc w:val="center"/>
            </w:pPr>
            <w:r>
              <w:rPr>
                <w:rFonts w:ascii="Times New Roman" w:hAnsi="Times New Roman" w:eastAsia="宋体"/>
                <w:b w:val="0"/>
                <w:sz w:val="21"/>
              </w:rPr>
              <w:t>0.228</w:t>
            </w:r>
          </w:p>
        </w:tc>
        <w:tc>
          <w:tcPr>
            <w:tcW w:type="dxa" w:w="1234"/>
          </w:tcPr>
          <w:p>
            <w:pPr>
              <w:spacing w:line="240" w:lineRule="auto" w:before="0" w:after="0"/>
              <w:jc w:val="center"/>
            </w:pPr>
            <w:r>
              <w:rPr>
                <w:rFonts w:ascii="Times New Roman" w:hAnsi="Times New Roman" w:eastAsia="宋体"/>
                <w:b w:val="0"/>
                <w:sz w:val="21"/>
              </w:rPr>
              <w:t>0.943</w:t>
            </w:r>
          </w:p>
        </w:tc>
        <w:tc>
          <w:tcPr>
            <w:tcW w:type="dxa" w:w="1234"/>
          </w:tcPr>
          <w:p>
            <w:pPr>
              <w:spacing w:line="240" w:lineRule="auto" w:before="0" w:after="0"/>
              <w:jc w:val="center"/>
            </w:pPr>
            <w:r>
              <w:rPr>
                <w:rFonts w:ascii="Times New Roman" w:hAnsi="Times New Roman" w:eastAsia="宋体"/>
                <w:b w:val="0"/>
                <w:sz w:val="21"/>
              </w:rPr>
              <w:t>技术短板型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19</w:t>
            </w:r>
          </w:p>
        </w:tc>
        <w:tc>
          <w:tcPr>
            <w:tcW w:type="dxa" w:w="1234"/>
          </w:tcPr>
          <w:p>
            <w:pPr>
              <w:spacing w:line="240" w:lineRule="auto" w:before="0" w:after="0"/>
              <w:jc w:val="center"/>
            </w:pPr>
            <w:r>
              <w:rPr>
                <w:rFonts w:ascii="Times New Roman" w:hAnsi="Times New Roman" w:eastAsia="宋体"/>
                <w:b w:val="0"/>
                <w:sz w:val="21"/>
              </w:rPr>
              <w:t>天津</w:t>
            </w:r>
          </w:p>
        </w:tc>
        <w:tc>
          <w:tcPr>
            <w:tcW w:type="dxa" w:w="1234"/>
          </w:tcPr>
          <w:p>
            <w:pPr>
              <w:spacing w:line="240" w:lineRule="auto" w:before="0" w:after="0"/>
              <w:jc w:val="center"/>
            </w:pPr>
            <w:r>
              <w:rPr>
                <w:rFonts w:ascii="Times New Roman" w:hAnsi="Times New Roman" w:eastAsia="宋体"/>
                <w:b w:val="0"/>
                <w:sz w:val="21"/>
              </w:rPr>
              <w:t>0.208</w:t>
            </w:r>
          </w:p>
        </w:tc>
        <w:tc>
          <w:tcPr>
            <w:tcW w:type="dxa" w:w="1234"/>
          </w:tcPr>
          <w:p>
            <w:pPr>
              <w:spacing w:line="240" w:lineRule="auto" w:before="0" w:after="0"/>
              <w:jc w:val="center"/>
            </w:pPr>
            <w:r>
              <w:rPr>
                <w:rFonts w:ascii="Times New Roman" w:hAnsi="Times New Roman" w:eastAsia="宋体"/>
                <w:b w:val="0"/>
                <w:sz w:val="21"/>
              </w:rPr>
              <w:t>0.225</w:t>
            </w:r>
          </w:p>
        </w:tc>
        <w:tc>
          <w:tcPr>
            <w:tcW w:type="dxa" w:w="1234"/>
          </w:tcPr>
          <w:p>
            <w:pPr>
              <w:spacing w:line="240" w:lineRule="auto" w:before="0" w:after="0"/>
              <w:jc w:val="center"/>
            </w:pPr>
            <w:r>
              <w:rPr>
                <w:rFonts w:ascii="Times New Roman" w:hAnsi="Times New Roman" w:eastAsia="宋体"/>
                <w:b w:val="0"/>
                <w:sz w:val="21"/>
              </w:rPr>
              <w:t>0.924</w:t>
            </w:r>
          </w:p>
        </w:tc>
        <w:tc>
          <w:tcPr>
            <w:tcW w:type="dxa" w:w="1234"/>
          </w:tcPr>
          <w:p>
            <w:pPr>
              <w:spacing w:line="240" w:lineRule="auto" w:before="0" w:after="0"/>
              <w:jc w:val="center"/>
            </w:pPr>
            <w:r>
              <w:rPr>
                <w:rFonts w:ascii="Times New Roman" w:hAnsi="Times New Roman" w:eastAsia="宋体"/>
                <w:b w:val="0"/>
                <w:sz w:val="21"/>
              </w:rPr>
              <w:t>规模短板型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20</w:t>
            </w:r>
          </w:p>
        </w:tc>
        <w:tc>
          <w:tcPr>
            <w:tcW w:type="dxa" w:w="1234"/>
          </w:tcPr>
          <w:p>
            <w:pPr>
              <w:spacing w:line="240" w:lineRule="auto" w:before="0" w:after="0"/>
              <w:jc w:val="center"/>
            </w:pPr>
            <w:r>
              <w:rPr>
                <w:rFonts w:ascii="Times New Roman" w:hAnsi="Times New Roman" w:eastAsia="宋体"/>
                <w:b w:val="0"/>
                <w:sz w:val="21"/>
              </w:rPr>
              <w:t>河南</w:t>
            </w:r>
          </w:p>
        </w:tc>
        <w:tc>
          <w:tcPr>
            <w:tcW w:type="dxa" w:w="1234"/>
          </w:tcPr>
          <w:p>
            <w:pPr>
              <w:spacing w:line="240" w:lineRule="auto" w:before="0" w:after="0"/>
              <w:jc w:val="center"/>
            </w:pPr>
            <w:r>
              <w:rPr>
                <w:rFonts w:ascii="Times New Roman" w:hAnsi="Times New Roman" w:eastAsia="宋体"/>
                <w:b w:val="0"/>
                <w:sz w:val="21"/>
              </w:rPr>
              <w:t>0.155</w:t>
            </w:r>
          </w:p>
        </w:tc>
        <w:tc>
          <w:tcPr>
            <w:tcW w:type="dxa" w:w="1234"/>
          </w:tcPr>
          <w:p>
            <w:pPr>
              <w:spacing w:line="240" w:lineRule="auto" w:before="0" w:after="0"/>
              <w:jc w:val="center"/>
            </w:pPr>
            <w:r>
              <w:rPr>
                <w:rFonts w:ascii="Times New Roman" w:hAnsi="Times New Roman" w:eastAsia="宋体"/>
                <w:b w:val="0"/>
                <w:sz w:val="21"/>
              </w:rPr>
              <w:t>0.168</w:t>
            </w:r>
          </w:p>
        </w:tc>
        <w:tc>
          <w:tcPr>
            <w:tcW w:type="dxa" w:w="1234"/>
          </w:tcPr>
          <w:p>
            <w:pPr>
              <w:spacing w:line="240" w:lineRule="auto" w:before="0" w:after="0"/>
              <w:jc w:val="center"/>
            </w:pPr>
            <w:r>
              <w:rPr>
                <w:rFonts w:ascii="Times New Roman" w:hAnsi="Times New Roman" w:eastAsia="宋体"/>
                <w:b w:val="0"/>
                <w:sz w:val="21"/>
              </w:rPr>
              <w:t>0.923</w:t>
            </w:r>
          </w:p>
        </w:tc>
        <w:tc>
          <w:tcPr>
            <w:tcW w:type="dxa" w:w="1234"/>
          </w:tcPr>
          <w:p>
            <w:pPr>
              <w:spacing w:line="240" w:lineRule="auto" w:before="0" w:after="0"/>
              <w:jc w:val="center"/>
            </w:pPr>
            <w:r>
              <w:rPr>
                <w:rFonts w:ascii="Times New Roman" w:hAnsi="Times New Roman" w:eastAsia="宋体"/>
                <w:b w:val="0"/>
                <w:sz w:val="21"/>
              </w:rPr>
              <w:t>规模短板型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21</w:t>
            </w:r>
          </w:p>
        </w:tc>
        <w:tc>
          <w:tcPr>
            <w:tcW w:type="dxa" w:w="1234"/>
          </w:tcPr>
          <w:p>
            <w:pPr>
              <w:spacing w:line="240" w:lineRule="auto" w:before="0" w:after="0"/>
              <w:jc w:val="center"/>
            </w:pPr>
            <w:r>
              <w:rPr>
                <w:rFonts w:ascii="Times New Roman" w:hAnsi="Times New Roman" w:eastAsia="宋体"/>
                <w:b w:val="0"/>
                <w:sz w:val="21"/>
              </w:rPr>
              <w:t>云南</w:t>
            </w:r>
          </w:p>
        </w:tc>
        <w:tc>
          <w:tcPr>
            <w:tcW w:type="dxa" w:w="1234"/>
          </w:tcPr>
          <w:p>
            <w:pPr>
              <w:spacing w:line="240" w:lineRule="auto" w:before="0" w:after="0"/>
              <w:jc w:val="center"/>
            </w:pPr>
            <w:r>
              <w:rPr>
                <w:rFonts w:ascii="Times New Roman" w:hAnsi="Times New Roman" w:eastAsia="宋体"/>
                <w:b w:val="0"/>
                <w:sz w:val="21"/>
              </w:rPr>
              <w:t>0.148</w:t>
            </w:r>
          </w:p>
        </w:tc>
        <w:tc>
          <w:tcPr>
            <w:tcW w:type="dxa" w:w="1234"/>
          </w:tcPr>
          <w:p>
            <w:pPr>
              <w:spacing w:line="240" w:lineRule="auto" w:before="0" w:after="0"/>
              <w:jc w:val="center"/>
            </w:pPr>
            <w:r>
              <w:rPr>
                <w:rFonts w:ascii="Times New Roman" w:hAnsi="Times New Roman" w:eastAsia="宋体"/>
                <w:b w:val="0"/>
                <w:sz w:val="21"/>
              </w:rPr>
              <w:t>0.160</w:t>
            </w:r>
          </w:p>
        </w:tc>
        <w:tc>
          <w:tcPr>
            <w:tcW w:type="dxa" w:w="1234"/>
          </w:tcPr>
          <w:p>
            <w:pPr>
              <w:spacing w:line="240" w:lineRule="auto" w:before="0" w:after="0"/>
              <w:jc w:val="center"/>
            </w:pPr>
            <w:r>
              <w:rPr>
                <w:rFonts w:ascii="Times New Roman" w:hAnsi="Times New Roman" w:eastAsia="宋体"/>
                <w:b w:val="0"/>
                <w:sz w:val="21"/>
              </w:rPr>
              <w:t>0.925</w:t>
            </w:r>
          </w:p>
        </w:tc>
        <w:tc>
          <w:tcPr>
            <w:tcW w:type="dxa" w:w="1234"/>
          </w:tcPr>
          <w:p>
            <w:pPr>
              <w:spacing w:line="240" w:lineRule="auto" w:before="0" w:after="0"/>
              <w:jc w:val="center"/>
            </w:pPr>
            <w:r>
              <w:rPr>
                <w:rFonts w:ascii="Times New Roman" w:hAnsi="Times New Roman" w:eastAsia="宋体"/>
                <w:b w:val="0"/>
                <w:sz w:val="21"/>
              </w:rPr>
              <w:t>规模短板型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22</w:t>
            </w:r>
          </w:p>
        </w:tc>
        <w:tc>
          <w:tcPr>
            <w:tcW w:type="dxa" w:w="1234"/>
          </w:tcPr>
          <w:p>
            <w:pPr>
              <w:spacing w:line="240" w:lineRule="auto" w:before="0" w:after="0"/>
              <w:jc w:val="center"/>
            </w:pPr>
            <w:r>
              <w:rPr>
                <w:rFonts w:ascii="Times New Roman" w:hAnsi="Times New Roman" w:eastAsia="宋体"/>
                <w:b w:val="0"/>
                <w:sz w:val="21"/>
              </w:rPr>
              <w:t>山西</w:t>
            </w:r>
          </w:p>
        </w:tc>
        <w:tc>
          <w:tcPr>
            <w:tcW w:type="dxa" w:w="1234"/>
          </w:tcPr>
          <w:p>
            <w:pPr>
              <w:spacing w:line="240" w:lineRule="auto" w:before="0" w:after="0"/>
              <w:jc w:val="center"/>
            </w:pPr>
            <w:r>
              <w:rPr>
                <w:rFonts w:ascii="Times New Roman" w:hAnsi="Times New Roman" w:eastAsia="宋体"/>
                <w:b w:val="0"/>
                <w:sz w:val="21"/>
              </w:rPr>
              <w:t>0.125</w:t>
            </w:r>
          </w:p>
        </w:tc>
        <w:tc>
          <w:tcPr>
            <w:tcW w:type="dxa" w:w="1234"/>
          </w:tcPr>
          <w:p>
            <w:pPr>
              <w:spacing w:line="240" w:lineRule="auto" w:before="0" w:after="0"/>
              <w:jc w:val="center"/>
            </w:pPr>
            <w:r>
              <w:rPr>
                <w:rFonts w:ascii="Times New Roman" w:hAnsi="Times New Roman" w:eastAsia="宋体"/>
                <w:b w:val="0"/>
                <w:sz w:val="21"/>
              </w:rPr>
              <w:t>0.142</w:t>
            </w:r>
          </w:p>
        </w:tc>
        <w:tc>
          <w:tcPr>
            <w:tcW w:type="dxa" w:w="1234"/>
          </w:tcPr>
          <w:p>
            <w:pPr>
              <w:spacing w:line="240" w:lineRule="auto" w:before="0" w:after="0"/>
              <w:jc w:val="center"/>
            </w:pPr>
            <w:r>
              <w:rPr>
                <w:rFonts w:ascii="Times New Roman" w:hAnsi="Times New Roman" w:eastAsia="宋体"/>
                <w:b w:val="0"/>
                <w:sz w:val="21"/>
              </w:rPr>
              <w:t>0.880</w:t>
            </w:r>
          </w:p>
        </w:tc>
        <w:tc>
          <w:tcPr>
            <w:tcW w:type="dxa" w:w="1234"/>
          </w:tcPr>
          <w:p>
            <w:pPr>
              <w:spacing w:line="240" w:lineRule="auto" w:before="0" w:after="0"/>
              <w:jc w:val="center"/>
            </w:pPr>
            <w:r>
              <w:rPr>
                <w:rFonts w:ascii="Times New Roman" w:hAnsi="Times New Roman" w:eastAsia="宋体"/>
                <w:b w:val="0"/>
                <w:sz w:val="21"/>
              </w:rPr>
              <w:t>规模短板型</w:t>
            </w:r>
          </w:p>
        </w:tc>
        <w:tc>
          <w:tcPr>
            <w:tcW w:type="dxa" w:w="1234"/>
          </w:tcPr>
          <w:p>
            <w:pPr>
              <w:spacing w:line="240" w:lineRule="auto" w:before="0" w:after="0"/>
              <w:jc w:val="center"/>
            </w:pPr>
            <w:r>
              <w:rPr>
                <w:rFonts w:ascii="Times New Roman" w:hAnsi="Times New Roman" w:eastAsia="宋体"/>
                <w:b w:val="0"/>
                <w:sz w:val="21"/>
              </w:rPr>
              <w:t>递减</w:t>
            </w:r>
          </w:p>
        </w:tc>
      </w:tr>
      <w:tr>
        <w:tc>
          <w:tcPr>
            <w:tcW w:type="dxa" w:w="1234"/>
          </w:tcPr>
          <w:p>
            <w:pPr>
              <w:spacing w:line="240" w:lineRule="auto" w:before="0" w:after="0"/>
              <w:jc w:val="center"/>
            </w:pPr>
            <w:r>
              <w:rPr>
                <w:rFonts w:ascii="Times New Roman" w:hAnsi="Times New Roman" w:eastAsia="宋体"/>
                <w:b w:val="0"/>
                <w:sz w:val="21"/>
              </w:rPr>
              <w:t>—</w:t>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均值</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0.278</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0.295</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r>
            <w:r>
              <w:rPr>
                <w:rFonts w:ascii="Times New Roman" w:hAnsi="Times New Roman" w:eastAsia="宋体"/>
                <w:b/>
                <w:sz w:val="21"/>
              </w:rPr>
              <w:t>0.942</w:t>
            </w:r>
            <w:r>
              <w:rPr>
                <w:rFonts w:ascii="Times New Roman" w:hAnsi="Times New Roman" w:eastAsia="宋体"/>
                <w:b w:val="0"/>
                <w:sz w:val="21"/>
              </w:rPr>
            </w:r>
          </w:p>
        </w:tc>
        <w:tc>
          <w:tcPr>
            <w:tcW w:type="dxa" w:w="1234"/>
          </w:tcPr>
          <w:p>
            <w:pPr>
              <w:spacing w:line="240" w:lineRule="auto" w:before="0" w:after="0"/>
              <w:jc w:val="center"/>
            </w:pPr>
            <w:r>
              <w:rPr>
                <w:rFonts w:ascii="Times New Roman" w:hAnsi="Times New Roman" w:eastAsia="宋体"/>
                <w:b w:val="0"/>
                <w:sz w:val="21"/>
              </w:rPr>
              <w:t>—</w:t>
            </w:r>
          </w:p>
        </w:tc>
        <w:tc>
          <w:tcPr>
            <w:tcW w:type="dxa" w:w="1234"/>
          </w:tcPr>
          <w:p>
            <w:pPr>
              <w:spacing w:line="240" w:lineRule="auto" w:before="0" w:after="0"/>
              <w:jc w:val="center"/>
            </w:pPr>
            <w:r>
              <w:rPr>
                <w:rFonts w:ascii="Times New Roman" w:hAnsi="Times New Roman" w:eastAsia="宋体"/>
                <w:b w:val="0"/>
                <w:sz w:val="21"/>
              </w:rPr>
              <w:t>—</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Pro采集系统 + DEA-BCC计算，2025年3月。</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从表4-2可以看出四个关键发现：</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发现一：无平台达到DEA有效（TE=1）。</w:t>
      </w:r>
      <w:r>
        <w:rPr>
          <w:rFonts w:ascii="Times New Roman" w:hAnsi="Times New Roman" w:eastAsia="宋体"/>
          <w:b w:val="0"/>
          <w:sz w:val="24"/>
        </w:rPr>
        <w:t xml:space="preserve"> 23个平台的综合效率均小于1，表明所有平台都存在效率改进空间。效率最高的山东平台TE仅为0.498，意味着即使在"最有效率"的平台，投入产出比也仅为最优水平的49.8%。这一发现揭示了政府数据开放平台在资源配置效率方面的普遍不足。DEA有效（TE=1）意味着平台在当前技术水平下实现了投入产出的最优配置——没有任何一个平台达到这一标准，表明整个行业在效率提升方面存在巨大的改进空间。</w:t>
      </w:r>
    </w:p>
    <w:p>
      <w:pPr>
        <w:spacing w:line="360" w:lineRule="auto" w:before="0" w:after="0"/>
        <w:ind w:firstLine="420"/>
        <w:jc w:val="both"/>
      </w:pPr>
      <w:r>
        <w:rPr>
          <w:rFonts w:ascii="Times New Roman" w:hAnsi="Times New Roman" w:eastAsia="宋体"/>
          <w:b w:val="0"/>
          <w:sz w:val="24"/>
        </w:rPr>
        <w:t>从国际比较的视角看，这一发现并非中国特有。Jetzek等在对欧洲开放数据平台的效率评估中发现，大多数平台的DEA效率值低于0.60，与本研究的发现基本一致。这表明政府数据开放平台的"低效率"是一个全球性的共性问题，其根源在于公共部门资源配置的体制性障碍——预算软约束、绩效激励不足、跨部门协调困难等。这些体制性障碍使得公共部门难以像私营部门那样追求投入产出的最优化。</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发现二：技术短板型占主导，规模短板型为次。</w:t>
      </w:r>
      <w:r>
        <w:rPr>
          <w:rFonts w:ascii="Times New Roman" w:hAnsi="Times New Roman" w:eastAsia="宋体"/>
          <w:b w:val="0"/>
          <w:sz w:val="24"/>
        </w:rPr>
        <w:t xml:space="preserve"> 19个平台（86.4%）属于"技术短板型"（TE=PTE&lt;SE），表明这些平台的主要效率损失来源于管理和技术层面——在现有投入规模下，平台未能充分发挥资源的生产潜力。4个平台（13.6%）属于"规模短板型"（TE=SE&lt;PTE），表明这些平台的主要效率损失来源于规模不经济——投入规模过大或过小，未能达到最优规模。</w:t>
      </w:r>
    </w:p>
    <w:p>
      <w:pPr>
        <w:spacing w:line="360" w:lineRule="auto" w:before="0" w:after="0"/>
        <w:ind w:firstLine="420"/>
        <w:jc w:val="both"/>
      </w:pPr>
      <w:r>
        <w:rPr>
          <w:rFonts w:ascii="Times New Roman" w:hAnsi="Times New Roman" w:eastAsia="宋体"/>
          <w:b w:val="0"/>
          <w:sz w:val="24"/>
        </w:rPr>
        <w:t>技术短板型占主导地位的发现具有重要的政策含义。纯技术效率衡量的是平台在现有规模下的管理和技术水平——如果纯技术效率低，说明平台即使在不改变投入规模的情况下，也可以通过提升管理水平和技术能力来提高产出。这与规模效率形成鲜明对比——规模效率低意味着平台的投入规模不合理，需要通过扩大或缩小规模来提升效率。本研究发现纯技术效率均值仅为0.295，而规模效率均值高达0.942，表明平台的主要问题不是"规模不对"，而是"管理不善"。这一发现为政策制定者提供了明确的方向：提升效率的关键在于优化管理和技术，而非简单地增加或减少投入。</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发现三：规模效率普遍较高（均值0.942），纯技术效率普遍较低（均值0.295）。</w:t>
      </w:r>
      <w:r>
        <w:rPr>
          <w:rFonts w:ascii="Times New Roman" w:hAnsi="Times New Roman" w:eastAsia="宋体"/>
          <w:b w:val="0"/>
          <w:sz w:val="24"/>
        </w:rPr>
        <w:t xml:space="preserve"> 大多数平台的规模效率接近或超过0.90，表明平台的投入规模基本合理，不存在严重的规模不经济问题。然而，纯技术效率均值仅为0.295，表明平台在管理和技术层面的效率损失极为严重——这是政府数据开放平台效率提升的关键突破口。</w:t>
      </w:r>
    </w:p>
    <w:p>
      <w:pPr>
        <w:spacing w:line="360" w:lineRule="auto" w:before="0" w:after="0"/>
        <w:ind w:firstLine="420"/>
        <w:jc w:val="both"/>
      </w:pPr>
      <w:r>
        <w:rPr>
          <w:rFonts w:ascii="Times New Roman" w:hAnsi="Times New Roman" w:eastAsia="宋体"/>
          <w:b w:val="0"/>
          <w:sz w:val="24"/>
        </w:rPr>
        <w:t>纯技术效率的低下可以从多个维度进行解释。第一，</w:t>
      </w:r>
      <w:r>
        <w:rPr>
          <w:rFonts w:ascii="Times New Roman" w:hAnsi="Times New Roman" w:eastAsia="宋体"/>
          <w:b/>
          <w:sz w:val="24"/>
        </w:rPr>
        <w:t>管理流程冗余</w:t>
      </w:r>
      <w:r>
        <w:rPr>
          <w:rFonts w:ascii="Times New Roman" w:hAnsi="Times New Roman" w:eastAsia="宋体"/>
          <w:b w:val="0"/>
          <w:sz w:val="24"/>
        </w:rPr>
        <w:t>——公共部门的数据开放流程通常涉及多个部门的审批和协调，从数据申请到最终发布需要经过复杂的行政程序，导致管理效率低下。第二，</w:t>
      </w:r>
      <w:r>
        <w:rPr>
          <w:rFonts w:ascii="Times New Roman" w:hAnsi="Times New Roman" w:eastAsia="宋体"/>
          <w:b/>
          <w:sz w:val="24"/>
        </w:rPr>
        <w:t>技术能力滞后</w:t>
      </w:r>
      <w:r>
        <w:rPr>
          <w:rFonts w:ascii="Times New Roman" w:hAnsi="Times New Roman" w:eastAsia="宋体"/>
          <w:b w:val="0"/>
          <w:sz w:val="24"/>
        </w:rPr>
        <w:t>——部分平台仍然采用早期的技术架构，缺乏现代化的数据管理工具和自动化运维能力，导致技术效率低下。第三，</w:t>
      </w:r>
      <w:r>
        <w:rPr>
          <w:rFonts w:ascii="Times New Roman" w:hAnsi="Times New Roman" w:eastAsia="宋体"/>
          <w:b/>
          <w:sz w:val="24"/>
        </w:rPr>
        <w:t>人员能力不足</w:t>
      </w:r>
      <w:r>
        <w:rPr>
          <w:rFonts w:ascii="Times New Roman" w:hAnsi="Times New Roman" w:eastAsia="宋体"/>
          <w:b w:val="0"/>
          <w:sz w:val="24"/>
        </w:rPr>
        <w:t>——平台运营团队的数据治理能力和技术能力参差不齐，部分平台缺乏专业的数据管理人员和技术开发人员。第四，</w:t>
      </w:r>
      <w:r>
        <w:rPr>
          <w:rFonts w:ascii="Times New Roman" w:hAnsi="Times New Roman" w:eastAsia="宋体"/>
          <w:b/>
          <w:sz w:val="24"/>
        </w:rPr>
        <w:t>激励机制缺失</w:t>
      </w:r>
      <w:r>
        <w:rPr>
          <w:rFonts w:ascii="Times New Roman" w:hAnsi="Times New Roman" w:eastAsia="宋体"/>
          <w:b w:val="0"/>
          <w:sz w:val="24"/>
        </w:rPr>
        <w:t>——公共部门的绩效激励体系通常不与数据开放绩效直接挂钩，导致运营者缺乏提升效率的动力。</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发现四：效率排名与绩效排名并非完全对应。</w:t>
      </w:r>
      <w:r>
        <w:rPr>
          <w:rFonts w:ascii="Times New Roman" w:hAnsi="Times New Roman" w:eastAsia="宋体"/>
          <w:b w:val="0"/>
          <w:sz w:val="24"/>
        </w:rPr>
        <w:t xml:space="preserve"> 山东在效率排名中位列第一（TE=0.498），但在绩效排名中位列第二（TOPSIS=0.540）；广东在绩效排名中位列第一（TOPSIS=1.000），但在效率排名中位列第二（TE=0.485）。这种"错位"揭示了绩效和效率是两个不同的概念——高绩效不一定高效率，高效率不一定高绩效。</w:t>
      </w:r>
    </w:p>
    <w:p>
      <w:pPr>
        <w:spacing w:line="360" w:lineRule="auto" w:before="0" w:after="0"/>
        <w:ind w:firstLine="420"/>
        <w:jc w:val="both"/>
      </w:pPr>
      <w:r>
        <w:rPr>
          <w:rFonts w:ascii="Times New Roman" w:hAnsi="Times New Roman" w:eastAsia="宋体"/>
          <w:b w:val="0"/>
          <w:sz w:val="24"/>
        </w:rPr>
        <w:t>绩效与效率的"错位"现象对于政策制定具有重要的启示。从资源配置的视角看，如果将有限的财政资源优先投入"高绩效"平台（如广东），可能无法获得最大的边际效益——因为广东的TE仅为0.485，意味着其投入产出比并不理想，同样的资源投入在"高效率"平台（如山东、福建、贵州）可能产生更大的绩效提升。反之，如果优先投入"高效率"平台，虽然这些平台的当前绩效不高，但由于其资源配置效率较高，新增投入能够更有效地转化为绩效产出。这一发现挑战了传统的"扶优扶强"策略——在资源有限的情况下，"扶优"未必最优，"扶效"可能更优。</w:t>
      </w:r>
    </w:p>
    <w:p>
      <w:pPr>
        <w:spacing w:line="360" w:lineRule="auto" w:before="0" w:after="0"/>
        <w:ind w:firstLine="420"/>
        <w:jc w:val="both"/>
      </w:pPr>
      <w:r>
        <w:rPr>
          <w:rFonts w:ascii="Times New Roman" w:hAnsi="Times New Roman" w:eastAsia="宋体"/>
          <w:b w:val="0"/>
          <w:sz w:val="24"/>
        </w:rPr>
        <w:t>绩效-效率的"错位"现象在公共部门绩效评估中并不罕见。Coelli等在对公共部门效率研究的综述中指出，绩效（ effectiveness）和效率（efficiency）是两个独立但相关的概念——绩效衡量"做得好不好"（产出质量），效率衡量"做得省不省"（投入产出比）。一个平台可能通过大量投入实现了高绩效（如广东），但其效率可能并不理想；另一个平台可能以较少的投入实现了中等绩效（如贵州），但其效率可能相对较高。这种"错位"提醒政策制定者：在评估平台时，不能仅看绩效排名，还需要关注效率排名——高绩效但低效率的平台可能存在资源浪费问题，而低绩效但高效率的平台可能是"投入不足"而非"能力不够"。</w:t>
      </w:r>
    </w:p>
    <w:p>
      <w:pPr>
        <w:pStyle w:val="Heading3"/>
        <w:spacing w:before="240" w:after="120" w:line="360" w:lineRule="auto"/>
        <w:ind w:firstLine="0"/>
        <w:jc w:val="left"/>
      </w:pPr>
      <w:r>
        <w:rPr>
          <w:rFonts w:ascii="Times New Roman" w:hAnsi="Times New Roman" w:eastAsia="黑体"/>
          <w:b/>
          <w:sz w:val="28"/>
        </w:rPr>
        <w:t>4.3 绩效-效率矩阵分析</w:t>
      </w:r>
    </w:p>
    <w:p>
      <w:pPr>
        <w:spacing w:line="360" w:lineRule="auto" w:before="0" w:after="0"/>
        <w:ind w:firstLine="420"/>
        <w:jc w:val="both"/>
      </w:pPr>
      <w:r>
        <w:rPr>
          <w:rFonts w:ascii="Times New Roman" w:hAnsi="Times New Roman" w:eastAsia="宋体"/>
          <w:b w:val="0"/>
          <w:sz w:val="24"/>
        </w:rPr>
        <w:t>基于TOPSIS绩效得分和DEA综合效率值，本研究构建了"绩效-效率四象限矩阵"（表4-3），将23个平台分为四种类型。</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表4-3 绩效-效率四象限分类</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before="0" w:after="0"/>
              <w:jc w:val="center"/>
            </w:pPr>
            <w:r>
              <w:rPr>
                <w:rFonts w:ascii="Times New Roman" w:hAnsi="Times New Roman" w:eastAsia="宋体"/>
                <w:b w:val="0"/>
                <w:sz w:val="21"/>
              </w:rPr>
              <w:t>象限</w:t>
            </w:r>
          </w:p>
        </w:tc>
        <w:tc>
          <w:tcPr>
            <w:tcW w:type="dxa" w:w="1440"/>
          </w:tcPr>
          <w:p>
            <w:pPr>
              <w:spacing w:line="240" w:lineRule="auto" w:before="0" w:after="0"/>
              <w:jc w:val="center"/>
            </w:pPr>
            <w:r>
              <w:rPr>
                <w:rFonts w:ascii="Times New Roman" w:hAnsi="Times New Roman" w:eastAsia="宋体"/>
                <w:b w:val="0"/>
                <w:sz w:val="21"/>
              </w:rPr>
              <w:t>类型</w:t>
            </w:r>
          </w:p>
        </w:tc>
        <w:tc>
          <w:tcPr>
            <w:tcW w:type="dxa" w:w="1440"/>
          </w:tcPr>
          <w:p>
            <w:pPr>
              <w:spacing w:line="240" w:lineRule="auto" w:before="0" w:after="0"/>
              <w:jc w:val="center"/>
            </w:pPr>
            <w:r>
              <w:rPr>
                <w:rFonts w:ascii="Times New Roman" w:hAnsi="Times New Roman" w:eastAsia="宋体"/>
                <w:b w:val="0"/>
                <w:sz w:val="21"/>
              </w:rPr>
              <w:t>判定标准</w:t>
            </w:r>
          </w:p>
        </w:tc>
        <w:tc>
          <w:tcPr>
            <w:tcW w:type="dxa" w:w="1440"/>
          </w:tcPr>
          <w:p>
            <w:pPr>
              <w:spacing w:line="240" w:lineRule="auto" w:before="0" w:after="0"/>
              <w:jc w:val="center"/>
            </w:pPr>
            <w:r>
              <w:rPr>
                <w:rFonts w:ascii="Times New Roman" w:hAnsi="Times New Roman" w:eastAsia="宋体"/>
                <w:b w:val="0"/>
                <w:sz w:val="21"/>
              </w:rPr>
              <w:t>平台</w:t>
            </w:r>
          </w:p>
        </w:tc>
        <w:tc>
          <w:tcPr>
            <w:tcW w:type="dxa" w:w="1440"/>
          </w:tcPr>
          <w:p>
            <w:pPr>
              <w:spacing w:line="240" w:lineRule="auto" w:before="0" w:after="0"/>
              <w:jc w:val="center"/>
            </w:pPr>
            <w:r>
              <w:rPr>
                <w:rFonts w:ascii="Times New Roman" w:hAnsi="Times New Roman" w:eastAsia="宋体"/>
                <w:b w:val="0"/>
                <w:sz w:val="21"/>
              </w:rPr>
              <w:t>数量</w:t>
            </w:r>
          </w:p>
        </w:tc>
        <w:tc>
          <w:tcPr>
            <w:tcW w:type="dxa" w:w="1440"/>
          </w:tcPr>
          <w:p>
            <w:pPr>
              <w:spacing w:line="240" w:lineRule="auto" w:before="0" w:after="0"/>
              <w:jc w:val="center"/>
            </w:pPr>
            <w:r>
              <w:rPr>
                <w:rFonts w:ascii="Times New Roman" w:hAnsi="Times New Roman" w:eastAsia="宋体"/>
                <w:b w:val="0"/>
                <w:sz w:val="21"/>
              </w:rPr>
              <w:t>特征描述</w:t>
            </w:r>
          </w:p>
        </w:tc>
      </w:tr>
      <w:tr>
        <w:tc>
          <w:tcPr>
            <w:tcW w:type="dxa" w:w="1440"/>
          </w:tcPr>
          <w:p>
            <w:pPr>
              <w:spacing w:line="240" w:lineRule="auto" w:before="0" w:after="0"/>
              <w:jc w:val="center"/>
            </w:pPr>
            <w:r>
              <w:rPr>
                <w:rFonts w:ascii="Times New Roman" w:hAnsi="Times New Roman" w:eastAsia="宋体"/>
                <w:b w:val="0"/>
                <w:sz w:val="21"/>
              </w:rPr>
              <w:t>第一象限</w:t>
            </w:r>
          </w:p>
        </w:tc>
        <w:tc>
          <w:tcPr>
            <w:tcW w:type="dxa" w:w="1440"/>
          </w:tcPr>
          <w:p>
            <w:pPr>
              <w:spacing w:line="240" w:lineRule="auto" w:before="0" w:after="0"/>
              <w:jc w:val="center"/>
            </w:pPr>
            <w:r>
              <w:rPr>
                <w:rFonts w:ascii="Times New Roman" w:hAnsi="Times New Roman" w:eastAsia="宋体"/>
                <w:b w:val="0"/>
                <w:sz w:val="21"/>
              </w:rPr>
              <w:t>明星型</w:t>
            </w:r>
          </w:p>
        </w:tc>
        <w:tc>
          <w:tcPr>
            <w:tcW w:type="dxa" w:w="1440"/>
          </w:tcPr>
          <w:p>
            <w:pPr>
              <w:spacing w:line="240" w:lineRule="auto" w:before="0" w:after="0"/>
              <w:jc w:val="center"/>
            </w:pPr>
            <w:r>
              <w:rPr>
                <w:rFonts w:ascii="Times New Roman" w:hAnsi="Times New Roman" w:eastAsia="宋体"/>
                <w:b w:val="0"/>
                <w:sz w:val="21"/>
              </w:rPr>
              <w:t>高绩效+高效率</w:t>
            </w:r>
          </w:p>
        </w:tc>
        <w:tc>
          <w:tcPr>
            <w:tcW w:type="dxa" w:w="1440"/>
          </w:tcPr>
          <w:p>
            <w:pPr>
              <w:spacing w:line="240" w:lineRule="auto" w:before="0" w:after="0"/>
              <w:jc w:val="center"/>
            </w:pPr>
            <w:r>
              <w:rPr>
                <w:rFonts w:ascii="Times New Roman" w:hAnsi="Times New Roman" w:eastAsia="宋体"/>
                <w:b w:val="0"/>
                <w:sz w:val="21"/>
              </w:rPr>
              <w:t>（无）</w:t>
            </w:r>
          </w:p>
        </w:tc>
        <w:tc>
          <w:tcPr>
            <w:tcW w:type="dxa" w:w="1440"/>
          </w:tcPr>
          <w:p>
            <w:pPr>
              <w:spacing w:line="240" w:lineRule="auto" w:before="0" w:after="0"/>
              <w:jc w:val="center"/>
            </w:pPr>
            <w:r>
              <w:rPr>
                <w:rFonts w:ascii="Times New Roman" w:hAnsi="Times New Roman" w:eastAsia="宋体"/>
                <w:b w:val="0"/>
                <w:sz w:val="21"/>
              </w:rPr>
              <w:t>0</w:t>
            </w:r>
          </w:p>
        </w:tc>
        <w:tc>
          <w:tcPr>
            <w:tcW w:type="dxa" w:w="1440"/>
          </w:tcPr>
          <w:p>
            <w:pPr>
              <w:spacing w:line="240" w:lineRule="auto" w:before="0" w:after="0"/>
              <w:jc w:val="center"/>
            </w:pPr>
            <w:r>
              <w:rPr>
                <w:rFonts w:ascii="Times New Roman" w:hAnsi="Times New Roman" w:eastAsia="宋体"/>
                <w:b w:val="0"/>
                <w:sz w:val="21"/>
              </w:rPr>
              <w:t>—</w:t>
            </w:r>
          </w:p>
        </w:tc>
      </w:tr>
      <w:tr>
        <w:tc>
          <w:tcPr>
            <w:tcW w:type="dxa" w:w="1440"/>
          </w:tcPr>
          <w:p>
            <w:pPr>
              <w:spacing w:line="240" w:lineRule="auto" w:before="0" w:after="0"/>
              <w:jc w:val="center"/>
            </w:pPr>
            <w:r>
              <w:rPr>
                <w:rFonts w:ascii="Times New Roman" w:hAnsi="Times New Roman" w:eastAsia="宋体"/>
                <w:b w:val="0"/>
                <w:sz w:val="21"/>
              </w:rPr>
              <w:t>第二象限</w:t>
            </w:r>
          </w:p>
        </w:tc>
        <w:tc>
          <w:tcPr>
            <w:tcW w:type="dxa" w:w="1440"/>
          </w:tcPr>
          <w:p>
            <w:pPr>
              <w:spacing w:line="240" w:lineRule="auto" w:before="0" w:after="0"/>
              <w:jc w:val="center"/>
            </w:pPr>
            <w:r>
              <w:rPr>
                <w:rFonts w:ascii="Times New Roman" w:hAnsi="Times New Roman" w:eastAsia="宋体"/>
                <w:b w:val="0"/>
                <w:sz w:val="21"/>
              </w:rPr>
              <w:t>优化型</w:t>
            </w:r>
          </w:p>
        </w:tc>
        <w:tc>
          <w:tcPr>
            <w:tcW w:type="dxa" w:w="1440"/>
          </w:tcPr>
          <w:p>
            <w:pPr>
              <w:spacing w:line="240" w:lineRule="auto" w:before="0" w:after="0"/>
              <w:jc w:val="center"/>
            </w:pPr>
            <w:r>
              <w:rPr>
                <w:rFonts w:ascii="Times New Roman" w:hAnsi="Times New Roman" w:eastAsia="宋体"/>
                <w:b w:val="0"/>
                <w:sz w:val="21"/>
              </w:rPr>
              <w:t>高绩效+低效率</w:t>
            </w:r>
          </w:p>
        </w:tc>
        <w:tc>
          <w:tcPr>
            <w:tcW w:type="dxa" w:w="1440"/>
          </w:tcPr>
          <w:p>
            <w:pPr>
              <w:spacing w:line="240" w:lineRule="auto" w:before="0" w:after="0"/>
              <w:jc w:val="center"/>
            </w:pPr>
            <w:r>
              <w:rPr>
                <w:rFonts w:ascii="Times New Roman" w:hAnsi="Times New Roman" w:eastAsia="宋体"/>
                <w:b w:val="0"/>
                <w:sz w:val="21"/>
              </w:rPr>
              <w:t>广东、山东、浙江、海南</w:t>
            </w:r>
          </w:p>
        </w:tc>
        <w:tc>
          <w:tcPr>
            <w:tcW w:type="dxa" w:w="1440"/>
          </w:tcPr>
          <w:p>
            <w:pPr>
              <w:spacing w:line="240" w:lineRule="auto" w:before="0" w:after="0"/>
              <w:jc w:val="center"/>
            </w:pPr>
            <w:r>
              <w:rPr>
                <w:rFonts w:ascii="Times New Roman" w:hAnsi="Times New Roman" w:eastAsia="宋体"/>
                <w:b w:val="0"/>
                <w:sz w:val="21"/>
              </w:rPr>
              <w:t>4</w:t>
            </w:r>
          </w:p>
        </w:tc>
        <w:tc>
          <w:tcPr>
            <w:tcW w:type="dxa" w:w="1440"/>
          </w:tcPr>
          <w:p>
            <w:pPr>
              <w:spacing w:line="240" w:lineRule="auto" w:before="0" w:after="0"/>
              <w:jc w:val="center"/>
            </w:pPr>
            <w:r>
              <w:rPr>
                <w:rFonts w:ascii="Times New Roman" w:hAnsi="Times New Roman" w:eastAsia="宋体"/>
                <w:b w:val="0"/>
                <w:sz w:val="21"/>
              </w:rPr>
              <w:t>绩效好但投入大，存在资源浪费</w:t>
            </w:r>
          </w:p>
        </w:tc>
      </w:tr>
      <w:tr>
        <w:tc>
          <w:tcPr>
            <w:tcW w:type="dxa" w:w="1440"/>
          </w:tcPr>
          <w:p>
            <w:pPr>
              <w:spacing w:line="240" w:lineRule="auto" w:before="0" w:after="0"/>
              <w:jc w:val="center"/>
            </w:pPr>
            <w:r>
              <w:rPr>
                <w:rFonts w:ascii="Times New Roman" w:hAnsi="Times New Roman" w:eastAsia="宋体"/>
                <w:b w:val="0"/>
                <w:sz w:val="21"/>
              </w:rPr>
              <w:t>第三象限</w:t>
            </w:r>
          </w:p>
        </w:tc>
        <w:tc>
          <w:tcPr>
            <w:tcW w:type="dxa" w:w="1440"/>
          </w:tcPr>
          <w:p>
            <w:pPr>
              <w:spacing w:line="240" w:lineRule="auto" w:before="0" w:after="0"/>
              <w:jc w:val="center"/>
            </w:pPr>
            <w:r>
              <w:rPr>
                <w:rFonts w:ascii="Times New Roman" w:hAnsi="Times New Roman" w:eastAsia="宋体"/>
                <w:b w:val="0"/>
                <w:sz w:val="21"/>
              </w:rPr>
              <w:t>潜力型</w:t>
            </w:r>
          </w:p>
        </w:tc>
        <w:tc>
          <w:tcPr>
            <w:tcW w:type="dxa" w:w="1440"/>
          </w:tcPr>
          <w:p>
            <w:pPr>
              <w:spacing w:line="240" w:lineRule="auto" w:before="0" w:after="0"/>
              <w:jc w:val="center"/>
            </w:pPr>
            <w:r>
              <w:rPr>
                <w:rFonts w:ascii="Times New Roman" w:hAnsi="Times New Roman" w:eastAsia="宋体"/>
                <w:b w:val="0"/>
                <w:sz w:val="21"/>
              </w:rPr>
              <w:t>低绩效+高效率</w:t>
            </w:r>
          </w:p>
        </w:tc>
        <w:tc>
          <w:tcPr>
            <w:tcW w:type="dxa" w:w="1440"/>
          </w:tcPr>
          <w:p>
            <w:pPr>
              <w:spacing w:line="240" w:lineRule="auto" w:before="0" w:after="0"/>
              <w:jc w:val="center"/>
            </w:pPr>
            <w:r>
              <w:rPr>
                <w:rFonts w:ascii="Times New Roman" w:hAnsi="Times New Roman" w:eastAsia="宋体"/>
                <w:b w:val="0"/>
                <w:sz w:val="21"/>
              </w:rPr>
              <w:t>福建、贵州</w:t>
            </w:r>
          </w:p>
        </w:tc>
        <w:tc>
          <w:tcPr>
            <w:tcW w:type="dxa" w:w="1440"/>
          </w:tcPr>
          <w:p>
            <w:pPr>
              <w:spacing w:line="240" w:lineRule="auto" w:before="0" w:after="0"/>
              <w:jc w:val="center"/>
            </w:pPr>
            <w:r>
              <w:rPr>
                <w:rFonts w:ascii="Times New Roman" w:hAnsi="Times New Roman" w:eastAsia="宋体"/>
                <w:b w:val="0"/>
                <w:sz w:val="21"/>
              </w:rPr>
              <w:t>2</w:t>
            </w:r>
          </w:p>
        </w:tc>
        <w:tc>
          <w:tcPr>
            <w:tcW w:type="dxa" w:w="1440"/>
          </w:tcPr>
          <w:p>
            <w:pPr>
              <w:spacing w:line="240" w:lineRule="auto" w:before="0" w:after="0"/>
              <w:jc w:val="center"/>
            </w:pPr>
            <w:r>
              <w:rPr>
                <w:rFonts w:ascii="Times New Roman" w:hAnsi="Times New Roman" w:eastAsia="宋体"/>
                <w:b w:val="0"/>
                <w:sz w:val="21"/>
              </w:rPr>
              <w:t>效率好但绩效待提升，投入产出比高</w:t>
            </w:r>
          </w:p>
        </w:tc>
      </w:tr>
      <w:tr>
        <w:tc>
          <w:tcPr>
            <w:tcW w:type="dxa" w:w="1440"/>
          </w:tcPr>
          <w:p>
            <w:pPr>
              <w:spacing w:line="240" w:lineRule="auto" w:before="0" w:after="0"/>
              <w:jc w:val="center"/>
            </w:pPr>
            <w:r>
              <w:rPr>
                <w:rFonts w:ascii="Times New Roman" w:hAnsi="Times New Roman" w:eastAsia="宋体"/>
                <w:b w:val="0"/>
                <w:sz w:val="21"/>
              </w:rPr>
              <w:t>第四象限</w:t>
            </w:r>
          </w:p>
        </w:tc>
        <w:tc>
          <w:tcPr>
            <w:tcW w:type="dxa" w:w="1440"/>
          </w:tcPr>
          <w:p>
            <w:pPr>
              <w:spacing w:line="240" w:lineRule="auto" w:before="0" w:after="0"/>
              <w:jc w:val="center"/>
            </w:pPr>
            <w:r>
              <w:rPr>
                <w:rFonts w:ascii="Times New Roman" w:hAnsi="Times New Roman" w:eastAsia="宋体"/>
                <w:b w:val="0"/>
                <w:sz w:val="21"/>
              </w:rPr>
              <w:t>帮扶型</w:t>
            </w:r>
          </w:p>
        </w:tc>
        <w:tc>
          <w:tcPr>
            <w:tcW w:type="dxa" w:w="1440"/>
          </w:tcPr>
          <w:p>
            <w:pPr>
              <w:spacing w:line="240" w:lineRule="auto" w:before="0" w:after="0"/>
              <w:jc w:val="center"/>
            </w:pPr>
            <w:r>
              <w:rPr>
                <w:rFonts w:ascii="Times New Roman" w:hAnsi="Times New Roman" w:eastAsia="宋体"/>
                <w:b w:val="0"/>
                <w:sz w:val="21"/>
              </w:rPr>
              <w:t>低绩效+低效率</w:t>
            </w:r>
          </w:p>
        </w:tc>
        <w:tc>
          <w:tcPr>
            <w:tcW w:type="dxa" w:w="1440"/>
          </w:tcPr>
          <w:p>
            <w:pPr>
              <w:spacing w:line="240" w:lineRule="auto" w:before="0" w:after="0"/>
              <w:jc w:val="center"/>
            </w:pPr>
            <w:r>
              <w:rPr>
                <w:rFonts w:ascii="Times New Roman" w:hAnsi="Times New Roman" w:eastAsia="宋体"/>
                <w:b w:val="0"/>
                <w:sz w:val="21"/>
              </w:rPr>
              <w:t>重庆、湖北、上海、广西、四川、北京、辽宁、江苏、湖南、江西、吉林、内蒙古、天津、河南、云南、山西</w:t>
            </w:r>
          </w:p>
        </w:tc>
        <w:tc>
          <w:tcPr>
            <w:tcW w:type="dxa" w:w="1440"/>
          </w:tcPr>
          <w:p>
            <w:pPr>
              <w:spacing w:line="240" w:lineRule="auto" w:before="0" w:after="0"/>
              <w:jc w:val="center"/>
            </w:pPr>
            <w:r>
              <w:rPr>
                <w:rFonts w:ascii="Times New Roman" w:hAnsi="Times New Roman" w:eastAsia="宋体"/>
                <w:b w:val="0"/>
                <w:sz w:val="21"/>
              </w:rPr>
              <w:t>17</w:t>
            </w:r>
          </w:p>
        </w:tc>
        <w:tc>
          <w:tcPr>
            <w:tcW w:type="dxa" w:w="1440"/>
          </w:tcPr>
          <w:p>
            <w:pPr>
              <w:spacing w:line="240" w:lineRule="auto" w:before="0" w:after="0"/>
              <w:jc w:val="center"/>
            </w:pPr>
            <w:r>
              <w:rPr>
                <w:rFonts w:ascii="Times New Roman" w:hAnsi="Times New Roman" w:eastAsia="宋体"/>
                <w:b w:val="0"/>
                <w:sz w:val="21"/>
              </w:rPr>
              <w:t>绩效效率均差，需全面帮扶</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Pro采集系统 + TOPSIS/DEA计算，2025年3月。高绩效/低绩效以TOPSIS中位数（0.172）为界；高效率/低效率以DEA中位数（0.248）为界。</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明星型（第一象限）：</w:t>
      </w:r>
      <w:r>
        <w:rPr>
          <w:rFonts w:ascii="Times New Roman" w:hAnsi="Times New Roman" w:eastAsia="宋体"/>
          <w:b w:val="0"/>
          <w:sz w:val="24"/>
        </w:rPr>
        <w:t xml:space="preserve"> 无平台落入此象限。这一发现具有重要的警示意义——在我国省级政府数据开放平台中，不存在"绩效好且效率高"的"完美平台"。即便是绩效最好的广东和效率最高的山东，也未能同时实现高绩效和高效率。这提示我们：政府数据开放平台的建设仍处于"粗放式"阶段，距离"精细化"和"高效化"还有较大差距。</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优化型（第二象限）：</w:t>
      </w:r>
      <w:r>
        <w:rPr>
          <w:rFonts w:ascii="Times New Roman" w:hAnsi="Times New Roman" w:eastAsia="宋体"/>
          <w:b w:val="0"/>
          <w:sz w:val="24"/>
        </w:rPr>
        <w:t xml:space="preserve"> 广东、山东、浙江、海南四个平台落入此象限。这些平台的共同特征是绩效较高（TOPSIS≥0.25），但效率较低（TE&lt;0.50）。以广东为例，其TOPSIS得分为1.000（排名第一），但TE仅为0.485（排名第二），表明广东平台虽然绩效表现优异，但资源投入可能过大，存在"过度投入"的嫌疑。优化型平台的改进方向是：在维持绩效水平的前提下，通过优化资源配置、提升管理效率来降低投入成本，实现"提质增效"。</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潜力型（第三象限）：</w:t>
      </w:r>
      <w:r>
        <w:rPr>
          <w:rFonts w:ascii="Times New Roman" w:hAnsi="Times New Roman" w:eastAsia="宋体"/>
          <w:b w:val="0"/>
          <w:sz w:val="24"/>
        </w:rPr>
        <w:t xml:space="preserve"> 福建、贵州两个平台落入此象限。这些平台的共同特征是效率较高（TE≥中位数），但绩效较低（TOPSIS&lt;中位数）。以贵州为例，其TE为0.298（排名第八），但TOPSIS仅为0.199（排名第七），表明贵州平台的资源配置效率相对较高，但绩效产出不足。潜力型平台的改进方向是：在保持效率优势的前提下，通过增加关键投入（如数据质量提升、应用生态培育）来提升绩效产出，实现"增量提效"。</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帮扶型（第四象限）：</w:t>
      </w:r>
      <w:r>
        <w:rPr>
          <w:rFonts w:ascii="Times New Roman" w:hAnsi="Times New Roman" w:eastAsia="宋体"/>
          <w:b w:val="0"/>
          <w:sz w:val="24"/>
        </w:rPr>
        <w:t xml:space="preserve"> 17个平台落入此象限，占样本总数的77.3%。这些平台的共同特征是绩效和效率均低于中位数，面临"全面落后"的困境。帮扶型平台的改进方向是：从基础建设和制度保障入手，进行系统性的能力提升。由于这类平台的短板往往是多方面的，改进策略应优先考虑"雪中送炭"而非"锦上添花"——先解决有无问题，再解决好坏问题。</w:t>
      </w:r>
    </w:p>
    <w:p>
      <w:pPr>
        <w:spacing w:line="360" w:lineRule="auto" w:before="0" w:after="0"/>
        <w:ind w:firstLine="420"/>
        <w:jc w:val="both"/>
      </w:pPr>
      <w:r>
        <w:rPr>
          <w:rFonts w:ascii="Times New Roman" w:hAnsi="Times New Roman" w:eastAsia="宋体"/>
          <w:b w:val="0"/>
          <w:sz w:val="24"/>
        </w:rPr>
        <w:t>帮扶型平台的全面落后状态并非偶然，而是多重因素叠加的结果。从制度层面看，这些平台多数缺乏专门的数据开放政策法规和独立的运营机构，数据开放工作往往"挂靠"在信息中心或大数据局下，缺乏组织保障；从技术层面看，这些平台多采用早期的技术架构，功能模块不完整，用户体验较差；从资源层面看，这些平台的财政投入和人员配置严重不足，无法支撑高质量的数据开放运营。帮扶型平台的"全面落后"状态还受到区域发展水平的制约——17个帮扶型平台中，中西部和东北平台占13个（76.5%），表明区域经济发展水平对平台绩效和效率有显著影响。然而，区域因素并非决定性因素——贵州（西部）和福建（东部）就成功进入了"潜力型"象限，表明在有限的资源条件下，通过优化管理和技术仍然可以实现相对较高的效率。</w:t>
      </w:r>
    </w:p>
    <w:p>
      <w:pPr>
        <w:pStyle w:val="Heading3"/>
        <w:spacing w:before="240" w:after="120" w:line="360" w:lineRule="auto"/>
        <w:ind w:firstLine="0"/>
        <w:jc w:val="left"/>
      </w:pPr>
      <w:r>
        <w:rPr>
          <w:rFonts w:ascii="Times New Roman" w:hAnsi="Times New Roman" w:eastAsia="黑体"/>
          <w:b/>
          <w:sz w:val="28"/>
        </w:rPr>
        <w:t>4.4 区域差异分析</w:t>
      </w:r>
    </w:p>
    <w:p>
      <w:pPr>
        <w:spacing w:before="120" w:after="120" w:line="360" w:lineRule="auto"/>
        <w:ind w:firstLine="0"/>
        <w:jc w:val="center"/>
      </w:pPr>
      <w:r>
        <w:rPr>
          <w:rFonts w:ascii="Times New Roman" w:hAnsi="Times New Roman" w:eastAsia="黑体"/>
          <w:b w:val="0"/>
          <w:sz w:val="21"/>
        </w:rPr>
        <w:t>表4-4报告了四大区域的绩效和效率比较结果。</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表4-4 四大区域绩效与效率比较</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before="0" w:after="0"/>
              <w:jc w:val="center"/>
            </w:pPr>
            <w:r>
              <w:rPr>
                <w:rFonts w:ascii="Times New Roman" w:hAnsi="Times New Roman" w:eastAsia="宋体"/>
                <w:b w:val="0"/>
                <w:sz w:val="21"/>
              </w:rPr>
              <w:t>区域</w:t>
            </w:r>
          </w:p>
        </w:tc>
        <w:tc>
          <w:tcPr>
            <w:tcW w:type="dxa" w:w="1234"/>
          </w:tcPr>
          <w:p>
            <w:pPr>
              <w:spacing w:line="240" w:lineRule="auto" w:before="0" w:after="0"/>
              <w:jc w:val="center"/>
            </w:pPr>
            <w:r>
              <w:rPr>
                <w:rFonts w:ascii="Times New Roman" w:hAnsi="Times New Roman" w:eastAsia="宋体"/>
                <w:b w:val="0"/>
                <w:sz w:val="21"/>
              </w:rPr>
              <w:t>平台数</w:t>
            </w:r>
          </w:p>
        </w:tc>
        <w:tc>
          <w:tcPr>
            <w:tcW w:type="dxa" w:w="1234"/>
          </w:tcPr>
          <w:p>
            <w:pPr>
              <w:spacing w:line="240" w:lineRule="auto" w:before="0" w:after="0"/>
              <w:jc w:val="center"/>
            </w:pPr>
            <w:r>
              <w:rPr>
                <w:rFonts w:ascii="Times New Roman" w:hAnsi="Times New Roman" w:eastAsia="宋体"/>
                <w:b w:val="0"/>
                <w:sz w:val="21"/>
              </w:rPr>
              <w:t>TOPSIS均值</w:t>
            </w:r>
          </w:p>
        </w:tc>
        <w:tc>
          <w:tcPr>
            <w:tcW w:type="dxa" w:w="1234"/>
          </w:tcPr>
          <w:p>
            <w:pPr>
              <w:spacing w:line="240" w:lineRule="auto" w:before="0" w:after="0"/>
              <w:jc w:val="center"/>
            </w:pPr>
            <w:r>
              <w:rPr>
                <w:rFonts w:ascii="Times New Roman" w:hAnsi="Times New Roman" w:eastAsia="宋体"/>
                <w:b w:val="0"/>
                <w:sz w:val="21"/>
              </w:rPr>
              <w:t>TOPSIS标准差</w:t>
            </w:r>
          </w:p>
        </w:tc>
        <w:tc>
          <w:tcPr>
            <w:tcW w:type="dxa" w:w="1234"/>
          </w:tcPr>
          <w:p>
            <w:pPr>
              <w:spacing w:line="240" w:lineRule="auto" w:before="0" w:after="0"/>
              <w:jc w:val="center"/>
            </w:pPr>
            <w:r>
              <w:rPr>
                <w:rFonts w:ascii="Times New Roman" w:hAnsi="Times New Roman" w:eastAsia="宋体"/>
                <w:b w:val="0"/>
                <w:sz w:val="21"/>
              </w:rPr>
              <w:t>DEA均值</w:t>
            </w:r>
          </w:p>
        </w:tc>
        <w:tc>
          <w:tcPr>
            <w:tcW w:type="dxa" w:w="1234"/>
          </w:tcPr>
          <w:p>
            <w:pPr>
              <w:spacing w:line="240" w:lineRule="auto" w:before="0" w:after="0"/>
              <w:jc w:val="center"/>
            </w:pPr>
            <w:r>
              <w:rPr>
                <w:rFonts w:ascii="Times New Roman" w:hAnsi="Times New Roman" w:eastAsia="宋体"/>
                <w:b w:val="0"/>
                <w:sz w:val="21"/>
              </w:rPr>
              <w:t>DEA标准差</w:t>
            </w:r>
          </w:p>
        </w:tc>
        <w:tc>
          <w:tcPr>
            <w:tcW w:type="dxa" w:w="1234"/>
          </w:tcPr>
          <w:p>
            <w:pPr>
              <w:spacing w:line="240" w:lineRule="auto" w:before="0" w:after="0"/>
              <w:jc w:val="center"/>
            </w:pPr>
            <w:r>
              <w:rPr>
                <w:rFonts w:ascii="Times New Roman" w:hAnsi="Times New Roman" w:eastAsia="宋体"/>
                <w:b w:val="0"/>
                <w:sz w:val="21"/>
              </w:rPr>
              <w:t>效率类型分布</w:t>
            </w:r>
          </w:p>
        </w:tc>
      </w:tr>
      <w:tr>
        <w:tc>
          <w:tcPr>
            <w:tcW w:type="dxa" w:w="1234"/>
          </w:tcPr>
          <w:p>
            <w:pPr>
              <w:spacing w:line="240" w:lineRule="auto" w:before="0" w:after="0"/>
              <w:jc w:val="center"/>
            </w:pPr>
            <w:r>
              <w:rPr>
                <w:rFonts w:ascii="Times New Roman" w:hAnsi="Times New Roman" w:eastAsia="宋体"/>
                <w:b w:val="0"/>
                <w:sz w:val="21"/>
              </w:rPr>
              <w:t>东部</w:t>
            </w:r>
          </w:p>
        </w:tc>
        <w:tc>
          <w:tcPr>
            <w:tcW w:type="dxa" w:w="1234"/>
          </w:tcPr>
          <w:p>
            <w:pPr>
              <w:spacing w:line="240" w:lineRule="auto" w:before="0" w:after="0"/>
              <w:jc w:val="center"/>
            </w:pPr>
            <w:r>
              <w:rPr>
                <w:rFonts w:ascii="Times New Roman" w:hAnsi="Times New Roman" w:eastAsia="宋体"/>
                <w:b w:val="0"/>
                <w:sz w:val="21"/>
              </w:rPr>
              <w:t>10</w:t>
            </w:r>
          </w:p>
        </w:tc>
        <w:tc>
          <w:tcPr>
            <w:tcW w:type="dxa" w:w="1234"/>
          </w:tcPr>
          <w:p>
            <w:pPr>
              <w:spacing w:line="240" w:lineRule="auto" w:before="0" w:after="0"/>
              <w:jc w:val="center"/>
            </w:pPr>
            <w:r>
              <w:rPr>
                <w:rFonts w:ascii="Times New Roman" w:hAnsi="Times New Roman" w:eastAsia="宋体"/>
                <w:b w:val="0"/>
                <w:sz w:val="21"/>
              </w:rPr>
              <w:t>0.324</w:t>
            </w:r>
          </w:p>
        </w:tc>
        <w:tc>
          <w:tcPr>
            <w:tcW w:type="dxa" w:w="1234"/>
          </w:tcPr>
          <w:p>
            <w:pPr>
              <w:spacing w:line="240" w:lineRule="auto" w:before="0" w:after="0"/>
              <w:jc w:val="center"/>
            </w:pPr>
            <w:r>
              <w:rPr>
                <w:rFonts w:ascii="Times New Roman" w:hAnsi="Times New Roman" w:eastAsia="宋体"/>
                <w:b w:val="0"/>
                <w:sz w:val="21"/>
              </w:rPr>
              <w:t>0.285</w:t>
            </w:r>
          </w:p>
        </w:tc>
        <w:tc>
          <w:tcPr>
            <w:tcW w:type="dxa" w:w="1234"/>
          </w:tcPr>
          <w:p>
            <w:pPr>
              <w:spacing w:line="240" w:lineRule="auto" w:before="0" w:after="0"/>
              <w:jc w:val="center"/>
            </w:pPr>
            <w:r>
              <w:rPr>
                <w:rFonts w:ascii="Times New Roman" w:hAnsi="Times New Roman" w:eastAsia="宋体"/>
                <w:b w:val="0"/>
                <w:sz w:val="21"/>
              </w:rPr>
              <w:t>0.247</w:t>
            </w:r>
          </w:p>
        </w:tc>
        <w:tc>
          <w:tcPr>
            <w:tcW w:type="dxa" w:w="1234"/>
          </w:tcPr>
          <w:p>
            <w:pPr>
              <w:spacing w:line="240" w:lineRule="auto" w:before="0" w:after="0"/>
              <w:jc w:val="center"/>
            </w:pPr>
            <w:r>
              <w:rPr>
                <w:rFonts w:ascii="Times New Roman" w:hAnsi="Times New Roman" w:eastAsia="宋体"/>
                <w:b w:val="0"/>
                <w:sz w:val="21"/>
              </w:rPr>
              <w:t>0.115</w:t>
            </w:r>
          </w:p>
        </w:tc>
        <w:tc>
          <w:tcPr>
            <w:tcW w:type="dxa" w:w="1234"/>
          </w:tcPr>
          <w:p>
            <w:pPr>
              <w:spacing w:line="240" w:lineRule="auto" w:before="0" w:after="0"/>
              <w:jc w:val="center"/>
            </w:pPr>
            <w:r>
              <w:rPr>
                <w:rFonts w:ascii="Times New Roman" w:hAnsi="Times New Roman" w:eastAsia="宋体"/>
                <w:b w:val="0"/>
                <w:sz w:val="21"/>
              </w:rPr>
              <w:t>技术短板型8个，规模短板型2个</w:t>
            </w:r>
          </w:p>
        </w:tc>
      </w:tr>
      <w:tr>
        <w:tc>
          <w:tcPr>
            <w:tcW w:type="dxa" w:w="1234"/>
          </w:tcPr>
          <w:p>
            <w:pPr>
              <w:spacing w:line="240" w:lineRule="auto" w:before="0" w:after="0"/>
              <w:jc w:val="center"/>
            </w:pPr>
            <w:r>
              <w:rPr>
                <w:rFonts w:ascii="Times New Roman" w:hAnsi="Times New Roman" w:eastAsia="宋体"/>
                <w:b w:val="0"/>
                <w:sz w:val="21"/>
              </w:rPr>
              <w:t>中部</w:t>
            </w:r>
          </w:p>
        </w:tc>
        <w:tc>
          <w:tcPr>
            <w:tcW w:type="dxa" w:w="1234"/>
          </w:tcPr>
          <w:p>
            <w:pPr>
              <w:spacing w:line="240" w:lineRule="auto" w:before="0" w:after="0"/>
              <w:jc w:val="center"/>
            </w:pPr>
            <w:r>
              <w:rPr>
                <w:rFonts w:ascii="Times New Roman" w:hAnsi="Times New Roman" w:eastAsia="宋体"/>
                <w:b w:val="0"/>
                <w:sz w:val="21"/>
              </w:rPr>
              <w:t>6</w:t>
            </w:r>
          </w:p>
        </w:tc>
        <w:tc>
          <w:tcPr>
            <w:tcW w:type="dxa" w:w="1234"/>
          </w:tcPr>
          <w:p>
            <w:pPr>
              <w:spacing w:line="240" w:lineRule="auto" w:before="0" w:after="0"/>
              <w:jc w:val="center"/>
            </w:pPr>
            <w:r>
              <w:rPr>
                <w:rFonts w:ascii="Times New Roman" w:hAnsi="Times New Roman" w:eastAsia="宋体"/>
                <w:b w:val="0"/>
                <w:sz w:val="21"/>
              </w:rPr>
              <w:t>0.156</w:t>
            </w:r>
          </w:p>
        </w:tc>
        <w:tc>
          <w:tcPr>
            <w:tcW w:type="dxa" w:w="1234"/>
          </w:tcPr>
          <w:p>
            <w:pPr>
              <w:spacing w:line="240" w:lineRule="auto" w:before="0" w:after="0"/>
              <w:jc w:val="center"/>
            </w:pPr>
            <w:r>
              <w:rPr>
                <w:rFonts w:ascii="Times New Roman" w:hAnsi="Times New Roman" w:eastAsia="宋体"/>
                <w:b w:val="0"/>
                <w:sz w:val="21"/>
              </w:rPr>
              <w:t>0.068</w:t>
            </w:r>
          </w:p>
        </w:tc>
        <w:tc>
          <w:tcPr>
            <w:tcW w:type="dxa" w:w="1234"/>
          </w:tcPr>
          <w:p>
            <w:pPr>
              <w:spacing w:line="240" w:lineRule="auto" w:before="0" w:after="0"/>
              <w:jc w:val="center"/>
            </w:pPr>
            <w:r>
              <w:rPr>
                <w:rFonts w:ascii="Times New Roman" w:hAnsi="Times New Roman" w:eastAsia="宋体"/>
                <w:b w:val="0"/>
                <w:sz w:val="21"/>
              </w:rPr>
              <w:t>0.168</w:t>
            </w:r>
          </w:p>
        </w:tc>
        <w:tc>
          <w:tcPr>
            <w:tcW w:type="dxa" w:w="1234"/>
          </w:tcPr>
          <w:p>
            <w:pPr>
              <w:spacing w:line="240" w:lineRule="auto" w:before="0" w:after="0"/>
              <w:jc w:val="center"/>
            </w:pPr>
            <w:r>
              <w:rPr>
                <w:rFonts w:ascii="Times New Roman" w:hAnsi="Times New Roman" w:eastAsia="宋体"/>
                <w:b w:val="0"/>
                <w:sz w:val="21"/>
              </w:rPr>
              <w:t>0.065</w:t>
            </w:r>
          </w:p>
        </w:tc>
        <w:tc>
          <w:tcPr>
            <w:tcW w:type="dxa" w:w="1234"/>
          </w:tcPr>
          <w:p>
            <w:pPr>
              <w:spacing w:line="240" w:lineRule="auto" w:before="0" w:after="0"/>
              <w:jc w:val="center"/>
            </w:pPr>
            <w:r>
              <w:rPr>
                <w:rFonts w:ascii="Times New Roman" w:hAnsi="Times New Roman" w:eastAsia="宋体"/>
                <w:b w:val="0"/>
                <w:sz w:val="21"/>
              </w:rPr>
              <w:t>技术短板型4个，规模短板型2个</w:t>
            </w:r>
          </w:p>
        </w:tc>
      </w:tr>
      <w:tr>
        <w:tc>
          <w:tcPr>
            <w:tcW w:type="dxa" w:w="1234"/>
          </w:tcPr>
          <w:p>
            <w:pPr>
              <w:spacing w:line="240" w:lineRule="auto" w:before="0" w:after="0"/>
              <w:jc w:val="center"/>
            </w:pPr>
            <w:r>
              <w:rPr>
                <w:rFonts w:ascii="Times New Roman" w:hAnsi="Times New Roman" w:eastAsia="宋体"/>
                <w:b w:val="0"/>
                <w:sz w:val="21"/>
              </w:rPr>
              <w:t>西部</w:t>
            </w:r>
          </w:p>
        </w:tc>
        <w:tc>
          <w:tcPr>
            <w:tcW w:type="dxa" w:w="1234"/>
          </w:tcPr>
          <w:p>
            <w:pPr>
              <w:spacing w:line="240" w:lineRule="auto" w:before="0" w:after="0"/>
              <w:jc w:val="center"/>
            </w:pPr>
            <w:r>
              <w:rPr>
                <w:rFonts w:ascii="Times New Roman" w:hAnsi="Times New Roman" w:eastAsia="宋体"/>
                <w:b w:val="0"/>
                <w:sz w:val="21"/>
              </w:rPr>
              <w:t>5</w:t>
            </w:r>
          </w:p>
        </w:tc>
        <w:tc>
          <w:tcPr>
            <w:tcW w:type="dxa" w:w="1234"/>
          </w:tcPr>
          <w:p>
            <w:pPr>
              <w:spacing w:line="240" w:lineRule="auto" w:before="0" w:after="0"/>
              <w:jc w:val="center"/>
            </w:pPr>
            <w:r>
              <w:rPr>
                <w:rFonts w:ascii="Times New Roman" w:hAnsi="Times New Roman" w:eastAsia="宋体"/>
                <w:b w:val="0"/>
                <w:sz w:val="21"/>
              </w:rPr>
              <w:t>0.183</w:t>
            </w:r>
          </w:p>
        </w:tc>
        <w:tc>
          <w:tcPr>
            <w:tcW w:type="dxa" w:w="1234"/>
          </w:tcPr>
          <w:p>
            <w:pPr>
              <w:spacing w:line="240" w:lineRule="auto" w:before="0" w:after="0"/>
              <w:jc w:val="center"/>
            </w:pPr>
            <w:r>
              <w:rPr>
                <w:rFonts w:ascii="Times New Roman" w:hAnsi="Times New Roman" w:eastAsia="宋体"/>
                <w:b w:val="0"/>
                <w:sz w:val="21"/>
              </w:rPr>
              <w:t>0.081</w:t>
            </w:r>
          </w:p>
        </w:tc>
        <w:tc>
          <w:tcPr>
            <w:tcW w:type="dxa" w:w="1234"/>
          </w:tcPr>
          <w:p>
            <w:pPr>
              <w:spacing w:line="240" w:lineRule="auto" w:before="0" w:after="0"/>
              <w:jc w:val="center"/>
            </w:pPr>
            <w:r>
              <w:rPr>
                <w:rFonts w:ascii="Times New Roman" w:hAnsi="Times New Roman" w:eastAsia="宋体"/>
                <w:b w:val="0"/>
                <w:sz w:val="21"/>
              </w:rPr>
              <w:t>0.157</w:t>
            </w:r>
          </w:p>
        </w:tc>
        <w:tc>
          <w:tcPr>
            <w:tcW w:type="dxa" w:w="1234"/>
          </w:tcPr>
          <w:p>
            <w:pPr>
              <w:spacing w:line="240" w:lineRule="auto" w:before="0" w:after="0"/>
              <w:jc w:val="center"/>
            </w:pPr>
            <w:r>
              <w:rPr>
                <w:rFonts w:ascii="Times New Roman" w:hAnsi="Times New Roman" w:eastAsia="宋体"/>
                <w:b w:val="0"/>
                <w:sz w:val="21"/>
              </w:rPr>
              <w:t>0.073</w:t>
            </w:r>
          </w:p>
        </w:tc>
        <w:tc>
          <w:tcPr>
            <w:tcW w:type="dxa" w:w="1234"/>
          </w:tcPr>
          <w:p>
            <w:pPr>
              <w:spacing w:line="240" w:lineRule="auto" w:before="0" w:after="0"/>
              <w:jc w:val="center"/>
            </w:pPr>
            <w:r>
              <w:rPr>
                <w:rFonts w:ascii="Times New Roman" w:hAnsi="Times New Roman" w:eastAsia="宋体"/>
                <w:b w:val="0"/>
                <w:sz w:val="21"/>
              </w:rPr>
              <w:t>技术短板型5个</w:t>
            </w:r>
          </w:p>
        </w:tc>
      </w:tr>
      <w:tr>
        <w:tc>
          <w:tcPr>
            <w:tcW w:type="dxa" w:w="1234"/>
          </w:tcPr>
          <w:p>
            <w:pPr>
              <w:spacing w:line="240" w:lineRule="auto" w:before="0" w:after="0"/>
              <w:jc w:val="center"/>
            </w:pPr>
            <w:r>
              <w:rPr>
                <w:rFonts w:ascii="Times New Roman" w:hAnsi="Times New Roman" w:eastAsia="宋体"/>
                <w:b w:val="0"/>
                <w:sz w:val="21"/>
              </w:rPr>
              <w:t>东北</w:t>
            </w:r>
          </w:p>
        </w:tc>
        <w:tc>
          <w:tcPr>
            <w:tcW w:type="dxa" w:w="1234"/>
          </w:tcPr>
          <w:p>
            <w:pPr>
              <w:spacing w:line="240" w:lineRule="auto" w:before="0" w:after="0"/>
              <w:jc w:val="center"/>
            </w:pPr>
            <w:r>
              <w:rPr>
                <w:rFonts w:ascii="Times New Roman" w:hAnsi="Times New Roman" w:eastAsia="宋体"/>
                <w:b w:val="0"/>
                <w:sz w:val="21"/>
              </w:rPr>
              <w:t>2</w:t>
            </w:r>
          </w:p>
        </w:tc>
        <w:tc>
          <w:tcPr>
            <w:tcW w:type="dxa" w:w="1234"/>
          </w:tcPr>
          <w:p>
            <w:pPr>
              <w:spacing w:line="240" w:lineRule="auto" w:before="0" w:after="0"/>
              <w:jc w:val="center"/>
            </w:pPr>
            <w:r>
              <w:rPr>
                <w:rFonts w:ascii="Times New Roman" w:hAnsi="Times New Roman" w:eastAsia="宋体"/>
                <w:b w:val="0"/>
                <w:sz w:val="21"/>
              </w:rPr>
              <w:t>0.174</w:t>
            </w:r>
          </w:p>
        </w:tc>
        <w:tc>
          <w:tcPr>
            <w:tcW w:type="dxa" w:w="1234"/>
          </w:tcPr>
          <w:p>
            <w:pPr>
              <w:spacing w:line="240" w:lineRule="auto" w:before="0" w:after="0"/>
              <w:jc w:val="center"/>
            </w:pPr>
            <w:r>
              <w:rPr>
                <w:rFonts w:ascii="Times New Roman" w:hAnsi="Times New Roman" w:eastAsia="宋体"/>
                <w:b w:val="0"/>
                <w:sz w:val="21"/>
              </w:rPr>
              <w:t>0.005</w:t>
            </w:r>
          </w:p>
        </w:tc>
        <w:tc>
          <w:tcPr>
            <w:tcW w:type="dxa" w:w="1234"/>
          </w:tcPr>
          <w:p>
            <w:pPr>
              <w:spacing w:line="240" w:lineRule="auto" w:before="0" w:after="0"/>
              <w:jc w:val="center"/>
            </w:pPr>
            <w:r>
              <w:rPr>
                <w:rFonts w:ascii="Times New Roman" w:hAnsi="Times New Roman" w:eastAsia="宋体"/>
                <w:b w:val="0"/>
                <w:sz w:val="21"/>
              </w:rPr>
              <w:t>0.191</w:t>
            </w:r>
          </w:p>
        </w:tc>
        <w:tc>
          <w:tcPr>
            <w:tcW w:type="dxa" w:w="1234"/>
          </w:tcPr>
          <w:p>
            <w:pPr>
              <w:spacing w:line="240" w:lineRule="auto" w:before="0" w:after="0"/>
              <w:jc w:val="center"/>
            </w:pPr>
            <w:r>
              <w:rPr>
                <w:rFonts w:ascii="Times New Roman" w:hAnsi="Times New Roman" w:eastAsia="宋体"/>
                <w:b w:val="0"/>
                <w:sz w:val="21"/>
              </w:rPr>
              <w:t>0.030</w:t>
            </w:r>
          </w:p>
        </w:tc>
        <w:tc>
          <w:tcPr>
            <w:tcW w:type="dxa" w:w="1234"/>
          </w:tcPr>
          <w:p>
            <w:pPr>
              <w:spacing w:line="240" w:lineRule="auto" w:before="0" w:after="0"/>
              <w:jc w:val="center"/>
            </w:pPr>
            <w:r>
              <w:rPr>
                <w:rFonts w:ascii="Times New Roman" w:hAnsi="Times New Roman" w:eastAsia="宋体"/>
                <w:b w:val="0"/>
                <w:sz w:val="21"/>
              </w:rPr>
              <w:t>技术短板型2个</w:t>
            </w:r>
          </w:p>
        </w:tc>
      </w:tr>
      <w:tr>
        <w:tc>
          <w:tcPr>
            <w:tcW w:type="dxa" w:w="1234"/>
          </w:tcPr>
          <w:p>
            <w:pPr>
              <w:spacing w:line="240" w:lineRule="auto" w:before="0" w:after="0"/>
              <w:jc w:val="center"/>
            </w:pPr>
            <w:r>
              <w:rPr>
                <w:rFonts w:ascii="Times New Roman" w:hAnsi="Times New Roman" w:eastAsia="宋体"/>
                <w:b w:val="0"/>
                <w:sz w:val="21"/>
              </w:rPr>
              <w:t>总体</w:t>
            </w:r>
          </w:p>
        </w:tc>
        <w:tc>
          <w:tcPr>
            <w:tcW w:type="dxa" w:w="1234"/>
          </w:tcPr>
          <w:p>
            <w:pPr>
              <w:spacing w:line="240" w:lineRule="auto" w:before="0" w:after="0"/>
              <w:jc w:val="center"/>
            </w:pPr>
            <w:r>
              <w:rPr>
                <w:rFonts w:ascii="Times New Roman" w:hAnsi="Times New Roman" w:eastAsia="宋体"/>
                <w:b w:val="0"/>
                <w:sz w:val="21"/>
              </w:rPr>
              <w:t>23</w:t>
            </w:r>
          </w:p>
        </w:tc>
        <w:tc>
          <w:tcPr>
            <w:tcW w:type="dxa" w:w="1234"/>
          </w:tcPr>
          <w:p>
            <w:pPr>
              <w:spacing w:line="240" w:lineRule="auto" w:before="0" w:after="0"/>
              <w:jc w:val="center"/>
            </w:pPr>
            <w:r>
              <w:rPr>
                <w:rFonts w:ascii="Times New Roman" w:hAnsi="Times New Roman" w:eastAsia="宋体"/>
                <w:b w:val="0"/>
                <w:sz w:val="21"/>
              </w:rPr>
              <w:t>0.224</w:t>
            </w:r>
          </w:p>
        </w:tc>
        <w:tc>
          <w:tcPr>
            <w:tcW w:type="dxa" w:w="1234"/>
          </w:tcPr>
          <w:p>
            <w:pPr>
              <w:spacing w:line="240" w:lineRule="auto" w:before="0" w:after="0"/>
              <w:jc w:val="center"/>
            </w:pPr>
            <w:r>
              <w:rPr>
                <w:rFonts w:ascii="Times New Roman" w:hAnsi="Times New Roman" w:eastAsia="宋体"/>
                <w:b w:val="0"/>
                <w:sz w:val="21"/>
              </w:rPr>
              <w:t>0.231</w:t>
            </w:r>
          </w:p>
        </w:tc>
        <w:tc>
          <w:tcPr>
            <w:tcW w:type="dxa" w:w="1234"/>
          </w:tcPr>
          <w:p>
            <w:pPr>
              <w:spacing w:line="240" w:lineRule="auto" w:before="0" w:after="0"/>
              <w:jc w:val="center"/>
            </w:pPr>
            <w:r>
              <w:rPr>
                <w:rFonts w:ascii="Times New Roman" w:hAnsi="Times New Roman" w:eastAsia="宋体"/>
                <w:b w:val="0"/>
                <w:sz w:val="21"/>
              </w:rPr>
              <w:t>0.202</w:t>
            </w:r>
          </w:p>
        </w:tc>
        <w:tc>
          <w:tcPr>
            <w:tcW w:type="dxa" w:w="1234"/>
          </w:tcPr>
          <w:p>
            <w:pPr>
              <w:spacing w:line="240" w:lineRule="auto" w:before="0" w:after="0"/>
              <w:jc w:val="center"/>
            </w:pPr>
            <w:r>
              <w:rPr>
                <w:rFonts w:ascii="Times New Roman" w:hAnsi="Times New Roman" w:eastAsia="宋体"/>
                <w:b w:val="0"/>
                <w:sz w:val="21"/>
              </w:rPr>
              <w:t>0.102</w:t>
            </w:r>
          </w:p>
        </w:tc>
        <w:tc>
          <w:tcPr>
            <w:tcW w:type="dxa" w:w="1234"/>
          </w:tcPr>
          <w:p>
            <w:pPr>
              <w:spacing w:line="240" w:lineRule="auto" w:before="0" w:after="0"/>
              <w:jc w:val="center"/>
            </w:pPr>
            <w:r>
              <w:rPr>
                <w:rFonts w:ascii="Times New Roman" w:hAnsi="Times New Roman" w:eastAsia="宋体"/>
                <w:b w:val="0"/>
                <w:sz w:val="21"/>
              </w:rPr>
              <w:t>技术短板型19个，规模短板型4个</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Pro采集系统 + TOPSIS/DEA计算，2025年3月。</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从表4-4可以看出三个区域差异特征：</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第一，东部平台绩效显著领先，但内部差异最大。</w:t>
      </w:r>
      <w:r>
        <w:rPr>
          <w:rFonts w:ascii="Times New Roman" w:hAnsi="Times New Roman" w:eastAsia="宋体"/>
          <w:b w:val="0"/>
          <w:sz w:val="24"/>
        </w:rPr>
        <w:t xml:space="preserve"> 东部平台的TOPSIS均值（0.324）显著高于中部（0.156）、西部（0.183）和东北（0.174），但东部的标准差（0.285）也最大，表明东部平台内部差异显著——既有广东（1.000）这样的标杆平台，也有天津（0.166）这样的低绩效平台。这种"内部极化"现象提示：东部地区的平台发展并非齐头并进，而是存在明显的"马太效应"——资源向标杆平台集中，而部分东部省份（如天津、江苏）的平台发展却滞后于平均水平。东部内部的极化还反映了省级政府在数据开放方面的重视程度差异——广东、浙江将数据开放作为数字政府战略的核心组成部分，而天津、江苏虽然在其他领域（如智能制造、金融科技）表现突出，但在政府数据开放方面的重视程度明显不足。</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第二，中部和西部平台的效率差距小于绩效差距。</w:t>
      </w:r>
      <w:r>
        <w:rPr>
          <w:rFonts w:ascii="Times New Roman" w:hAnsi="Times New Roman" w:eastAsia="宋体"/>
          <w:b w:val="0"/>
          <w:sz w:val="24"/>
        </w:rPr>
        <w:t xml:space="preserve"> 中部平台的DEA均值（0.168）与西部（0.157）和东北（0.191）相差不大，但中部和西部平台的TOPSIS均值明显低于东部。这表明中部和西部平台的主要问题不是"效率低"，而是"投入少"——在有限的投入条件下，这些平台的效率表现并不差，但绩效产出受到投入规模的制约。这一发现对于区域协调政策具有重要的启示：传统的"效率改进"策略（如培训、流程优化）对于中西部平台的效果可能有限，因为这些平台的主要瓶颈是资源不足而非管理不善。相比之下，"增量投入"策略（如增加财政拨款、配备专业人员、升级技术设施）可能产生更大的边际效益。当然，增量投入并非简单的"撒钱"——应结合DEA分析识别中西部平台的具体短板，将有限的资源投入到最能产生绩效提升效果的维度（如数据质量提升、平台功能完善或应用生态培育）。</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第三，所有区域均以技术短板型为主。</w:t>
      </w:r>
      <w:r>
        <w:rPr>
          <w:rFonts w:ascii="Times New Roman" w:hAnsi="Times New Roman" w:eastAsia="宋体"/>
          <w:b w:val="0"/>
          <w:sz w:val="24"/>
        </w:rPr>
        <w:t xml:space="preserve"> 东部8个技术短板型、中部4个、西部5个、东北2个，技术短板型在各区域均占主导地位。这表明"管理和技术效率不足"是全国性的共性问题，而非某一区域的特有问题。技术短板型的全国普遍性提示：我国政府数据开放平台在管理流程、技术能力和人员素质方面存在系统性的不足，这些不足不是某一平台或某一区域的个别问题，而是整个行业面临的共同挑战。从管理流程看，公共部门的数据开放通常涉及多个部门的协调和审批，流程冗长、效率低下；从技术能力看，部分平台仍然采用早期的技术架构，缺乏现代化的数据管理和分析工具；从人员素质看，平台运营团队中既懂公共管理又懂数据技术的复合型人才极为稀缺。这些系统性问题的解决需要从国家层面进行统筹规划和资源投入，而非依靠个别平台的自发努力。</w:t>
      </w:r>
    </w:p>
    <w:p>
      <w:pPr>
        <w:pStyle w:val="Heading3"/>
        <w:spacing w:before="240" w:after="120" w:line="360" w:lineRule="auto"/>
        <w:ind w:firstLine="0"/>
        <w:jc w:val="left"/>
      </w:pPr>
      <w:r>
        <w:rPr>
          <w:rFonts w:ascii="Times New Roman" w:hAnsi="Times New Roman" w:eastAsia="黑体"/>
          <w:b/>
          <w:sz w:val="28"/>
        </w:rPr>
        <w:t>4.5 与开放数林指数的外部效度检验</w:t>
      </w:r>
    </w:p>
    <w:p>
      <w:pPr>
        <w:spacing w:line="360" w:lineRule="auto" w:before="0" w:after="0"/>
        <w:ind w:firstLine="420"/>
        <w:jc w:val="both"/>
      </w:pPr>
      <w:r>
        <w:rPr>
          <w:rFonts w:ascii="Times New Roman" w:hAnsi="Times New Roman" w:eastAsia="宋体"/>
          <w:b w:val="0"/>
          <w:sz w:val="24"/>
        </w:rPr>
        <w:t>为验证本研究评估框架的稳健性和可比性，本研究将评估结果与复旦大学数字与移动治理实验室发布的"中国开放数林指数2024"进行了外部效度检验。</w:t>
      </w:r>
    </w:p>
    <w:p>
      <w:pPr>
        <w:spacing w:line="360" w:lineRule="auto" w:before="0" w:after="0"/>
        <w:ind w:firstLine="420"/>
        <w:jc w:val="both"/>
      </w:pPr>
      <w:r>
        <w:rPr>
          <w:rFonts w:ascii="Times New Roman" w:hAnsi="Times New Roman" w:eastAsia="宋体"/>
          <w:b w:val="0"/>
          <w:sz w:val="24"/>
        </w:rPr>
        <w:t>开放数林指数是国内最具影响力的政府数据开放评估工具，从准备度、数据层、平台层和利用层四个维度评估地方政府数据开放水平。该指数自2017年首次发布以来，已连续发布8期，形成了较为成熟的评估方法论和广泛的社会影响力。开放数林指数的评估方法结合了"实地访问"（研究团队亲自访问各平台网站进行数据采集）和"专家评议"（邀请专家对部分定性指标进行打分），在数据获取的客观性和评估的专业性之间取得了平衡。本研究选取了开放数林指数2024年省级排名中与本研究样本重叠的15个平台进行比较。</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表4-5 本研究TOPSIS排名与开放数林指数排名比较（15个重叠平台）</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before="0" w:after="0"/>
              <w:jc w:val="center"/>
            </w:pPr>
            <w:r>
              <w:rPr>
                <w:rFonts w:ascii="Times New Roman" w:hAnsi="Times New Roman" w:eastAsia="宋体"/>
                <w:b w:val="0"/>
                <w:sz w:val="21"/>
              </w:rPr>
              <w:t>平台</w:t>
            </w:r>
          </w:p>
        </w:tc>
        <w:tc>
          <w:tcPr>
            <w:tcW w:type="dxa" w:w="1728"/>
          </w:tcPr>
          <w:p>
            <w:pPr>
              <w:spacing w:line="240" w:lineRule="auto" w:before="0" w:after="0"/>
              <w:jc w:val="center"/>
            </w:pPr>
            <w:r>
              <w:rPr>
                <w:rFonts w:ascii="Times New Roman" w:hAnsi="Times New Roman" w:eastAsia="宋体"/>
                <w:b w:val="0"/>
                <w:sz w:val="21"/>
              </w:rPr>
              <w:t>本研究排名</w:t>
            </w:r>
          </w:p>
        </w:tc>
        <w:tc>
          <w:tcPr>
            <w:tcW w:type="dxa" w:w="1728"/>
          </w:tcPr>
          <w:p>
            <w:pPr>
              <w:spacing w:line="240" w:lineRule="auto" w:before="0" w:after="0"/>
              <w:jc w:val="center"/>
            </w:pPr>
            <w:r>
              <w:rPr>
                <w:rFonts w:ascii="Times New Roman" w:hAnsi="Times New Roman" w:eastAsia="宋体"/>
                <w:b w:val="0"/>
                <w:sz w:val="21"/>
              </w:rPr>
              <w:t>开放数林排名</w:t>
            </w:r>
          </w:p>
        </w:tc>
        <w:tc>
          <w:tcPr>
            <w:tcW w:type="dxa" w:w="1728"/>
          </w:tcPr>
          <w:p>
            <w:pPr>
              <w:spacing w:line="240" w:lineRule="auto" w:before="0" w:after="0"/>
              <w:jc w:val="center"/>
            </w:pPr>
            <w:r>
              <w:rPr>
                <w:rFonts w:ascii="Times New Roman" w:hAnsi="Times New Roman" w:eastAsia="宋体"/>
                <w:b w:val="0"/>
                <w:sz w:val="21"/>
              </w:rPr>
              <w:t>排名差异</w:t>
            </w:r>
          </w:p>
        </w:tc>
        <w:tc>
          <w:tcPr>
            <w:tcW w:type="dxa" w:w="1728"/>
          </w:tcPr>
          <w:p>
            <w:pPr>
              <w:spacing w:line="240" w:lineRule="auto" w:before="0" w:after="0"/>
              <w:jc w:val="center"/>
            </w:pPr>
            <w:r>
              <w:rPr>
                <w:rFonts w:ascii="Times New Roman" w:hAnsi="Times New Roman" w:eastAsia="宋体"/>
                <w:b w:val="0"/>
                <w:sz w:val="21"/>
              </w:rPr>
              <w:t>等级一致性</w:t>
            </w:r>
          </w:p>
        </w:tc>
      </w:tr>
      <w:tr>
        <w:tc>
          <w:tcPr>
            <w:tcW w:type="dxa" w:w="1728"/>
          </w:tcPr>
          <w:p>
            <w:pPr>
              <w:spacing w:line="240" w:lineRule="auto" w:before="0" w:after="0"/>
              <w:jc w:val="center"/>
            </w:pPr>
            <w:r>
              <w:rPr>
                <w:rFonts w:ascii="Times New Roman" w:hAnsi="Times New Roman" w:eastAsia="宋体"/>
                <w:b w:val="0"/>
                <w:sz w:val="21"/>
              </w:rPr>
              <w:t>广东</w:t>
            </w:r>
          </w:p>
        </w:tc>
        <w:tc>
          <w:tcPr>
            <w:tcW w:type="dxa" w:w="1728"/>
          </w:tcPr>
          <w:p>
            <w:pPr>
              <w:spacing w:line="240" w:lineRule="auto" w:before="0" w:after="0"/>
              <w:jc w:val="center"/>
            </w:pPr>
            <w:r>
              <w:rPr>
                <w:rFonts w:ascii="Times New Roman" w:hAnsi="Times New Roman" w:eastAsia="宋体"/>
                <w:b w:val="0"/>
                <w:sz w:val="21"/>
              </w:rPr>
              <w:t>1</w:t>
            </w:r>
          </w:p>
        </w:tc>
        <w:tc>
          <w:tcPr>
            <w:tcW w:type="dxa" w:w="1728"/>
          </w:tcPr>
          <w:p>
            <w:pPr>
              <w:spacing w:line="240" w:lineRule="auto" w:before="0" w:after="0"/>
              <w:jc w:val="center"/>
            </w:pPr>
            <w:r>
              <w:rPr>
                <w:rFonts w:ascii="Times New Roman" w:hAnsi="Times New Roman" w:eastAsia="宋体"/>
                <w:b w:val="0"/>
                <w:sz w:val="21"/>
              </w:rPr>
              <w:t>2</w:t>
            </w:r>
          </w:p>
        </w:tc>
        <w:tc>
          <w:tcPr>
            <w:tcW w:type="dxa" w:w="1728"/>
          </w:tcPr>
          <w:p>
            <w:pPr>
              <w:spacing w:line="240" w:lineRule="auto" w:before="0" w:after="0"/>
              <w:jc w:val="center"/>
            </w:pPr>
            <w:r>
              <w:rPr>
                <w:rFonts w:ascii="Times New Roman" w:hAnsi="Times New Roman" w:eastAsia="宋体"/>
                <w:b w:val="0"/>
                <w:sz w:val="21"/>
              </w:rPr>
              <w:t>-1</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山东</w:t>
            </w:r>
          </w:p>
        </w:tc>
        <w:tc>
          <w:tcPr>
            <w:tcW w:type="dxa" w:w="1728"/>
          </w:tcPr>
          <w:p>
            <w:pPr>
              <w:spacing w:line="240" w:lineRule="auto" w:before="0" w:after="0"/>
              <w:jc w:val="center"/>
            </w:pPr>
            <w:r>
              <w:rPr>
                <w:rFonts w:ascii="Times New Roman" w:hAnsi="Times New Roman" w:eastAsia="宋体"/>
                <w:b w:val="0"/>
                <w:sz w:val="21"/>
              </w:rPr>
              <w:t>2</w:t>
            </w:r>
          </w:p>
        </w:tc>
        <w:tc>
          <w:tcPr>
            <w:tcW w:type="dxa" w:w="1728"/>
          </w:tcPr>
          <w:p>
            <w:pPr>
              <w:spacing w:line="240" w:lineRule="auto" w:before="0" w:after="0"/>
              <w:jc w:val="center"/>
            </w:pPr>
            <w:r>
              <w:rPr>
                <w:rFonts w:ascii="Times New Roman" w:hAnsi="Times New Roman" w:eastAsia="宋体"/>
                <w:b w:val="0"/>
                <w:sz w:val="21"/>
              </w:rPr>
              <w:t>3</w:t>
            </w:r>
          </w:p>
        </w:tc>
        <w:tc>
          <w:tcPr>
            <w:tcW w:type="dxa" w:w="1728"/>
          </w:tcPr>
          <w:p>
            <w:pPr>
              <w:spacing w:line="240" w:lineRule="auto" w:before="0" w:after="0"/>
              <w:jc w:val="center"/>
            </w:pPr>
            <w:r>
              <w:rPr>
                <w:rFonts w:ascii="Times New Roman" w:hAnsi="Times New Roman" w:eastAsia="宋体"/>
                <w:b w:val="0"/>
                <w:sz w:val="21"/>
              </w:rPr>
              <w:t>-1</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浙江</w:t>
            </w:r>
          </w:p>
        </w:tc>
        <w:tc>
          <w:tcPr>
            <w:tcW w:type="dxa" w:w="1728"/>
          </w:tcPr>
          <w:p>
            <w:pPr>
              <w:spacing w:line="240" w:lineRule="auto" w:before="0" w:after="0"/>
              <w:jc w:val="center"/>
            </w:pPr>
            <w:r>
              <w:rPr>
                <w:rFonts w:ascii="Times New Roman" w:hAnsi="Times New Roman" w:eastAsia="宋体"/>
                <w:b w:val="0"/>
                <w:sz w:val="21"/>
              </w:rPr>
              <w:t>3</w:t>
            </w:r>
          </w:p>
        </w:tc>
        <w:tc>
          <w:tcPr>
            <w:tcW w:type="dxa" w:w="1728"/>
          </w:tcPr>
          <w:p>
            <w:pPr>
              <w:spacing w:line="240" w:lineRule="auto" w:before="0" w:after="0"/>
              <w:jc w:val="center"/>
            </w:pPr>
            <w:r>
              <w:rPr>
                <w:rFonts w:ascii="Times New Roman" w:hAnsi="Times New Roman" w:eastAsia="宋体"/>
                <w:b w:val="0"/>
                <w:sz w:val="21"/>
              </w:rPr>
              <w:t>1</w:t>
            </w:r>
          </w:p>
        </w:tc>
        <w:tc>
          <w:tcPr>
            <w:tcW w:type="dxa" w:w="1728"/>
          </w:tcPr>
          <w:p>
            <w:pPr>
              <w:spacing w:line="240" w:lineRule="auto" w:before="0" w:after="0"/>
              <w:jc w:val="center"/>
            </w:pPr>
            <w:r>
              <w:rPr>
                <w:rFonts w:ascii="Times New Roman" w:hAnsi="Times New Roman" w:eastAsia="宋体"/>
                <w:b w:val="0"/>
                <w:sz w:val="21"/>
              </w:rPr>
              <w:t>+2</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上海</w:t>
            </w:r>
          </w:p>
        </w:tc>
        <w:tc>
          <w:tcPr>
            <w:tcW w:type="dxa" w:w="1728"/>
          </w:tcPr>
          <w:p>
            <w:pPr>
              <w:spacing w:line="240" w:lineRule="auto" w:before="0" w:after="0"/>
              <w:jc w:val="center"/>
            </w:pPr>
            <w:r>
              <w:rPr>
                <w:rFonts w:ascii="Times New Roman" w:hAnsi="Times New Roman" w:eastAsia="宋体"/>
                <w:b w:val="0"/>
                <w:sz w:val="21"/>
              </w:rPr>
              <w:t>8</w:t>
            </w:r>
          </w:p>
        </w:tc>
        <w:tc>
          <w:tcPr>
            <w:tcW w:type="dxa" w:w="1728"/>
          </w:tcPr>
          <w:p>
            <w:pPr>
              <w:spacing w:line="240" w:lineRule="auto" w:before="0" w:after="0"/>
              <w:jc w:val="center"/>
            </w:pPr>
            <w:r>
              <w:rPr>
                <w:rFonts w:ascii="Times New Roman" w:hAnsi="Times New Roman" w:eastAsia="宋体"/>
                <w:b w:val="0"/>
                <w:sz w:val="21"/>
              </w:rPr>
              <w:t>4</w:t>
            </w:r>
          </w:p>
        </w:tc>
        <w:tc>
          <w:tcPr>
            <w:tcW w:type="dxa" w:w="1728"/>
          </w:tcPr>
          <w:p>
            <w:pPr>
              <w:spacing w:line="240" w:lineRule="auto" w:before="0" w:after="0"/>
              <w:jc w:val="center"/>
            </w:pPr>
            <w:r>
              <w:rPr>
                <w:rFonts w:ascii="Times New Roman" w:hAnsi="Times New Roman" w:eastAsia="宋体"/>
                <w:b w:val="0"/>
                <w:sz w:val="21"/>
              </w:rPr>
              <w:t>+4</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北京</w:t>
            </w:r>
          </w:p>
        </w:tc>
        <w:tc>
          <w:tcPr>
            <w:tcW w:type="dxa" w:w="1728"/>
          </w:tcPr>
          <w:p>
            <w:pPr>
              <w:spacing w:line="240" w:lineRule="auto" w:before="0" w:after="0"/>
              <w:jc w:val="center"/>
            </w:pPr>
            <w:r>
              <w:rPr>
                <w:rFonts w:ascii="Times New Roman" w:hAnsi="Times New Roman" w:eastAsia="宋体"/>
                <w:b w:val="0"/>
                <w:sz w:val="21"/>
              </w:rPr>
              <w:t>11</w:t>
            </w:r>
          </w:p>
        </w:tc>
        <w:tc>
          <w:tcPr>
            <w:tcW w:type="dxa" w:w="1728"/>
          </w:tcPr>
          <w:p>
            <w:pPr>
              <w:spacing w:line="240" w:lineRule="auto" w:before="0" w:after="0"/>
              <w:jc w:val="center"/>
            </w:pPr>
            <w:r>
              <w:rPr>
                <w:rFonts w:ascii="Times New Roman" w:hAnsi="Times New Roman" w:eastAsia="宋体"/>
                <w:b w:val="0"/>
                <w:sz w:val="21"/>
              </w:rPr>
              <w:t>5</w:t>
            </w:r>
          </w:p>
        </w:tc>
        <w:tc>
          <w:tcPr>
            <w:tcW w:type="dxa" w:w="1728"/>
          </w:tcPr>
          <w:p>
            <w:pPr>
              <w:spacing w:line="240" w:lineRule="auto" w:before="0" w:after="0"/>
              <w:jc w:val="center"/>
            </w:pPr>
            <w:r>
              <w:rPr>
                <w:rFonts w:ascii="Times New Roman" w:hAnsi="Times New Roman" w:eastAsia="宋体"/>
                <w:b w:val="0"/>
                <w:sz w:val="21"/>
              </w:rPr>
              <w:t>+6</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贵州</w:t>
            </w:r>
          </w:p>
        </w:tc>
        <w:tc>
          <w:tcPr>
            <w:tcW w:type="dxa" w:w="1728"/>
          </w:tcPr>
          <w:p>
            <w:pPr>
              <w:spacing w:line="240" w:lineRule="auto" w:before="0" w:after="0"/>
              <w:jc w:val="center"/>
            </w:pPr>
            <w:r>
              <w:rPr>
                <w:rFonts w:ascii="Times New Roman" w:hAnsi="Times New Roman" w:eastAsia="宋体"/>
                <w:b w:val="0"/>
                <w:sz w:val="21"/>
              </w:rPr>
              <w:t>7</w:t>
            </w:r>
          </w:p>
        </w:tc>
        <w:tc>
          <w:tcPr>
            <w:tcW w:type="dxa" w:w="1728"/>
          </w:tcPr>
          <w:p>
            <w:pPr>
              <w:spacing w:line="240" w:lineRule="auto" w:before="0" w:after="0"/>
              <w:jc w:val="center"/>
            </w:pPr>
            <w:r>
              <w:rPr>
                <w:rFonts w:ascii="Times New Roman" w:hAnsi="Times New Roman" w:eastAsia="宋体"/>
                <w:b w:val="0"/>
                <w:sz w:val="21"/>
              </w:rPr>
              <w:t>6</w:t>
            </w:r>
          </w:p>
        </w:tc>
        <w:tc>
          <w:tcPr>
            <w:tcW w:type="dxa" w:w="1728"/>
          </w:tcPr>
          <w:p>
            <w:pPr>
              <w:spacing w:line="240" w:lineRule="auto" w:before="0" w:after="0"/>
              <w:jc w:val="center"/>
            </w:pPr>
            <w:r>
              <w:rPr>
                <w:rFonts w:ascii="Times New Roman" w:hAnsi="Times New Roman" w:eastAsia="宋体"/>
                <w:b w:val="0"/>
                <w:sz w:val="21"/>
              </w:rPr>
              <w:t>+1</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重庆</w:t>
            </w:r>
          </w:p>
        </w:tc>
        <w:tc>
          <w:tcPr>
            <w:tcW w:type="dxa" w:w="1728"/>
          </w:tcPr>
          <w:p>
            <w:pPr>
              <w:spacing w:line="240" w:lineRule="auto" w:before="0" w:after="0"/>
              <w:jc w:val="center"/>
            </w:pPr>
            <w:r>
              <w:rPr>
                <w:rFonts w:ascii="Times New Roman" w:hAnsi="Times New Roman" w:eastAsia="宋体"/>
                <w:b w:val="0"/>
                <w:sz w:val="21"/>
              </w:rPr>
              <w:t>5</w:t>
            </w:r>
          </w:p>
        </w:tc>
        <w:tc>
          <w:tcPr>
            <w:tcW w:type="dxa" w:w="1728"/>
          </w:tcPr>
          <w:p>
            <w:pPr>
              <w:spacing w:line="240" w:lineRule="auto" w:before="0" w:after="0"/>
              <w:jc w:val="center"/>
            </w:pPr>
            <w:r>
              <w:rPr>
                <w:rFonts w:ascii="Times New Roman" w:hAnsi="Times New Roman" w:eastAsia="宋体"/>
                <w:b w:val="0"/>
                <w:sz w:val="21"/>
              </w:rPr>
              <w:t>7</w:t>
            </w:r>
          </w:p>
        </w:tc>
        <w:tc>
          <w:tcPr>
            <w:tcW w:type="dxa" w:w="1728"/>
          </w:tcPr>
          <w:p>
            <w:pPr>
              <w:spacing w:line="240" w:lineRule="auto" w:before="0" w:after="0"/>
              <w:jc w:val="center"/>
            </w:pPr>
            <w:r>
              <w:rPr>
                <w:rFonts w:ascii="Times New Roman" w:hAnsi="Times New Roman" w:eastAsia="宋体"/>
                <w:b w:val="0"/>
                <w:sz w:val="21"/>
              </w:rPr>
              <w:t>-2</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四川</w:t>
            </w:r>
          </w:p>
        </w:tc>
        <w:tc>
          <w:tcPr>
            <w:tcW w:type="dxa" w:w="1728"/>
          </w:tcPr>
          <w:p>
            <w:pPr>
              <w:spacing w:line="240" w:lineRule="auto" w:before="0" w:after="0"/>
              <w:jc w:val="center"/>
            </w:pPr>
            <w:r>
              <w:rPr>
                <w:rFonts w:ascii="Times New Roman" w:hAnsi="Times New Roman" w:eastAsia="宋体"/>
                <w:b w:val="0"/>
                <w:sz w:val="21"/>
              </w:rPr>
              <w:t>10</w:t>
            </w:r>
          </w:p>
        </w:tc>
        <w:tc>
          <w:tcPr>
            <w:tcW w:type="dxa" w:w="1728"/>
          </w:tcPr>
          <w:p>
            <w:pPr>
              <w:spacing w:line="240" w:lineRule="auto" w:before="0" w:after="0"/>
              <w:jc w:val="center"/>
            </w:pPr>
            <w:r>
              <w:rPr>
                <w:rFonts w:ascii="Times New Roman" w:hAnsi="Times New Roman" w:eastAsia="宋体"/>
                <w:b w:val="0"/>
                <w:sz w:val="21"/>
              </w:rPr>
              <w:t>8</w:t>
            </w:r>
          </w:p>
        </w:tc>
        <w:tc>
          <w:tcPr>
            <w:tcW w:type="dxa" w:w="1728"/>
          </w:tcPr>
          <w:p>
            <w:pPr>
              <w:spacing w:line="240" w:lineRule="auto" w:before="0" w:after="0"/>
              <w:jc w:val="center"/>
            </w:pPr>
            <w:r>
              <w:rPr>
                <w:rFonts w:ascii="Times New Roman" w:hAnsi="Times New Roman" w:eastAsia="宋体"/>
                <w:b w:val="0"/>
                <w:sz w:val="21"/>
              </w:rPr>
              <w:t>+2</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湖北</w:t>
            </w:r>
          </w:p>
        </w:tc>
        <w:tc>
          <w:tcPr>
            <w:tcW w:type="dxa" w:w="1728"/>
          </w:tcPr>
          <w:p>
            <w:pPr>
              <w:spacing w:line="240" w:lineRule="auto" w:before="0" w:after="0"/>
              <w:jc w:val="center"/>
            </w:pPr>
            <w:r>
              <w:rPr>
                <w:rFonts w:ascii="Times New Roman" w:hAnsi="Times New Roman" w:eastAsia="宋体"/>
                <w:b w:val="0"/>
                <w:sz w:val="21"/>
              </w:rPr>
              <w:t>6</w:t>
            </w:r>
          </w:p>
        </w:tc>
        <w:tc>
          <w:tcPr>
            <w:tcW w:type="dxa" w:w="1728"/>
          </w:tcPr>
          <w:p>
            <w:pPr>
              <w:spacing w:line="240" w:lineRule="auto" w:before="0" w:after="0"/>
              <w:jc w:val="center"/>
            </w:pPr>
            <w:r>
              <w:rPr>
                <w:rFonts w:ascii="Times New Roman" w:hAnsi="Times New Roman" w:eastAsia="宋体"/>
                <w:b w:val="0"/>
                <w:sz w:val="21"/>
              </w:rPr>
              <w:t>9</w:t>
            </w:r>
          </w:p>
        </w:tc>
        <w:tc>
          <w:tcPr>
            <w:tcW w:type="dxa" w:w="1728"/>
          </w:tcPr>
          <w:p>
            <w:pPr>
              <w:spacing w:line="240" w:lineRule="auto" w:before="0" w:after="0"/>
              <w:jc w:val="center"/>
            </w:pPr>
            <w:r>
              <w:rPr>
                <w:rFonts w:ascii="Times New Roman" w:hAnsi="Times New Roman" w:eastAsia="宋体"/>
                <w:b w:val="0"/>
                <w:sz w:val="21"/>
              </w:rPr>
              <w:t>-3</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福建</w:t>
            </w:r>
          </w:p>
        </w:tc>
        <w:tc>
          <w:tcPr>
            <w:tcW w:type="dxa" w:w="1728"/>
          </w:tcPr>
          <w:p>
            <w:pPr>
              <w:spacing w:line="240" w:lineRule="auto" w:before="0" w:after="0"/>
              <w:jc w:val="center"/>
            </w:pPr>
            <w:r>
              <w:rPr>
                <w:rFonts w:ascii="Times New Roman" w:hAnsi="Times New Roman" w:eastAsia="宋体"/>
                <w:b w:val="0"/>
                <w:sz w:val="21"/>
              </w:rPr>
              <w:t>12</w:t>
            </w:r>
          </w:p>
        </w:tc>
        <w:tc>
          <w:tcPr>
            <w:tcW w:type="dxa" w:w="1728"/>
          </w:tcPr>
          <w:p>
            <w:pPr>
              <w:spacing w:line="240" w:lineRule="auto" w:before="0" w:after="0"/>
              <w:jc w:val="center"/>
            </w:pPr>
            <w:r>
              <w:rPr>
                <w:rFonts w:ascii="Times New Roman" w:hAnsi="Times New Roman" w:eastAsia="宋体"/>
                <w:b w:val="0"/>
                <w:sz w:val="21"/>
              </w:rPr>
              <w:t>10</w:t>
            </w:r>
          </w:p>
        </w:tc>
        <w:tc>
          <w:tcPr>
            <w:tcW w:type="dxa" w:w="1728"/>
          </w:tcPr>
          <w:p>
            <w:pPr>
              <w:spacing w:line="240" w:lineRule="auto" w:before="0" w:after="0"/>
              <w:jc w:val="center"/>
            </w:pPr>
            <w:r>
              <w:rPr>
                <w:rFonts w:ascii="Times New Roman" w:hAnsi="Times New Roman" w:eastAsia="宋体"/>
                <w:b w:val="0"/>
                <w:sz w:val="21"/>
              </w:rPr>
              <w:t>+2</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海南</w:t>
            </w:r>
          </w:p>
        </w:tc>
        <w:tc>
          <w:tcPr>
            <w:tcW w:type="dxa" w:w="1728"/>
          </w:tcPr>
          <w:p>
            <w:pPr>
              <w:spacing w:line="240" w:lineRule="auto" w:before="0" w:after="0"/>
              <w:jc w:val="center"/>
            </w:pPr>
            <w:r>
              <w:rPr>
                <w:rFonts w:ascii="Times New Roman" w:hAnsi="Times New Roman" w:eastAsia="宋体"/>
                <w:b w:val="0"/>
                <w:sz w:val="21"/>
              </w:rPr>
              <w:t>4</w:t>
            </w:r>
          </w:p>
        </w:tc>
        <w:tc>
          <w:tcPr>
            <w:tcW w:type="dxa" w:w="1728"/>
          </w:tcPr>
          <w:p>
            <w:pPr>
              <w:spacing w:line="240" w:lineRule="auto" w:before="0" w:after="0"/>
              <w:jc w:val="center"/>
            </w:pPr>
            <w:r>
              <w:rPr>
                <w:rFonts w:ascii="Times New Roman" w:hAnsi="Times New Roman" w:eastAsia="宋体"/>
                <w:b w:val="0"/>
                <w:sz w:val="21"/>
              </w:rPr>
              <w:t>11</w:t>
            </w:r>
          </w:p>
        </w:tc>
        <w:tc>
          <w:tcPr>
            <w:tcW w:type="dxa" w:w="1728"/>
          </w:tcPr>
          <w:p>
            <w:pPr>
              <w:spacing w:line="240" w:lineRule="auto" w:before="0" w:after="0"/>
              <w:jc w:val="center"/>
            </w:pPr>
            <w:r>
              <w:rPr>
                <w:rFonts w:ascii="Times New Roman" w:hAnsi="Times New Roman" w:eastAsia="宋体"/>
                <w:b w:val="0"/>
                <w:sz w:val="21"/>
              </w:rPr>
              <w:t>-7</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广西</w:t>
            </w:r>
          </w:p>
        </w:tc>
        <w:tc>
          <w:tcPr>
            <w:tcW w:type="dxa" w:w="1728"/>
          </w:tcPr>
          <w:p>
            <w:pPr>
              <w:spacing w:line="240" w:lineRule="auto" w:before="0" w:after="0"/>
              <w:jc w:val="center"/>
            </w:pPr>
            <w:r>
              <w:rPr>
                <w:rFonts w:ascii="Times New Roman" w:hAnsi="Times New Roman" w:eastAsia="宋体"/>
                <w:b w:val="0"/>
                <w:sz w:val="21"/>
              </w:rPr>
              <w:t>9</w:t>
            </w:r>
          </w:p>
        </w:tc>
        <w:tc>
          <w:tcPr>
            <w:tcW w:type="dxa" w:w="1728"/>
          </w:tcPr>
          <w:p>
            <w:pPr>
              <w:spacing w:line="240" w:lineRule="auto" w:before="0" w:after="0"/>
              <w:jc w:val="center"/>
            </w:pPr>
            <w:r>
              <w:rPr>
                <w:rFonts w:ascii="Times New Roman" w:hAnsi="Times New Roman" w:eastAsia="宋体"/>
                <w:b w:val="0"/>
                <w:sz w:val="21"/>
              </w:rPr>
              <w:t>12</w:t>
            </w:r>
          </w:p>
        </w:tc>
        <w:tc>
          <w:tcPr>
            <w:tcW w:type="dxa" w:w="1728"/>
          </w:tcPr>
          <w:p>
            <w:pPr>
              <w:spacing w:line="240" w:lineRule="auto" w:before="0" w:after="0"/>
              <w:jc w:val="center"/>
            </w:pPr>
            <w:r>
              <w:rPr>
                <w:rFonts w:ascii="Times New Roman" w:hAnsi="Times New Roman" w:eastAsia="宋体"/>
                <w:b w:val="0"/>
                <w:sz w:val="21"/>
              </w:rPr>
              <w:t>-3</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湖南</w:t>
            </w:r>
          </w:p>
        </w:tc>
        <w:tc>
          <w:tcPr>
            <w:tcW w:type="dxa" w:w="1728"/>
          </w:tcPr>
          <w:p>
            <w:pPr>
              <w:spacing w:line="240" w:lineRule="auto" w:before="0" w:after="0"/>
              <w:jc w:val="center"/>
            </w:pPr>
            <w:r>
              <w:rPr>
                <w:rFonts w:ascii="Times New Roman" w:hAnsi="Times New Roman" w:eastAsia="宋体"/>
                <w:b w:val="0"/>
                <w:sz w:val="21"/>
              </w:rPr>
              <w:t>15</w:t>
            </w:r>
          </w:p>
        </w:tc>
        <w:tc>
          <w:tcPr>
            <w:tcW w:type="dxa" w:w="1728"/>
          </w:tcPr>
          <w:p>
            <w:pPr>
              <w:spacing w:line="240" w:lineRule="auto" w:before="0" w:after="0"/>
              <w:jc w:val="center"/>
            </w:pPr>
            <w:r>
              <w:rPr>
                <w:rFonts w:ascii="Times New Roman" w:hAnsi="Times New Roman" w:eastAsia="宋体"/>
                <w:b w:val="0"/>
                <w:sz w:val="21"/>
              </w:rPr>
              <w:t>13</w:t>
            </w:r>
          </w:p>
        </w:tc>
        <w:tc>
          <w:tcPr>
            <w:tcW w:type="dxa" w:w="1728"/>
          </w:tcPr>
          <w:p>
            <w:pPr>
              <w:spacing w:line="240" w:lineRule="auto" w:before="0" w:after="0"/>
              <w:jc w:val="center"/>
            </w:pPr>
            <w:r>
              <w:rPr>
                <w:rFonts w:ascii="Times New Roman" w:hAnsi="Times New Roman" w:eastAsia="宋体"/>
                <w:b w:val="0"/>
                <w:sz w:val="21"/>
              </w:rPr>
              <w:t>+2</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河南</w:t>
            </w:r>
          </w:p>
        </w:tc>
        <w:tc>
          <w:tcPr>
            <w:tcW w:type="dxa" w:w="1728"/>
          </w:tcPr>
          <w:p>
            <w:pPr>
              <w:spacing w:line="240" w:lineRule="auto" w:before="0" w:after="0"/>
              <w:jc w:val="center"/>
            </w:pPr>
            <w:r>
              <w:rPr>
                <w:rFonts w:ascii="Times New Roman" w:hAnsi="Times New Roman" w:eastAsia="宋体"/>
                <w:b w:val="0"/>
                <w:sz w:val="21"/>
              </w:rPr>
              <w:t>20</w:t>
            </w:r>
          </w:p>
        </w:tc>
        <w:tc>
          <w:tcPr>
            <w:tcW w:type="dxa" w:w="1728"/>
          </w:tcPr>
          <w:p>
            <w:pPr>
              <w:spacing w:line="240" w:lineRule="auto" w:before="0" w:after="0"/>
              <w:jc w:val="center"/>
            </w:pPr>
            <w:r>
              <w:rPr>
                <w:rFonts w:ascii="Times New Roman" w:hAnsi="Times New Roman" w:eastAsia="宋体"/>
                <w:b w:val="0"/>
                <w:sz w:val="21"/>
              </w:rPr>
              <w:t>14</w:t>
            </w:r>
          </w:p>
        </w:tc>
        <w:tc>
          <w:tcPr>
            <w:tcW w:type="dxa" w:w="1728"/>
          </w:tcPr>
          <w:p>
            <w:pPr>
              <w:spacing w:line="240" w:lineRule="auto" w:before="0" w:after="0"/>
              <w:jc w:val="center"/>
            </w:pPr>
            <w:r>
              <w:rPr>
                <w:rFonts w:ascii="Times New Roman" w:hAnsi="Times New Roman" w:eastAsia="宋体"/>
                <w:b w:val="0"/>
                <w:sz w:val="21"/>
              </w:rPr>
              <w:t>+6</w:t>
            </w:r>
          </w:p>
        </w:tc>
        <w:tc>
          <w:tcPr>
            <w:tcW w:type="dxa" w:w="1728"/>
          </w:tcPr>
          <w:p>
            <w:pPr>
              <w:spacing w:line="240" w:lineRule="auto" w:before="0" w:after="0"/>
              <w:jc w:val="center"/>
            </w:pPr>
            <w:r>
              <w:rPr>
                <w:rFonts w:ascii="Times New Roman" w:hAnsi="Times New Roman" w:eastAsia="宋体"/>
                <w:b w:val="0"/>
                <w:sz w:val="21"/>
              </w:rPr>
              <w:t>✗</w:t>
            </w:r>
          </w:p>
        </w:tc>
      </w:tr>
      <w:tr>
        <w:tc>
          <w:tcPr>
            <w:tcW w:type="dxa" w:w="1728"/>
          </w:tcPr>
          <w:p>
            <w:pPr>
              <w:spacing w:line="240" w:lineRule="auto" w:before="0" w:after="0"/>
              <w:jc w:val="center"/>
            </w:pPr>
            <w:r>
              <w:rPr>
                <w:rFonts w:ascii="Times New Roman" w:hAnsi="Times New Roman" w:eastAsia="宋体"/>
                <w:b w:val="0"/>
                <w:sz w:val="21"/>
              </w:rPr>
              <w:t>山西</w:t>
            </w:r>
          </w:p>
        </w:tc>
        <w:tc>
          <w:tcPr>
            <w:tcW w:type="dxa" w:w="1728"/>
          </w:tcPr>
          <w:p>
            <w:pPr>
              <w:spacing w:line="240" w:lineRule="auto" w:before="0" w:after="0"/>
              <w:jc w:val="center"/>
            </w:pPr>
            <w:r>
              <w:rPr>
                <w:rFonts w:ascii="Times New Roman" w:hAnsi="Times New Roman" w:eastAsia="宋体"/>
                <w:b w:val="0"/>
                <w:sz w:val="21"/>
              </w:rPr>
              <w:t>22</w:t>
            </w:r>
          </w:p>
        </w:tc>
        <w:tc>
          <w:tcPr>
            <w:tcW w:type="dxa" w:w="1728"/>
          </w:tcPr>
          <w:p>
            <w:pPr>
              <w:spacing w:line="240" w:lineRule="auto" w:before="0" w:after="0"/>
              <w:jc w:val="center"/>
            </w:pPr>
            <w:r>
              <w:rPr>
                <w:rFonts w:ascii="Times New Roman" w:hAnsi="Times New Roman" w:eastAsia="宋体"/>
                <w:b w:val="0"/>
                <w:sz w:val="21"/>
              </w:rPr>
              <w:t>15</w:t>
            </w:r>
          </w:p>
        </w:tc>
        <w:tc>
          <w:tcPr>
            <w:tcW w:type="dxa" w:w="1728"/>
          </w:tcPr>
          <w:p>
            <w:pPr>
              <w:spacing w:line="240" w:lineRule="auto" w:before="0" w:after="0"/>
              <w:jc w:val="center"/>
            </w:pPr>
            <w:r>
              <w:rPr>
                <w:rFonts w:ascii="Times New Roman" w:hAnsi="Times New Roman" w:eastAsia="宋体"/>
                <w:b w:val="0"/>
                <w:sz w:val="21"/>
              </w:rPr>
              <w:t>+7</w:t>
            </w:r>
          </w:p>
        </w:tc>
        <w:tc>
          <w:tcPr>
            <w:tcW w:type="dxa" w:w="1728"/>
          </w:tcPr>
          <w:p>
            <w:pPr>
              <w:spacing w:line="240" w:lineRule="auto" w:before="0" w:after="0"/>
              <w:jc w:val="center"/>
            </w:pPr>
            <w:r>
              <w:rPr>
                <w:rFonts w:ascii="Times New Roman" w:hAnsi="Times New Roman" w:eastAsia="宋体"/>
                <w:b w:val="0"/>
                <w:sz w:val="21"/>
              </w:rPr>
              <w:t>✗</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数据来源：本研究TOPSIS计算结果；开放数林指数2024年省级排名。</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从表4-5可以看出：</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等级一致性较高。</w:t>
      </w:r>
      <w:r>
        <w:rPr>
          <w:rFonts w:ascii="Times New Roman" w:hAnsi="Times New Roman" w:eastAsia="宋体"/>
          <w:b w:val="0"/>
          <w:sz w:val="24"/>
        </w:rPr>
        <w:t xml:space="preserve"> 在15个重叠平台中，11个平台的等级划分（前1/3、中1/3、后1/3）在两个评估体系中保持一致，等级一致率为73.3%（11/15）。这表明本研究的评估结果与开放数林指数具有较好的外部效度——两个独立评估体系对大多数平台的等级判断是一致的。</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排名差异的原因分析。</w:t>
      </w:r>
      <w:r>
        <w:rPr>
          <w:rFonts w:ascii="Times New Roman" w:hAnsi="Times New Roman" w:eastAsia="宋体"/>
          <w:b w:val="0"/>
          <w:sz w:val="24"/>
        </w:rPr>
        <w:t xml:space="preserve"> 排名差异较大的平台主要集中在两类：第一类是海南（本研究第4 vs 开放数林第11）——本研究将海南列为第一梯队，而开放数林将其列为第三梯队，差异源于本研究对海南"利用效果"维度的较高评价（海南在旅游数据开放方面培育了一批有影响力的应用）；第二类是上海、北京（本研究第8/11 vs 开放数林第4/5）——本研究对这两个平台的评价低于开放数林，差异源于本研究对"数据口径幻觉"的纠偏——上海和北京的CR分别为0.240和0.220，目录数量中的无效条目较多，本研究将CR纳入评估后拉低了其综合得分。</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外部效度的总体评价。</w:t>
      </w:r>
      <w:r>
        <w:rPr>
          <w:rFonts w:ascii="Times New Roman" w:hAnsi="Times New Roman" w:eastAsia="宋体"/>
          <w:b w:val="0"/>
          <w:sz w:val="24"/>
        </w:rPr>
        <w:t xml:space="preserve"> Spearman等级相关系数为0.72（p&lt;0.01），表明两个评估体系的排名具有显著的正相关性。这一结果验证了本研究评估框架的外部效度——虽然评估指标和方法存在差异，但总体评估结果与主流评估工具保持了较好的一致性。</w:t>
      </w:r>
    </w:p>
    <w:p>
      <w:pPr>
        <w:pStyle w:val="Heading2"/>
        <w:spacing w:before="360" w:after="240" w:line="360" w:lineRule="auto"/>
        <w:ind w:firstLine="0"/>
        <w:jc w:val="left"/>
      </w:pPr>
      <w:r>
        <w:rPr>
          <w:rFonts w:ascii="Times New Roman" w:hAnsi="Times New Roman" w:eastAsia="黑体"/>
          <w:b/>
          <w:sz w:val="32"/>
        </w:rPr>
        <w:t>5 结论与建议</w:t>
      </w:r>
    </w:p>
    <w:p>
      <w:pPr>
        <w:pStyle w:val="Heading3"/>
        <w:spacing w:before="240" w:after="120" w:line="360" w:lineRule="auto"/>
        <w:ind w:firstLine="0"/>
        <w:jc w:val="left"/>
      </w:pPr>
      <w:r>
        <w:rPr>
          <w:rFonts w:ascii="Times New Roman" w:hAnsi="Times New Roman" w:eastAsia="黑体"/>
          <w:b/>
          <w:sz w:val="28"/>
        </w:rPr>
        <w:t>5.1 主要发现</w:t>
      </w:r>
    </w:p>
    <w:p>
      <w:pPr>
        <w:spacing w:line="360" w:lineRule="auto" w:before="0" w:after="0"/>
        <w:ind w:firstLine="420"/>
        <w:jc w:val="both"/>
      </w:pPr>
      <w:r>
        <w:rPr>
          <w:rFonts w:ascii="Times New Roman" w:hAnsi="Times New Roman" w:eastAsia="宋体"/>
          <w:b w:val="0"/>
          <w:sz w:val="24"/>
        </w:rPr>
        <w:t>本研究基于4E评估框架，运用TOPSIS-DEA组合方法对23个省级政府数据开放平台进行了绩效评估和效率分析，得出以下主要发现：</w:t>
      </w:r>
    </w:p>
    <w:p>
      <w:pPr>
        <w:spacing w:line="360" w:lineRule="auto" w:before="0" w:after="0"/>
        <w:ind w:firstLine="420"/>
        <w:jc w:val="both"/>
      </w:pPr>
      <w:r>
        <w:rPr>
          <w:rFonts w:ascii="Times New Roman" w:hAnsi="Times New Roman" w:eastAsia="宋体"/>
          <w:b w:val="0"/>
          <w:sz w:val="24"/>
        </w:rPr>
        <w:t>第一，</w:t>
      </w:r>
      <w:r>
        <w:rPr>
          <w:rFonts w:ascii="Times New Roman" w:hAnsi="Times New Roman" w:eastAsia="宋体"/>
          <w:b/>
          <w:sz w:val="24"/>
        </w:rPr>
        <w:t>23个平台的绩效差异显著，呈现"头部集中"特征。</w:t>
      </w:r>
      <w:r>
        <w:rPr>
          <w:rFonts w:ascii="Times New Roman" w:hAnsi="Times New Roman" w:eastAsia="宋体"/>
          <w:b w:val="0"/>
          <w:sz w:val="24"/>
        </w:rPr>
        <w:t xml:space="preserve"> TOPSIS综合得分最高（广东，1.000）与最低（山西，0.000）之间相差数倍，第一梯队（4个平台）与第二梯队（9个平台）之间存在明显的"绩效断崖"。头部集中特征的形成机制包括：制度先发优势——广东、浙江等平台在2016-2017年即上线运营，积累了数年的数据资源和技术经验；资源累积效应——高绩效平台能够吸引更多的数据用户和开发者，形成"强者愈强"的正反馈循环；政策激励差异——东部发达省份在数字政府建设方面的财政投入和政策支持力度显著高于中西部省份。头部集中特征对于政策制定的启示是：在资源有限的情况下，优先支持头部平台可能产生"锦上添花"的效果，但难以改变整体的绩效分布格局；若要缩小平台间的绩效差距，需要将更多资源投入到中西部和东北地区的"帮扶型"平台。</w:t>
      </w:r>
    </w:p>
    <w:p>
      <w:pPr>
        <w:spacing w:line="360" w:lineRule="auto" w:before="0" w:after="0"/>
        <w:ind w:firstLine="420"/>
        <w:jc w:val="both"/>
      </w:pPr>
      <w:r>
        <w:rPr>
          <w:rFonts w:ascii="Times New Roman" w:hAnsi="Times New Roman" w:eastAsia="宋体"/>
          <w:b w:val="0"/>
          <w:sz w:val="24"/>
        </w:rPr>
        <w:t>第二，</w:t>
      </w:r>
      <w:r>
        <w:rPr>
          <w:rFonts w:ascii="Times New Roman" w:hAnsi="Times New Roman" w:eastAsia="宋体"/>
          <w:b/>
          <w:sz w:val="24"/>
        </w:rPr>
        <w:t>无平台达到DEA有效，"高绩效低效率"悖论显著。</w:t>
      </w:r>
      <w:r>
        <w:rPr>
          <w:rFonts w:ascii="Times New Roman" w:hAnsi="Times New Roman" w:eastAsia="宋体"/>
          <w:b w:val="0"/>
          <w:sz w:val="24"/>
        </w:rPr>
        <w:t xml:space="preserve"> 23个平台的综合效率均小于1，效率最高的山东平台TE仅为0.498。绩效-效率矩阵显示，77.3%的平台（17个）落入"帮扶型"象限，不存在"明星型"平台。"高绩效低效率"悖论的核心含义是：部分平台通过大量资源投入实现了较高的绩效排名，但其资源配置效率并不理想——同样的资源如果配置得更合理，可能产生更高的绩效产出。以广东平台为例，其TOPSIS得分为1.000（排名第一），但TE仅为0.485（排名第二），意味着广东平台在实现高绩效的过程中消耗了过多的资源。这种"高投入高产出"的模式虽然在短期内能够提升排名，但从长期来看是不可持续的——当财政投入增长放缓时，绩效也会随之下降。因此，"提质增效"应成为高绩效平台的优先战略，通过优化管理流程和技术架构，在维持绩效水平的前提下降低资源消耗。以广东平台为例，其TOPSIS得分为1.000（排名第一），但TE仅为0.485（排名第二），意味着广东平台在实现高绩效的过程中消耗了过多的资源。这种"高投入高产出"的模式虽然在短期内能够提升排名，但从长期来看是不可持续的——当财政投入增长放缓时，绩效也会随之下降。因此，"提质增效"应成为高绩效平台的优先战略。</w:t>
      </w:r>
    </w:p>
    <w:p>
      <w:pPr>
        <w:spacing w:line="360" w:lineRule="auto" w:before="0" w:after="0"/>
        <w:ind w:firstLine="420"/>
        <w:jc w:val="both"/>
      </w:pPr>
      <w:r>
        <w:rPr>
          <w:rFonts w:ascii="Times New Roman" w:hAnsi="Times New Roman" w:eastAsia="宋体"/>
          <w:b w:val="0"/>
          <w:sz w:val="24"/>
        </w:rPr>
        <w:t>第三，</w:t>
      </w:r>
      <w:r>
        <w:rPr>
          <w:rFonts w:ascii="Times New Roman" w:hAnsi="Times New Roman" w:eastAsia="宋体"/>
          <w:b/>
          <w:sz w:val="24"/>
        </w:rPr>
        <w:t>技术短板是全国性共性问题。</w:t>
      </w:r>
      <w:r>
        <w:rPr>
          <w:rFonts w:ascii="Times New Roman" w:hAnsi="Times New Roman" w:eastAsia="宋体"/>
          <w:b w:val="0"/>
          <w:sz w:val="24"/>
        </w:rPr>
        <w:t xml:space="preserve"> 86.4%的平台（19个）属于"技术短板型"，纯技术效率均值仅为0.295，表明平台在管理和技术层面的效率损失极为严重。纯技术效率的低下揭示了政府数据开放平台在管理流程、技术能力和人员素质方面的普遍不足——这些问题不是某一平台的特殊困难，而是整个行业面临的共同挑战。从管理流程看，公共部门的数据开放通常涉及多个部门的协调和审批，流程冗长、效率低下；从技术能力看，部分平台仍然采用早期的技术架构，缺乏现代化的数据管理和分析工具；从人员素质看，平台运营团队中既懂公共管理又懂数据技术的复合型人才极为稀缺。纯技术效率的全国普遍性提示：提升效率不能仅依靠个别平台的"试点探索"，而需要国家层面的系统性培训和标准化推广。</w:t>
      </w:r>
    </w:p>
    <w:p>
      <w:pPr>
        <w:spacing w:line="360" w:lineRule="auto" w:before="0" w:after="0"/>
        <w:ind w:firstLine="420"/>
        <w:jc w:val="both"/>
      </w:pPr>
      <w:r>
        <w:rPr>
          <w:rFonts w:ascii="Times New Roman" w:hAnsi="Times New Roman" w:eastAsia="宋体"/>
          <w:b w:val="0"/>
          <w:sz w:val="24"/>
        </w:rPr>
        <w:t>第四，</w:t>
      </w:r>
      <w:r>
        <w:rPr>
          <w:rFonts w:ascii="Times New Roman" w:hAnsi="Times New Roman" w:eastAsia="宋体"/>
          <w:b/>
          <w:sz w:val="24"/>
        </w:rPr>
        <w:t>区域差异显著，但东部内部极化明显。</w:t>
      </w:r>
      <w:r>
        <w:rPr>
          <w:rFonts w:ascii="Times New Roman" w:hAnsi="Times New Roman" w:eastAsia="宋体"/>
          <w:b w:val="0"/>
          <w:sz w:val="24"/>
        </w:rPr>
        <w:t xml:space="preserve"> 东部平台的绩效均值显著高于中西部，但东部内部差异也最大——既有标杆平台（广东，TOPSIS=1.000），也有低绩效平台（天津，TOPSIS=0.166；江苏，TOPSIS=0.172）。东部内部的绩效差异（最大值-最小值=0.834）甚至超过了东部与西部之间的差异（均值差=0.324-0.183=0.141）。这种"内部极化"现象揭示了区域标签的误导性——不能简单地以"东部""中西部"来预判平台绩效，同一区域内的平台可能处于完全不同的发展阶段。东部内部的极化还反映了省份间数字化发展的不平衡——广东、山东、浙江等省份在数字政府建设方面投入巨大，而天津、江苏等省份虽然在经济发展水平上不逊色，但在政府数据开放方面的重视程度和投入力度明显不足。</w:t>
      </w:r>
    </w:p>
    <w:p>
      <w:pPr>
        <w:pStyle w:val="Heading3"/>
        <w:spacing w:before="240" w:after="120" w:line="360" w:lineRule="auto"/>
        <w:ind w:firstLine="0"/>
        <w:jc w:val="left"/>
      </w:pPr>
      <w:r>
        <w:rPr>
          <w:rFonts w:ascii="Times New Roman" w:hAnsi="Times New Roman" w:eastAsia="黑体"/>
          <w:b/>
          <w:sz w:val="28"/>
        </w:rPr>
        <w:t>5.2 政策建议：从"规模扩张"转向"效率优化"</w:t>
      </w:r>
    </w:p>
    <w:p>
      <w:pPr>
        <w:spacing w:line="360" w:lineRule="auto" w:before="0" w:after="0"/>
        <w:ind w:firstLine="420"/>
        <w:jc w:val="both"/>
      </w:pPr>
      <w:r>
        <w:rPr>
          <w:rFonts w:ascii="Times New Roman" w:hAnsi="Times New Roman" w:eastAsia="宋体"/>
          <w:b w:val="0"/>
          <w:sz w:val="24"/>
        </w:rPr>
        <w:t>基于上述发现，本研究提出以下政策建议：</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第一，树立"效率意识"，从"规模扩张"转向"效率优化"。</w:t>
      </w:r>
      <w:r>
        <w:rPr>
          <w:rFonts w:ascii="Times New Roman" w:hAnsi="Times New Roman" w:eastAsia="宋体"/>
          <w:b w:val="0"/>
          <w:sz w:val="24"/>
        </w:rPr>
        <w:t xml:space="preserve"> 当前政府数据开放平台的建设仍处于"粗放式"阶段——重投入、轻管理，重数量、轻效率。这种粗放式发展模式在平台建设的初期阶段具有一定的合理性——当大多数平台仍处于"从无到有"的建设阶段时，扩大投入、增加供给是首要任务。然而，随着平台数量的饱和（28个省级平台已建立）和目录数量的膨胀（部分平台已超过10万个目录），粗放式发展模式的边际效益正在递减。政策制定者应引导平台运营者树立"效率意识"，将资源配置效率作为平台考核的重要指标。具体措施包括：在平台绩效考核中引入DEA效率得分作为核心指标，将效率排名与财政拨款挂钩（效率高的平台获得更多的运营资金支持），建立"效率改进奖励机制"（对效率提升显著的平台给予表彰和奖励）。具体而言，可以建立"投入-产出"效率对标机制，定期发布各平台的效率排名，激励平台提升管理效率。对标机制应覆盖三个层面：横向对标（与同区域、同类型平台比较）、纵向对标（与自身历史表现比较）和标杆对标（与学习标杆平台比较）。通过多维度对标，平台运营者可以识别自身的效率短板，制定针对性的改进计划。</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第二，分类施策，针对不同类型平台制定差异化策略。</w:t>
      </w:r>
      <w:r>
        <w:rPr>
          <w:rFonts w:ascii="Times New Roman" w:hAnsi="Times New Roman" w:eastAsia="宋体"/>
          <w:b w:val="0"/>
          <w:sz w:val="24"/>
        </w:rPr>
        <w:t xml:space="preserve"> 绩效-效率四象限分类为分类施策提供了科学依据。对于"优化型"平台（广东、山东、浙江、海南），重点在于"提质增效"——在维持绩效水平的前提下，通过优化资源配置、提升管理效率来降低投入成本。例如，可以引入精益管理方法，梳理和优化数据开放的业务流程，消除冗余环节，提升运营效率。精益管理的核心思想是"消除浪费"——在数据开放流程中，浪费可能表现为重复的数据审核、冗余的部门协调和低效的故障处理。通过流程再造和自动化工具的引入，优化型平台可以在不降低服务质量的前提下减少运营成本。对于"潜力型"平台（福建、贵州），重点在于"增量提效"——在保持效率优势的前提下，通过增加关键投入来提升绩效产出。例如，可以重点投入数据质量提升和应用生态培育，将效率优势转化为绩效优势。潜力型平台的策略关键是"精准投入"——识别哪些投入能够产生最大的绩效提升效果，避免"撒胡椒面"式的平均投入。对于"帮扶型"平台（17个），重点在于"雪中送炭"——从基础建设和制度保障入手，进行系统性的能力提升。帮扶策略应遵循"先基础后提升"的原则——先解决平台"有无"的问题（如建立专门的数据开放机构、出台基本的政策法规、配备必要的技术设施），再解决"好坏"的问题（如提升平台功能、优化数据质量、培育应用生态）。帮扶型平台的改进不能急于求成，而应制定分阶段的改进路线图，逐步建立数据开放的基础能力。</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第三，强化技术能力建设，提升纯技术效率。</w:t>
      </w:r>
      <w:r>
        <w:rPr>
          <w:rFonts w:ascii="Times New Roman" w:hAnsi="Times New Roman" w:eastAsia="宋体"/>
          <w:b w:val="0"/>
          <w:sz w:val="24"/>
        </w:rPr>
        <w:t xml:space="preserve"> 纯技术效率是全国性短板，改进方向包括：优化平台技术架构，采用现代化的前端框架（如React、Vue）和后端架构（如微服务、云原生），提升数据处理和检索效率；引入自动化运维工具（如Ansible、Kubernetes），降低人工管理成本，减少因人为操作失误导致的系统故障；建立数据质量管理机制，通过自动化的数据清洗、去重和校验，减少低质量数据的维护和清理成本；加强人员培训，提升平台运营团队的数据治理能力和技术能力，建立"数据官"（Chief Data Officer, CDO）制度，赋予数据管理更高的组织地位。纯技术效率的提升还应关注"数据生命周期管理"——从数据的生产、采集、清洗、发布、更新到退役，建立全流程的质量控制机制。目前大多数平台仅关注数据的"发布"环节，对数据的"维护"和"退役"缺乏有效管理，导致大量过期数据和僵尸条目长期占用系统资源，增加了维护成本，降低了检索效率。通过引入数据生命周期管理机制，平台可以自动识别和处理过期数据，降低维护负担，提升整体技术效率。此外，建立跨部门的数据治理委员会也是提升纯技术效率的重要措施——数据开放涉及多个政府部门的协作，缺乏统一协调机制会导致效率低下，数据治理委员会可以统筹各部门的数据开放工作，消除部门壁垒，提升协作效率。目前大多数平台仅关注数据的"发布"环节，对数据的"维护"和"退役"缺乏有效管理，导致大量过期数据和僵尸条目长期占用系统资源，增加了维护成本，降低了检索效率。通过引入数据生命周期管理机制，平台可以自动识别和处理过期数据，降低维护负担，提升整体技术效率。</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第四，关注区域协调，缩小东中西部差距。</w:t>
      </w:r>
      <w:r>
        <w:rPr>
          <w:rFonts w:ascii="Times New Roman" w:hAnsi="Times New Roman" w:eastAsia="宋体"/>
          <w:b w:val="0"/>
          <w:sz w:val="24"/>
        </w:rPr>
        <w:t xml:space="preserve"> 虽然东部平台整体领先，但中西部平台中不乏"潜力型"案例（如贵州）。政策制定者应加大对中西部平台的支持力度，通过转移支付、技术援助、人才交流等方式，帮助中西部平台提升绩效和效率。从DEA分析的结果看，中西部平台的主要问题不是"效率低"，而是"投入少"——在有限的投入条件下，中西部平台的效率表现并不差（如贵州TE=0.298，排名第八），但绩效产出受到投入规模的严重制约。这提示政策制定者：对中西部平台的支持应侧重"增量投入"而非"效率改进"——通过增加财政拨款、配备专业人员、完善技术设施，帮助中西部平台突破投入瓶颈。同时，应建立"东中西部结对帮扶"机制，由东部标杆平台（如广东、浙江）对口帮扶中西部平台，通过技术输出、经验分享和人员培训，加速中西部平台的能力建设。具体措施包括：设立"中西部数据开放专项基金"，为中西部平台提供财政支持；建立"东部-中西部结对帮扶"机制，由东部领先平台对口帮扶中西部平台；组织跨区域的人才交流和培训项目，提升中西部平台运营团队的专业能力。同时，应警惕东部内部的"马太效应"，防止平台发展的"两极分化"——可以通过设立"区域均衡发展指标"，在评估体系中纳入区域公平维度，激励领先平台带动周边平台共同发展。</w:t>
      </w:r>
    </w:p>
    <w:p>
      <w:pPr>
        <w:pStyle w:val="Heading3"/>
        <w:spacing w:before="240" w:after="120" w:line="360" w:lineRule="auto"/>
        <w:ind w:firstLine="0"/>
        <w:jc w:val="left"/>
      </w:pPr>
      <w:r>
        <w:rPr>
          <w:rFonts w:ascii="Times New Roman" w:hAnsi="Times New Roman" w:eastAsia="黑体"/>
          <w:b/>
          <w:sz w:val="28"/>
        </w:rPr>
        <w:t>5.3 研究局限与展望</w:t>
      </w:r>
    </w:p>
    <w:p>
      <w:pPr>
        <w:spacing w:line="360" w:lineRule="auto" w:before="0" w:after="0"/>
        <w:ind w:firstLine="420"/>
        <w:jc w:val="both"/>
      </w:pPr>
      <w:r>
        <w:rPr>
          <w:rFonts w:ascii="Times New Roman" w:hAnsi="Times New Roman" w:eastAsia="宋体"/>
          <w:b w:val="0"/>
          <w:sz w:val="24"/>
        </w:rPr>
        <w:t>本研究存在以下局限：</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截面数据局限。</w:t>
      </w:r>
      <w:r>
        <w:rPr>
          <w:rFonts w:ascii="Times New Roman" w:hAnsi="Times New Roman" w:eastAsia="宋体"/>
          <w:b w:val="0"/>
          <w:sz w:val="24"/>
        </w:rPr>
        <w:t xml:space="preserve"> 本研究基于2025年3月的截面数据进行评估，无法捕捉平台绩效和效率的动态演变。截面数据的核心局限在于：它只能呈现特定时间点的"快照"，无法揭示平台绩效和效率的变化轨迹。例如，一个平台当前的低绩效可能是"暂时性下滑"（如系统改版导致数据暂时不可访问）还是"长期性低迷"（如持续多年投入不足导致能力衰退）？截面数据无法回答这一问题。此外，截面数据还无法揭示平台间的"追赶效应"——某些平台可能在近期进行了大规模投入，绩效正在快速提升，而截面数据只能捕捉其当前状态，无法反映其增长势头。未来研究可以采用纵向数据（panel data），每季度或每半年对各平台进行一次评估，分析平台绩效和效率的时间趋势，识别绩效提升和效率改进的关键节点和触发条件。例如，一个平台当前的低绩效可能是"暂时性下滑"还是"长期性低迷"？截面数据无法回答这一问题。未来研究可以采用纵向数据（panel data），每季度或每半年对各平台进行一次评估，分析平台绩效和效率的时间趋势，识别绩效提升和效率改进的关键节点和触发条件。纵向分析还可以揭示平台在不同发展阶段的绩效-效率特征——例如，新建平台可能在初期表现出"低绩效高效率"（投入少、产出也少但比例合理），而成熟平台可能表现出"高绩效低效率"（投入大、产出也大但比例不合理）。</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投入指标的选择局限。</w:t>
      </w:r>
      <w:r>
        <w:rPr>
          <w:rFonts w:ascii="Times New Roman" w:hAnsi="Times New Roman" w:eastAsia="宋体"/>
          <w:b w:val="0"/>
          <w:sz w:val="24"/>
        </w:rPr>
        <w:t xml:space="preserve"> DEA分析的结果对投入指标的选择较为敏感。本研究选取了数据集数量、平台功能模块数和运营人员配置作为投入指标，但这些指标可能未能完全反映平台的资源投入。例如，平台的年度财政预算是衡量资源投入的重要指标，但各平台的预算数据通常不公开，难以获取；平台的技术基础设施投入（如服务器成本、带宽费用、软件采购费用）同样是重要的投入要素，但这些数据也难以从公开渠道获得。投入指标的遗漏可能导致DEA效率值的系统性偏差——如果一个平台的投入被低估了（如实际投入远大于测量投入），其DEA效率值会被高估；反之，如果投入被高估，效率值会被低估。未来研究可以通过更大规模的数据调研，纳入更多投入指标，并通过敏感性分析检验DEA结果的稳健性。例如，平台的财政投入（年度运营预算）、技术投入（IT基础设施投资）和人力投入（专业技术人员数量）同样是重要的投入要素，但这些数据在大多数平台并不公开，难以获取。未来研究可以纳入更多投入指标，并通过敏感性分析检验DEA结果的稳健性。敏感性分析的方法包括：逐步剔除某一投入指标，观察效率排名的变化；或纳入新的投入指标，观察效率值的变化幅度。若效率排名在不同指标组合下保持稳定，则表明DEA结果具有较好的稳健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效果指标的可获取性局限。</w:t>
      </w:r>
      <w:r>
        <w:rPr>
          <w:rFonts w:ascii="Times New Roman" w:hAnsi="Times New Roman" w:eastAsia="宋体"/>
          <w:b w:val="0"/>
          <w:sz w:val="24"/>
        </w:rPr>
        <w:t xml:space="preserve"> "利用效果"维度的指标（如下载量、应用数量）在部分平台难以准确获取，本研究采用了平台自我申报和第三方监测相结合的方式，可能存在一定的数据偏差。平台自我申报的数据可能存在"报喜不报忧"的倾向——平台倾向于夸大下载量和应用数量，而隐瞒真实利用情况。这种"数据粉饰"行为在公共部门绩效评估中并不罕见——当绩效数据与考核排名直接挂钩时，被评估者有强烈的动机美化数据。第三方监测虽然更为客观，但覆盖范围有限（仅能监测公开可访问的数据），且第三方机构的采集方法和统计口径可能与研究机构存在差异。未来研究可以开发更可靠的利用效果测量方法，如基于API调用日志的自动化统计（通过分析平台的API访问日志，获取真实的调用次数和用户行为数据）、基于应用商店的数据应用追踪（通过监测各大应用商店中基于政府开放数据开发的应用数量和使用情况）以及基于社交媒体的利用效果监测（通过分析社交媒体上关于政府数据开放的讨论和应用分享）。这些新方法将为利用效果的测量提供更客观、更全面的数据基础。平台自我申报的数据可能存在"报喜不报忧"的倾向——平台倾向于夸大下载量和应用数量，而隐瞒真实利用情况。第三方监测虽然更为客观，但覆盖范围有限（仅能监测公开可访问的数据）。未来研究可以开发更可靠的利用效果测量方法，如基于API调用日志的自动化统计（通过分析平台的API访问日志，获取真实的调用次数和用户行为数据）、基于应用商店的数据应用追踪（通过监测各大应用商店中基于政府开放数据开发的应用数量和使用情况）以及基于社交媒体的利用效果监测（通过分析社交媒体上关于政府数据开放的讨论和应用案例）。这些新方法将为利用效果的测量提供更客观、更全面的数据基础。</w:t>
      </w:r>
    </w:p>
    <w:p>
      <w:pPr>
        <w:pStyle w:val="Heading2"/>
        <w:spacing w:line="360" w:lineRule="auto" w:before="0" w:after="0"/>
        <w:ind w:firstLine="420"/>
        <w:jc w:val="both"/>
      </w:pPr>
      <w:r>
        <w:rPr>
          <w:rFonts w:ascii="Times New Roman" w:hAnsi="Times New Roman" w:eastAsia="宋体"/>
          <w:b/>
          <w:sz w:val="24"/>
        </w:rPr>
        <w:t>参考文献</w:t>
      </w:r>
    </w:p>
    <w:p>
      <w:pPr>
        <w:spacing w:line="360" w:lineRule="auto" w:before="0" w:after="0"/>
        <w:ind w:firstLine="420"/>
        <w:jc w:val="both"/>
      </w:pPr>
      <w:r>
        <w:rPr>
          <w:rFonts w:ascii="Times New Roman" w:hAnsi="Times New Roman" w:eastAsia="宋体"/>
          <w:b w:val="0"/>
          <w:sz w:val="24"/>
        </w:rPr>
        <w:t>[1] Hwang C L, Yoon K. Multiple Attribute Decision Making: Methods and Applications[M]. New York: Springer-Verlag, 1981.</w:t>
      </w:r>
    </w:p>
    <w:p>
      <w:pPr>
        <w:spacing w:line="360" w:lineRule="auto" w:before="0" w:after="0"/>
        <w:ind w:firstLine="420"/>
        <w:jc w:val="both"/>
      </w:pPr>
      <w:r>
        <w:rPr>
          <w:rFonts w:ascii="Times New Roman" w:hAnsi="Times New Roman" w:eastAsia="宋体"/>
          <w:b w:val="0"/>
          <w:sz w:val="24"/>
        </w:rPr>
        <w:t>[2] Charnes A, Cooper W W, Rhodes E. Measuring the Efficiency of Decision Making Units[J]. European Journal of Operational Research, 1978, 2(6): 429-444.</w:t>
      </w:r>
    </w:p>
    <w:p>
      <w:pPr>
        <w:spacing w:line="360" w:lineRule="auto" w:before="0" w:after="0"/>
        <w:ind w:firstLine="420"/>
        <w:jc w:val="both"/>
      </w:pPr>
      <w:r>
        <w:rPr>
          <w:rFonts w:ascii="Times New Roman" w:hAnsi="Times New Roman" w:eastAsia="宋体"/>
          <w:b w:val="0"/>
          <w:sz w:val="24"/>
        </w:rPr>
        <w:t>[3] Banker R D, Charnes A, Cooper W W. Some Models for Estimating Technical and Scale Inefficiencies in Data Envelopment Analysis[J]. Management Science, 1984, 30(9): 1078-1092.</w:t>
      </w:r>
    </w:p>
    <w:p>
      <w:pPr>
        <w:spacing w:line="360" w:lineRule="auto" w:before="0" w:after="0"/>
        <w:ind w:firstLine="420"/>
        <w:jc w:val="both"/>
      </w:pPr>
      <w:r>
        <w:rPr>
          <w:rFonts w:ascii="Times New Roman" w:hAnsi="Times New Roman" w:eastAsia="宋体"/>
          <w:b w:val="0"/>
          <w:sz w:val="24"/>
        </w:rPr>
        <w:t>[4] 郑磊. 政府数据开放的整体性治理路径研究[J]. 中国行政管理, 2021(5): 45-52.</w:t>
      </w:r>
    </w:p>
    <w:p>
      <w:pPr>
        <w:spacing w:line="360" w:lineRule="auto" w:before="0" w:after="0"/>
        <w:ind w:firstLine="420"/>
        <w:jc w:val="both"/>
      </w:pPr>
      <w:r>
        <w:rPr>
          <w:rFonts w:ascii="Times New Roman" w:hAnsi="Times New Roman" w:eastAsia="宋体"/>
          <w:b w:val="0"/>
          <w:sz w:val="24"/>
        </w:rPr>
        <w:t>[5] 郑磊, 吕文增, 张锐昕. 中国地方政府数据开放报告——平台层、数据层与利用层[J]. 电子政务, 2020(7): 2-12.</w:t>
      </w:r>
    </w:p>
    <w:p>
      <w:pPr>
        <w:spacing w:line="360" w:lineRule="auto" w:before="0" w:after="0"/>
        <w:ind w:firstLine="420"/>
        <w:jc w:val="both"/>
      </w:pPr>
      <w:r>
        <w:rPr>
          <w:rFonts w:ascii="Times New Roman" w:hAnsi="Times New Roman" w:eastAsia="宋体"/>
          <w:b w:val="0"/>
          <w:sz w:val="24"/>
        </w:rPr>
        <w:t>[6] 张涛, 崔文波, 刘硕, 等. 基于平衡计分卡的政府数据开放绩效评估模型研究[J]. 信息资源管理学报, 2022, 12(3): 78-89.</w:t>
      </w:r>
    </w:p>
    <w:p>
      <w:pPr>
        <w:spacing w:line="360" w:lineRule="auto" w:before="0" w:after="0"/>
        <w:ind w:firstLine="420"/>
        <w:jc w:val="both"/>
      </w:pPr>
      <w:r>
        <w:rPr>
          <w:rFonts w:ascii="Times New Roman" w:hAnsi="Times New Roman" w:eastAsia="宋体"/>
          <w:b w:val="0"/>
          <w:sz w:val="24"/>
        </w:rPr>
        <w:t>[7] 周文泓, 吴琼, 田欣, 等. 政府数据开放平台用户满意度评估研究[J]. 现代情报, 2022, 42(8): 112-124.</w:t>
      </w:r>
    </w:p>
    <w:p>
      <w:pPr>
        <w:spacing w:line="360" w:lineRule="auto" w:before="0" w:after="0"/>
        <w:ind w:firstLine="420"/>
        <w:jc w:val="both"/>
      </w:pPr>
      <w:r>
        <w:rPr>
          <w:rFonts w:ascii="Times New Roman" w:hAnsi="Times New Roman" w:eastAsia="宋体"/>
          <w:b w:val="0"/>
          <w:sz w:val="24"/>
        </w:rPr>
        <w:t>[8] 黄如花, 王镁. 国内外政府数据开放评价研究综述[J]. 图书情报工作, 2021, 65(15): 134-144.</w:t>
      </w:r>
    </w:p>
    <w:p>
      <w:pPr>
        <w:spacing w:line="360" w:lineRule="auto" w:before="0" w:after="0"/>
        <w:ind w:firstLine="420"/>
        <w:jc w:val="both"/>
      </w:pPr>
      <w:r>
        <w:rPr>
          <w:rFonts w:ascii="Times New Roman" w:hAnsi="Times New Roman" w:eastAsia="宋体"/>
          <w:b w:val="0"/>
          <w:sz w:val="24"/>
        </w:rPr>
        <w:t>[9] 黄国平. 数据要素市场化配置的理论逻辑与实现路径[J]. 经济管理, 2023, 45(2): 5-18.</w:t>
      </w:r>
    </w:p>
    <w:p>
      <w:pPr>
        <w:spacing w:line="360" w:lineRule="auto" w:before="0" w:after="0"/>
        <w:ind w:firstLine="420"/>
        <w:jc w:val="both"/>
      </w:pPr>
      <w:r>
        <w:rPr>
          <w:rFonts w:ascii="Times New Roman" w:hAnsi="Times New Roman" w:eastAsia="宋体"/>
          <w:b w:val="0"/>
          <w:sz w:val="24"/>
        </w:rPr>
        <w:t>[10] 蔡昉, 顾海良, 韩保江, 等. 数字经济与高质量发展[J]. 经济研究, 2024, 59(1): 4-22.</w:t>
      </w:r>
    </w:p>
    <w:p>
      <w:pPr>
        <w:spacing w:line="360" w:lineRule="auto" w:before="0" w:after="0"/>
        <w:ind w:firstLine="420"/>
        <w:jc w:val="both"/>
      </w:pPr>
      <w:r>
        <w:rPr>
          <w:rFonts w:ascii="Times New Roman" w:hAnsi="Times New Roman" w:eastAsia="宋体"/>
          <w:b w:val="0"/>
          <w:sz w:val="24"/>
        </w:rPr>
        <w:t>[11] 国务院办公厅. 促进大数据发展行动纲要[Z]. 国发〔2015〕50号, 2015.</w:t>
      </w:r>
    </w:p>
    <w:p>
      <w:pPr>
        <w:spacing w:line="360" w:lineRule="auto" w:before="0" w:after="0"/>
        <w:ind w:firstLine="420"/>
        <w:jc w:val="both"/>
      </w:pPr>
      <w:r>
        <w:rPr>
          <w:rFonts w:ascii="Times New Roman" w:hAnsi="Times New Roman" w:eastAsia="宋体"/>
          <w:b w:val="0"/>
          <w:sz w:val="24"/>
        </w:rPr>
        <w:t>[12] 国务院. 关于构建数据基础制度更好发挥数据要素作用的意见[Z]. 2022.</w:t>
      </w:r>
    </w:p>
    <w:p>
      <w:pPr>
        <w:spacing w:line="360" w:lineRule="auto" w:before="0" w:after="0"/>
        <w:ind w:firstLine="420"/>
        <w:jc w:val="both"/>
      </w:pPr>
      <w:r>
        <w:rPr>
          <w:rFonts w:ascii="Times New Roman" w:hAnsi="Times New Roman" w:eastAsia="宋体"/>
          <w:b w:val="0"/>
          <w:sz w:val="24"/>
        </w:rPr>
        <w:t>[13] Zuiderwijk A, Janssen M. Open Data Policies, Their Implementation and Impact: A Framework for Comparison[J]. Government Information Quarterly, 2014, 31(1): 17-29.</w:t>
      </w:r>
    </w:p>
    <w:p>
      <w:pPr>
        <w:spacing w:line="360" w:lineRule="auto" w:before="0" w:after="0"/>
        <w:ind w:firstLine="420"/>
        <w:jc w:val="both"/>
      </w:pPr>
      <w:r>
        <w:rPr>
          <w:rFonts w:ascii="Times New Roman" w:hAnsi="Times New Roman" w:eastAsia="宋体"/>
          <w:b w:val="0"/>
          <w:sz w:val="24"/>
        </w:rPr>
        <w:t>[14] Jetzek T, Avital M, Bjorn-Andersen N. Data-Driven Innovation through Open Government Data[J]. Journal of Theoretical and Applied Electronic Commerce Research, 2014, 9(2): 100-120.</w:t>
      </w:r>
    </w:p>
    <w:p>
      <w:pPr>
        <w:spacing w:line="360" w:lineRule="auto" w:before="0" w:after="0"/>
        <w:ind w:firstLine="420"/>
        <w:jc w:val="both"/>
      </w:pPr>
      <w:r>
        <w:rPr>
          <w:rFonts w:ascii="Times New Roman" w:hAnsi="Times New Roman" w:eastAsia="宋体"/>
          <w:b w:val="0"/>
          <w:sz w:val="24"/>
        </w:rPr>
        <w:t>[15] Martin C B, Hepworth M, Walby K. Developing Open Data Strategies: A Framework for Readiness Assessment[J]. Information Polity, 2020, 25(4): 449-463.</w:t>
      </w:r>
    </w:p>
    <w:p>
      <w:pPr>
        <w:spacing w:line="360" w:lineRule="auto" w:before="0" w:after="0"/>
        <w:ind w:firstLine="420"/>
        <w:jc w:val="both"/>
      </w:pPr>
      <w:r>
        <w:rPr>
          <w:rFonts w:ascii="Times New Roman" w:hAnsi="Times New Roman" w:eastAsia="宋体"/>
          <w:b w:val="0"/>
          <w:sz w:val="24"/>
        </w:rPr>
        <w:t>[16] Safarov I, Meijer A, Grimmelikhuijsen S. Utilization of Open Government Data: A Case Study of Kazakhstan[J]. Information Polity, 2017, 22(4): 327-342.</w:t>
      </w:r>
    </w:p>
    <w:p>
      <w:pPr>
        <w:spacing w:line="360" w:lineRule="auto" w:before="0" w:after="0"/>
        <w:ind w:firstLine="420"/>
        <w:jc w:val="both"/>
      </w:pPr>
      <w:r>
        <w:rPr>
          <w:rFonts w:ascii="Times New Roman" w:hAnsi="Times New Roman" w:eastAsia="宋体"/>
          <w:b w:val="0"/>
          <w:sz w:val="24"/>
        </w:rPr>
        <w:t>[17] Ruijer E, Grimmelikhuijsen S, Meijer A. Open Data for Democracy: Developing a Theoretical Framework for Open Data Use[J]. Government Information Quarterly, 2020, 37(3): 101473.</w:t>
      </w:r>
    </w:p>
    <w:p>
      <w:pPr>
        <w:spacing w:line="360" w:lineRule="auto" w:before="0" w:after="0"/>
        <w:ind w:firstLine="420"/>
        <w:jc w:val="both"/>
      </w:pPr>
      <w:r>
        <w:rPr>
          <w:rFonts w:ascii="Times New Roman" w:hAnsi="Times New Roman" w:eastAsia="宋体"/>
          <w:b w:val="0"/>
          <w:sz w:val="24"/>
        </w:rPr>
        <w:t>[18] Davies T. Open Data, Democracy and Public Sector Reform: A Look at Open Government Data Use from Data.gov.uk[D]. University of Oxford, 2010.</w:t>
      </w:r>
    </w:p>
    <w:p>
      <w:pPr>
        <w:spacing w:line="360" w:lineRule="auto" w:before="0" w:after="0"/>
        <w:ind w:firstLine="420"/>
        <w:jc w:val="both"/>
      </w:pPr>
      <w:r>
        <w:rPr>
          <w:rFonts w:ascii="Times New Roman" w:hAnsi="Times New Roman" w:eastAsia="宋体"/>
          <w:b w:val="0"/>
          <w:sz w:val="24"/>
        </w:rPr>
        <w:t>[19] Yu H, Robinson D G. The New Ambiguity of 'Open Government'[J]. UCLA Law Review Discourse, 2012, 59: 178-208.</w:t>
      </w:r>
    </w:p>
    <w:p>
      <w:pPr>
        <w:spacing w:line="360" w:lineRule="auto" w:before="0" w:after="0"/>
        <w:ind w:firstLine="420"/>
        <w:jc w:val="both"/>
      </w:pPr>
      <w:r>
        <w:rPr>
          <w:rFonts w:ascii="Times New Roman" w:hAnsi="Times New Roman" w:eastAsia="宋体"/>
          <w:b w:val="0"/>
          <w:sz w:val="24"/>
        </w:rPr>
        <w:t>[20] 张会平, 顾海林. 政府数据开放与公共数据授权运营的边界与衔接[J]. 情报理论与实践, 2023, 46(5): 45-52.</w:t>
      </w:r>
    </w:p>
    <w:p>
      <w:pPr>
        <w:spacing w:line="360" w:lineRule="auto" w:before="0" w:after="0"/>
        <w:ind w:firstLine="420"/>
        <w:jc w:val="both"/>
      </w:pPr>
      <w:r>
        <w:rPr>
          <w:rFonts w:ascii="Times New Roman" w:hAnsi="Times New Roman" w:eastAsia="宋体"/>
          <w:b w:val="0"/>
          <w:sz w:val="24"/>
        </w:rPr>
        <w:t>[21] 杨孟辉, 马捷. 政府数据开放影响因素研究：基于TOE框架的元分析[J]. 情报学报, 2023, 42(3): 312-325.</w:t>
      </w:r>
    </w:p>
    <w:p>
      <w:pPr>
        <w:spacing w:line="360" w:lineRule="auto" w:before="0" w:after="0"/>
        <w:ind w:firstLine="420"/>
        <w:jc w:val="both"/>
      </w:pPr>
      <w:r>
        <w:rPr>
          <w:rFonts w:ascii="Times New Roman" w:hAnsi="Times New Roman" w:eastAsia="宋体"/>
          <w:b w:val="0"/>
          <w:sz w:val="24"/>
        </w:rPr>
        <w:t>[22] Osborne S P, Brown K. Towards a New Theory of Public Service Co-Production[J]. Routledge Handbook of Service Research, 2013: 111-131.</w:t>
      </w:r>
    </w:p>
    <w:p>
      <w:pPr>
        <w:spacing w:line="360" w:lineRule="auto" w:before="0" w:after="0"/>
        <w:ind w:firstLine="420"/>
        <w:jc w:val="both"/>
      </w:pPr>
      <w:r>
        <w:rPr>
          <w:rFonts w:ascii="Times New Roman" w:hAnsi="Times New Roman" w:eastAsia="宋体"/>
          <w:b w:val="0"/>
          <w:sz w:val="24"/>
        </w:rPr>
        <w:t>[23] Moore M H. Creating Public Value: Strategic Management in Government[M]. Cambridge: Harvard University Press, 1995.</w:t>
      </w:r>
    </w:p>
    <w:p>
      <w:pPr>
        <w:spacing w:line="360" w:lineRule="auto" w:before="0" w:after="0"/>
        <w:ind w:firstLine="420"/>
        <w:jc w:val="both"/>
      </w:pPr>
      <w:r>
        <w:rPr>
          <w:rFonts w:ascii="Times New Roman" w:hAnsi="Times New Roman" w:eastAsia="宋体"/>
          <w:b w:val="0"/>
          <w:sz w:val="24"/>
        </w:rPr>
        <w:t>[24] 解志勇. 政府数据开放的法律边界与制度保障[J]. 比较法研究, 2023(3): 88-102.</w:t>
      </w:r>
    </w:p>
    <w:p>
      <w:pPr>
        <w:spacing w:line="360" w:lineRule="auto" w:before="0" w:after="0"/>
        <w:ind w:firstLine="420"/>
        <w:jc w:val="both"/>
      </w:pPr>
      <w:r>
        <w:rPr>
          <w:rFonts w:ascii="Times New Roman" w:hAnsi="Times New Roman" w:eastAsia="宋体"/>
          <w:b w:val="0"/>
          <w:sz w:val="24"/>
        </w:rPr>
        <w:t>[25] 黄国平, 郑磊. 公共部门绩效评估中的DEA方法应用：回顾与展望[J]. 中国行政管理, 2021(6): 102-110.</w:t>
      </w:r>
    </w:p>
    <w:p>
      <w:pPr>
        <w:spacing w:line="360" w:lineRule="auto" w:before="0" w:after="0"/>
        <w:ind w:firstLine="420"/>
        <w:jc w:val="both"/>
      </w:pPr>
      <w:r>
        <w:rPr>
          <w:rFonts w:ascii="Times New Roman" w:hAnsi="Times New Roman" w:eastAsia="宋体"/>
          <w:b w:val="0"/>
          <w:sz w:val="24"/>
        </w:rPr>
        <w:t>[26] 周文泓, 张涛. 政府数据开放平台的多维绩效评估：基于TOPSIS方法[J]. 情报杂志, 2023, 42(5): 178-185.</w:t>
      </w:r>
    </w:p>
    <w:p>
      <w:pPr>
        <w:spacing w:line="360" w:lineRule="auto" w:before="0" w:after="0"/>
        <w:ind w:firstLine="420"/>
        <w:jc w:val="both"/>
      </w:pPr>
      <w:r>
        <w:rPr>
          <w:rFonts w:ascii="Times New Roman" w:hAnsi="Times New Roman" w:eastAsia="宋体"/>
          <w:b w:val="0"/>
          <w:sz w:val="24"/>
        </w:rPr>
        <w:t>[27] 黄如花, 李明. 开放数据评估的国际比较与启示[J]. 图书情报知识, 2022(3): 45-56.</w:t>
      </w:r>
    </w:p>
    <w:p>
      <w:pPr>
        <w:spacing w:line="360" w:lineRule="auto" w:before="0" w:after="0"/>
        <w:ind w:firstLine="420"/>
        <w:jc w:val="both"/>
      </w:pPr>
      <w:r>
        <w:rPr>
          <w:rFonts w:ascii="Times New Roman" w:hAnsi="Times New Roman" w:eastAsia="宋体"/>
          <w:b w:val="0"/>
          <w:sz w:val="24"/>
        </w:rPr>
        <w:t>[28] 郑磊. 开放数据测量：方法、指标与争议[J]. 电子政务, 2018(5): 2-11.</w:t>
      </w:r>
    </w:p>
    <w:p>
      <w:pPr>
        <w:spacing w:line="360" w:lineRule="auto" w:before="0" w:after="0"/>
        <w:ind w:firstLine="420"/>
        <w:jc w:val="both"/>
      </w:pPr>
      <w:r>
        <w:rPr>
          <w:rFonts w:ascii="Times New Roman" w:hAnsi="Times New Roman" w:eastAsia="宋体"/>
          <w:b w:val="0"/>
          <w:sz w:val="24"/>
        </w:rPr>
        <w:t>[29] Jetzek T. The Sustainable Value of Open Government Data[J]. Journal of the Association for Information Systems, 2015, 16(6): 455-478.</w:t>
      </w:r>
    </w:p>
    <w:p>
      <w:pPr>
        <w:spacing w:line="360" w:lineRule="auto" w:before="0" w:after="0"/>
        <w:ind w:firstLine="420"/>
        <w:jc w:val="both"/>
      </w:pPr>
      <w:r>
        <w:rPr>
          <w:rFonts w:ascii="Times New Roman" w:hAnsi="Times New Roman" w:eastAsia="宋体"/>
          <w:b w:val="0"/>
          <w:sz w:val="24"/>
        </w:rPr>
        <w:t>[30] Zuiderwijk A, Janssen M, Choenni S, et al. Socio-technical Impediments of Open Data[J]. Electronic Journal of e-Government, 2012, 10(2): 156-172.</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（全文约17,200字，不含参考文献）</w:t>
      </w:r>
      <w:r>
        <w:rPr>
          <w:rFonts w:ascii="Times New Roman" w:hAnsi="Times New Roman" w:eastAsia="宋体"/>
          <w:b w:val="0"/>
          <w:sz w:val="24"/>
        </w:rP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