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黑体"/>
          <w:b/>
          <w:color w:val="000000"/>
          <w:sz w:val="44"/>
        </w:rPr>
        <w:t>武汉大学</w:t>
      </w:r>
    </w:p>
    <w:p/>
    <w:p/>
    <w:p>
      <w:pPr>
        <w:spacing w:line="360" w:lineRule="auto" w:after="0" w:before="0"/>
        <w:jc w:val="center"/>
      </w:pPr>
      <w:r>
        <w:rPr>
          <w:rFonts w:ascii="Times New Roman" w:hAnsi="Times New Roman" w:eastAsia="黑体"/>
          <w:b/>
          <w:color w:val="000000"/>
          <w:sz w:val="44"/>
        </w:rPr>
        <w:t>博士学位论文</w:t>
      </w:r>
    </w:p>
    <w:p/>
    <w:p/>
    <w:p>
      <w:pPr>
        <w:spacing w:line="360" w:lineRule="auto" w:after="0" w:before="0"/>
        <w:jc w:val="center"/>
      </w:pPr>
      <w:r>
        <w:rPr>
          <w:rFonts w:ascii="Times New Roman" w:hAnsi="Times New Roman" w:eastAsia="黑体"/>
          <w:b/>
          <w:color w:val="000000"/>
          <w:sz w:val="36"/>
        </w:rPr>
        <w:t>中国省级政府数据开放平台绩效评估研究</w:t>
      </w:r>
    </w:p>
    <w:p>
      <w:pPr>
        <w:spacing w:line="360" w:lineRule="auto" w:after="0" w:before="0"/>
        <w:jc w:val="center"/>
      </w:pPr>
      <w:r>
        <w:rPr>
          <w:rFonts w:ascii="Times New Roman" w:hAnsi="Times New Roman" w:eastAsia="宋体"/>
          <w:color w:val="000000"/>
          <w:sz w:val="32"/>
        </w:rPr>
        <w:t>——基于4E框架的实证分析</w:t>
      </w:r>
    </w:p>
    <w:p/>
    <w:p/>
    <w:p>
      <w:pPr>
        <w:spacing w:line="360" w:lineRule="auto" w:after="0" w:before="0"/>
        <w:jc w:val="center"/>
      </w:pPr>
      <w:r>
        <w:rPr>
          <w:rFonts w:ascii="Times New Roman" w:hAnsi="Times New Roman" w:eastAsia="宋体"/>
          <w:color w:val="000000"/>
          <w:sz w:val="28"/>
        </w:rPr>
        <w:t>研究生姓名：XXX</w:t>
      </w:r>
    </w:p>
    <w:p>
      <w:pPr>
        <w:spacing w:line="360" w:lineRule="auto" w:after="0" w:before="0"/>
        <w:jc w:val="center"/>
      </w:pPr>
      <w:r>
        <w:rPr>
          <w:rFonts w:ascii="Times New Roman" w:hAnsi="Times New Roman" w:eastAsia="宋体"/>
          <w:color w:val="000000"/>
          <w:sz w:val="28"/>
        </w:rPr>
        <w:t>指导教师：XXX 教授</w:t>
      </w:r>
    </w:p>
    <w:p>
      <w:pPr>
        <w:spacing w:line="360" w:lineRule="auto" w:after="0" w:before="0"/>
        <w:jc w:val="center"/>
      </w:pPr>
      <w:r>
        <w:rPr>
          <w:rFonts w:ascii="Times New Roman" w:hAnsi="Times New Roman" w:eastAsia="宋体"/>
          <w:color w:val="000000"/>
          <w:sz w:val="28"/>
        </w:rPr>
        <w:t>学科专业：行政管理</w:t>
      </w:r>
    </w:p>
    <w:p/>
    <w:p/>
    <w:p>
      <w:pPr>
        <w:spacing w:line="360" w:lineRule="auto" w:after="0" w:before="0"/>
        <w:jc w:val="center"/>
      </w:pPr>
      <w:r>
        <w:rPr>
          <w:rFonts w:ascii="Times New Roman" w:hAnsi="Times New Roman" w:eastAsia="宋体"/>
          <w:color w:val="000000"/>
          <w:sz w:val="28"/>
        </w:rPr>
        <w:t>二〇二六年四月</w:t>
      </w:r>
    </w:p>
    <w:p>
      <w:r>
        <w:br w:type="page"/>
      </w:r>
    </w:p>
    <w:p>
      <w:pPr>
        <w:spacing w:line="360" w:lineRule="auto" w:after="0" w:before="0"/>
        <w:jc w:val="center"/>
      </w:pPr>
      <w:r>
        <w:rPr>
          <w:rFonts w:ascii="Times New Roman" w:hAnsi="Times New Roman" w:eastAsia="黑体"/>
          <w:b/>
          <w:color w:val="000000"/>
          <w:sz w:val="32"/>
        </w:rPr>
        <w:t>摘  要</w:t>
      </w:r>
    </w:p>
    <w:p>
      <w:pPr>
        <w:spacing w:line="360" w:lineRule="auto" w:after="0" w:before="0"/>
        <w:jc w:val="center"/>
      </w:pPr>
      <w:r>
        <w:rPr>
          <w:rFonts w:ascii="Times New Roman" w:hAnsi="Times New Roman" w:eastAsia="宋体"/>
          <w:color w:val="000000"/>
        </w:rPr>
        <w:t>（中文摘要内容待补充，约800-1000字）</w:t>
      </w:r>
    </w:p>
    <w:p>
      <w:r>
        <w:br w:type="page"/>
      </w:r>
    </w:p>
    <w:p>
      <w:pPr>
        <w:spacing w:line="360" w:lineRule="auto" w:after="0" w:before="0"/>
        <w:jc w:val="center"/>
      </w:pPr>
      <w:r>
        <w:rPr>
          <w:rFonts w:ascii="Times New Roman" w:hAnsi="Times New Roman" w:eastAsia="黑体"/>
          <w:b/>
          <w:color w:val="000000"/>
          <w:sz w:val="32"/>
        </w:rPr>
        <w:t>Abstract</w:t>
      </w:r>
    </w:p>
    <w:p>
      <w:pPr>
        <w:spacing w:line="360" w:lineRule="auto" w:after="0" w:before="0"/>
        <w:jc w:val="center"/>
      </w:pPr>
      <w:r>
        <w:rPr>
          <w:rFonts w:ascii="Times New Roman" w:hAnsi="Times New Roman" w:eastAsia="宋体"/>
          <w:color w:val="000000"/>
        </w:rPr>
        <w:t>(English abstract to be added, about 800-1000 words)</w:t>
      </w:r>
    </w:p>
    <w:p>
      <w:r>
        <w:br w:type="page"/>
      </w:r>
    </w:p>
    <w:p>
      <w:pPr>
        <w:spacing w:line="360" w:lineRule="auto" w:after="0" w:before="0"/>
        <w:jc w:val="center"/>
      </w:pPr>
      <w:r>
        <w:rPr>
          <w:rFonts w:ascii="Times New Roman" w:hAnsi="Times New Roman" w:eastAsia="黑体"/>
          <w:b/>
          <w:color w:val="000000"/>
          <w:sz w:val="32"/>
        </w:rPr>
        <w:t>目  录</w:t>
      </w:r>
    </w:p>
    <w:p>
      <w:pPr>
        <w:spacing w:line="360" w:lineRule="auto" w:after="0" w:before="0"/>
        <w:jc w:val="center"/>
      </w:pPr>
      <w:r>
        <w:rPr>
          <w:rFonts w:ascii="Times New Roman" w:hAnsi="Times New Roman" w:eastAsia="宋体"/>
          <w:color w:val="000000"/>
        </w:rPr>
        <w:t>（目录自动生成，此处为占位）</w:t>
      </w:r>
    </w:p>
    <w:p>
      <w:r>
        <w:br w:type="page"/>
      </w:r>
    </w:p>
    <w:p>
      <w:pPr>
        <w:spacing w:line="360" w:lineRule="auto" w:after="0" w:before="0"/>
        <w:jc w:val="center"/>
      </w:pPr>
      <w:r>
        <w:rPr>
          <w:rFonts w:ascii="Times New Roman" w:hAnsi="Times New Roman" w:eastAsia="黑体"/>
          <w:b/>
          <w:color w:val="000000"/>
          <w:sz w:val="32"/>
        </w:rPr>
        <w:t>中国省级政府数据开放平台绩效评估研究</w:t>
      </w:r>
    </w:p>
    <w:p>
      <w:pPr>
        <w:spacing w:line="360" w:lineRule="auto" w:after="0" w:before="0"/>
      </w:pPr>
      <w:r>
        <w:rPr>
          <w:rFonts w:ascii="Times New Roman" w:hAnsi="Times New Roman" w:eastAsia="黑体"/>
          <w:b/>
          <w:color w:val="000000"/>
          <w:sz w:val="28"/>
        </w:rPr>
        <w:t>——基于4E框架的实证分析</w:t>
      </w:r>
    </w:p>
    <w:p>
      <w:pPr>
        <w:spacing w:line="360" w:lineRule="auto" w:after="0" w:before="0"/>
        <w:ind w:firstLine="420"/>
      </w:pPr>
      <w:r>
        <w:rPr>
          <w:rFonts w:ascii="Times New Roman" w:hAnsi="Times New Roman" w:eastAsia="宋体"/>
          <w:color w:val="000000"/>
        </w:rPr>
        <w:t>4E框架相较于传统评估框架具有多维度的理论优势。图2-1从评估维度完整性、方法适用性、理论解释力和实践指导性四个维度，对4E框架与现有主要评估框架进行了比较分析。</w:t>
      </w:r>
    </w:p>
    <w:p>
      <w:pPr>
        <w:spacing w:line="360" w:lineRule="auto" w:after="0" w:before="0"/>
        <w:ind w:firstLine="420"/>
      </w:pPr>
      <w:r>
        <w:rPr>
          <w:rFonts w:ascii="Times New Roman" w:hAnsi="Times New Roman" w:eastAsia="宋体"/>
          <w:color w:val="000000"/>
        </w:rPr>
        <w:t>图2-1 4E框架与现有评估框架的多维比较</w:t>
      </w:r>
    </w:p>
    <w:p>
      <w:pPr>
        <w:spacing w:line="360" w:lineRule="auto" w:after="0" w:before="0"/>
        <w:ind w:firstLine="420"/>
      </w:pPr>
      <w:r>
        <w:rPr>
          <w:rFonts w:ascii="Times New Roman" w:hAnsi="Times New Roman" w:eastAsia="宋体"/>
          <w:color w:val="000000"/>
        </w:rPr>
        <w:t>注：评分基于理论分析，满分5分</w:t>
      </w:r>
    </w:p>
    <w:p>
      <w:pPr>
        <w:spacing w:line="360" w:lineRule="auto" w:after="0" w:before="0"/>
        <w:ind w:firstLine="420"/>
      </w:pPr>
      <w:r>
        <w:rPr>
          <w:rFonts w:ascii="Times New Roman" w:hAnsi="Times New Roman" w:eastAsia="宋体"/>
          <w:color w:val="000000"/>
        </w:rPr>
        <w:t>如图2-1所示，4E框架在"评估维度完整性"和"方法适用性"两个维度上具有明显优势——其四维结构能够覆盖数据开放的全链条，且每个维度都有成熟的测量方法支撑。</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第绪论</w:t>
      </w:r>
    </w:p>
    <w:p>
      <w:pPr>
        <w:spacing w:line="360" w:lineRule="auto" w:after="0" w:before="0"/>
      </w:pPr>
      <w:r>
        <w:rPr>
          <w:rFonts w:ascii="Times New Roman" w:hAnsi="Times New Roman" w:eastAsia="黑体"/>
          <w:b/>
          <w:color w:val="000000"/>
          <w:sz w:val="24"/>
        </w:rPr>
        <w:t>1.1 研究背景与问题提出</w:t>
      </w:r>
    </w:p>
    <w:p>
      <w:pPr>
        <w:spacing w:line="360" w:lineRule="auto" w:after="0" w:before="0"/>
        <w:ind w:firstLine="420"/>
      </w:pPr>
      <w:r>
        <w:rPr>
          <w:rFonts w:ascii="Times New Roman" w:hAnsi="Times New Roman" w:eastAsia="黑体"/>
          <w:b/>
          <w:color w:val="000000"/>
          <w:sz w:val="24"/>
        </w:rPr>
        <w:t>1.1.1 全球政府数据开放的发展态势</w:t>
      </w:r>
    </w:p>
    <w:p>
      <w:pPr>
        <w:spacing w:line="360" w:lineRule="auto" w:after="0" w:before="0"/>
        <w:ind w:firstLine="420"/>
      </w:pPr>
      <w:r>
        <w:rPr>
          <w:rFonts w:ascii="Times New Roman" w:hAnsi="Times New Roman" w:eastAsia="宋体"/>
          <w:color w:val="000000"/>
        </w:rPr>
        <w:t>国际政府数据开放平台的发展呈现出显著的阶段性特征。图1-1展示了全球主要国家政府数据开放平台的发展历程与关键节点。</w:t>
      </w:r>
    </w:p>
    <w:p>
      <w:pPr>
        <w:spacing w:line="360" w:lineRule="auto" w:after="0" w:before="0"/>
        <w:ind w:firstLine="420"/>
      </w:pPr>
      <w:r>
        <w:rPr>
          <w:rFonts w:ascii="Times New Roman" w:hAnsi="Times New Roman" w:eastAsia="宋体"/>
          <w:color w:val="000000"/>
        </w:rPr>
        <w:t>图1-1 全球政府数据开放平台发展历程</w:t>
      </w:r>
    </w:p>
    <w:p>
      <w:pPr>
        <w:spacing w:line="360" w:lineRule="auto" w:after="0" w:before="0"/>
        <w:ind w:firstLine="420"/>
      </w:pPr>
      <w:r>
        <w:rPr>
          <w:rFonts w:ascii="Times New Roman" w:hAnsi="Times New Roman" w:eastAsia="宋体"/>
          <w:color w:val="000000"/>
        </w:rPr>
        <w:t>数据来源：作者根据各国政府开放数据门户网站及OECD[2]报告整理</w:t>
      </w:r>
    </w:p>
    <w:p>
      <w:pPr>
        <w:spacing w:line="360" w:lineRule="auto" w:after="0" w:before="0"/>
        <w:ind w:firstLine="420"/>
      </w:pPr>
      <w:r>
        <w:rPr>
          <w:rFonts w:ascii="Times New Roman" w:hAnsi="Times New Roman" w:eastAsia="宋体"/>
          <w:color w:val="000000"/>
        </w:rPr>
        <w:t>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spacing w:line="360" w:lineRule="auto" w:after="0" w:before="0"/>
        <w:ind w:firstLine="420"/>
      </w:pPr>
      <w:r>
        <w:rPr>
          <w:rFonts w:ascii="Times New Roman" w:hAnsi="Times New Roman" w:eastAsia="宋体"/>
          <w:color w:val="000000"/>
        </w:rPr>
        <w:t>政府数据开放（Open Government Data, 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spacing w:line="360" w:lineRule="auto" w:after="0" w:before="0"/>
        <w:ind w:firstLine="420"/>
      </w:pPr>
      <w:r>
        <w:rPr>
          <w:rFonts w:ascii="Times New Roman" w:hAnsi="Times New Roman" w:eastAsia="宋体"/>
          <w:color w:val="000000"/>
        </w:rP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spacing w:line="360" w:lineRule="auto" w:after="0" w:before="0"/>
        <w:ind w:firstLine="420"/>
      </w:pPr>
      <w:r>
        <w:rPr>
          <w:rFonts w:ascii="Times New Roman" w:hAnsi="Times New Roman" w:eastAsia="宋体"/>
          <w:color w:val="000000"/>
        </w:rP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spacing w:line="360" w:lineRule="auto" w:after="0" w:before="0"/>
        <w:ind w:firstLine="420"/>
      </w:pPr>
      <w:r>
        <w:rPr>
          <w:rFonts w:ascii="Times New Roman" w:hAnsi="Times New Roman" w:eastAsia="黑体"/>
          <w:b/>
          <w:color w:val="000000"/>
          <w:sz w:val="24"/>
        </w:rPr>
        <w:t>1.1.2 我国政府数据开放的平台建设成就与利用困境</w:t>
      </w:r>
    </w:p>
    <w:p>
      <w:pPr>
        <w:spacing w:line="360" w:lineRule="auto" w:after="0" w:before="0"/>
        <w:ind w:firstLine="420"/>
      </w:pPr>
      <w:r>
        <w:rPr>
          <w:rFonts w:ascii="Times New Roman" w:hAnsi="Times New Roman" w:eastAsia="宋体"/>
          <w:color w:val="000000"/>
        </w:rPr>
        <w:t>我国省级政府数据开放平台的建设呈现出明显的区域差异和类型分化。图1-2展示了28个样本平台的类型分布特征。</w:t>
      </w:r>
    </w:p>
    <w:p>
      <w:pPr>
        <w:spacing w:line="360" w:lineRule="auto" w:after="0" w:before="0"/>
        <w:ind w:firstLine="420"/>
      </w:pPr>
      <w:r>
        <w:rPr>
          <w:rFonts w:ascii="Times New Roman" w:hAnsi="Times New Roman" w:eastAsia="宋体"/>
          <w:color w:val="000000"/>
        </w:rPr>
        <w:t>不同类型平台在区域分布上呈现出明显的空间集聚特征。图5-4展示了四大类型平台的区域分布和绩效差异。</w:t>
      </w:r>
    </w:p>
    <w:p>
      <w:pPr>
        <w:jc w:val="center"/>
      </w:pPr>
      <w:r>
        <w:drawing>
          <wp:inline xmlns:a="http://schemas.openxmlformats.org/drawingml/2006/main" xmlns:pic="http://schemas.openxmlformats.org/drawingml/2006/picture">
            <wp:extent cx="5029200" cy="2231979"/>
            <wp:docPr id="1" name="Picture 1"/>
            <wp:cNvGraphicFramePr>
              <a:graphicFrameLocks noChangeAspect="1"/>
            </wp:cNvGraphicFramePr>
            <a:graphic>
              <a:graphicData uri="http://schemas.openxmlformats.org/drawingml/2006/picture">
                <pic:pic>
                  <pic:nvPicPr>
                    <pic:cNvPr id="0" name="thesis_04_region_comparison.png"/>
                    <pic:cNvPicPr/>
                  </pic:nvPicPr>
                  <pic:blipFill>
                    <a:blip r:embed="rId9"/>
                    <a:stretch>
                      <a:fillRect/>
                    </a:stretch>
                  </pic:blipFill>
                  <pic:spPr>
                    <a:xfrm>
                      <a:off x="0" y="0"/>
                      <a:ext cx="5029200" cy="2231979"/>
                    </a:xfrm>
                    <a:prstGeom prst="rect"/>
                  </pic:spPr>
                </pic:pic>
              </a:graphicData>
            </a:graphic>
          </wp:inline>
        </w:drawing>
      </w:r>
    </w:p>
    <w:p>
      <w:pPr>
        <w:jc w:val="center"/>
      </w:pPr>
      <w:r>
        <w:rPr>
          <w:rFonts w:ascii="Times New Roman" w:hAnsi="Times New Roman" w:eastAsia="宋体"/>
          <w:color w:val="505050"/>
          <w:sz w:val="21"/>
        </w:rPr>
        <w:t>图5-4 四大类型平台的区域分布</w:t>
      </w:r>
    </w:p>
    <w:p>
      <w:pPr>
        <w:spacing w:line="360" w:lineRule="auto" w:after="0" w:before="0"/>
        <w:ind w:firstLine="420"/>
      </w:pPr>
      <w:r>
        <w:rPr>
          <w:rFonts w:ascii="Times New Roman" w:hAnsi="Times New Roman" w:eastAsia="宋体"/>
          <w:color w:val="000000"/>
        </w:rPr>
        <w:t>图5-4 四大类型平台的区域分布</w:t>
      </w:r>
    </w:p>
    <w:p>
      <w:pPr>
        <w:spacing w:line="360" w:lineRule="auto" w:after="0" w:before="0"/>
        <w:ind w:firstLine="420"/>
      </w:pPr>
      <w:r>
        <w:rPr>
          <w:rFonts w:ascii="Times New Roman" w:hAnsi="Times New Roman" w:eastAsia="宋体"/>
          <w:color w:val="000000"/>
        </w:rPr>
        <w:t>数据来源：TOPSIS和DEA计算结果，2025年</w:t>
      </w:r>
    </w:p>
    <w:p>
      <w:pPr>
        <w:spacing w:line="360" w:lineRule="auto" w:after="0" w:before="0"/>
        <w:ind w:firstLine="420"/>
      </w:pPr>
      <w:r>
        <w:rPr>
          <w:rFonts w:ascii="Times New Roman" w:hAnsi="Times New Roman" w:eastAsia="宋体"/>
          <w:color w:val="000000"/>
        </w:rPr>
        <w:t>图5-4的区域分析揭示了数据开放平台绩效的空间不均衡性。标杆型平台全部位于东部地区，这些省份凭借雄厚的经济实力、完善的数字基础设施和活跃的创新创业生态，形成了数据开放的领先优势。</w:t>
      </w:r>
    </w:p>
    <w:p>
      <w:pPr>
        <w:spacing w:line="360" w:lineRule="auto" w:after="0" w:before="0"/>
        <w:ind w:firstLine="420"/>
      </w:pPr>
      <w:r>
        <w:rPr>
          <w:rFonts w:ascii="Times New Roman" w:hAnsi="Times New Roman" w:eastAsia="宋体"/>
          <w:color w:val="000000"/>
        </w:rPr>
        <w:t>基于类型学分析和组态分析结果，本研究构建了政府数据开放平台成熟度模型。图7-1展示了平台从"基础级"到"引领级"的五级成熟度演进路径。</w:t>
      </w:r>
    </w:p>
    <w:p>
      <w:pPr>
        <w:spacing w:line="360" w:lineRule="auto" w:after="0" w:before="0"/>
        <w:ind w:firstLine="420"/>
      </w:pPr>
      <w:r>
        <w:rPr>
          <w:rFonts w:ascii="Times New Roman" w:hAnsi="Times New Roman" w:eastAsia="宋体"/>
          <w:color w:val="000000"/>
        </w:rPr>
        <w:t>图7-1 政府数据开放平台成熟度模型</w:t>
      </w:r>
    </w:p>
    <w:p>
      <w:pPr>
        <w:spacing w:line="360" w:lineRule="auto" w:after="0" w:before="0"/>
        <w:ind w:firstLine="420"/>
      </w:pPr>
      <w:r>
        <w:rPr>
          <w:rFonts w:ascii="Times New Roman" w:hAnsi="Times New Roman" w:eastAsia="宋体"/>
          <w:color w:val="000000"/>
        </w:rPr>
        <w:t>如图7-1所示，政府数据开放平台的成熟度分为五个等级：基础级（Level 1）以数据目录发布为核心功能；发展级（Level 2）引入API接口和数据可视化功能；规范级（Level 3）建立数据质量保障体系和用户反馈机制；优化级（Level 4）形成数据利用生态；引领级（Level 5）实现数据要素价值化。28个样本平台中，约64%处于基础级或发展级，约25%处于规范级，仅约11%达到优化级或引领级。</w:t>
      </w:r>
    </w:p>
    <w:p>
      <w:pPr>
        <w:jc w:val="center"/>
      </w:pPr>
      <w:r>
        <w:drawing>
          <wp:inline xmlns:a="http://schemas.openxmlformats.org/drawingml/2006/main" xmlns:pic="http://schemas.openxmlformats.org/drawingml/2006/picture">
            <wp:extent cx="5029200" cy="4941554"/>
            <wp:docPr id="2" name="Picture 2"/>
            <wp:cNvGraphicFramePr>
              <a:graphicFrameLocks noChangeAspect="1"/>
            </wp:cNvGraphicFramePr>
            <a:graphic>
              <a:graphicData uri="http://schemas.openxmlformats.org/drawingml/2006/picture">
                <pic:pic>
                  <pic:nvPicPr>
                    <pic:cNvPr id="0" name="thesis_01_platform_types.png"/>
                    <pic:cNvPicPr/>
                  </pic:nvPicPr>
                  <pic:blipFill>
                    <a:blip r:embed="rId10"/>
                    <a:stretch>
                      <a:fillRect/>
                    </a:stretch>
                  </pic:blipFill>
                  <pic:spPr>
                    <a:xfrm>
                      <a:off x="0" y="0"/>
                      <a:ext cx="5029200" cy="4941554"/>
                    </a:xfrm>
                    <a:prstGeom prst="rect"/>
                  </pic:spPr>
                </pic:pic>
              </a:graphicData>
            </a:graphic>
          </wp:inline>
        </w:drawing>
      </w:r>
    </w:p>
    <w:p>
      <w:pPr>
        <w:jc w:val="center"/>
      </w:pPr>
      <w:r>
        <w:rPr>
          <w:rFonts w:ascii="Times New Roman" w:hAnsi="Times New Roman" w:eastAsia="宋体"/>
          <w:color w:val="505050"/>
          <w:sz w:val="21"/>
        </w:rPr>
        <w:t>图1-2 省级政府数据开放平台类型分布</w:t>
      </w:r>
    </w:p>
    <w:p>
      <w:pPr>
        <w:spacing w:line="360" w:lineRule="auto" w:after="0" w:before="0"/>
        <w:ind w:firstLine="420"/>
      </w:pPr>
      <w:r>
        <w:rPr>
          <w:rFonts w:ascii="Times New Roman" w:hAnsi="Times New Roman" w:eastAsia="宋体"/>
          <w:color w:val="000000"/>
        </w:rPr>
        <w:t>图1-2 省级政府数据开放平台类型分布</w:t>
      </w:r>
    </w:p>
    <w:p>
      <w:pPr>
        <w:spacing w:line="360" w:lineRule="auto" w:after="0" w:before="0"/>
        <w:ind w:firstLine="420"/>
      </w:pPr>
      <w:r>
        <w:rPr>
          <w:rFonts w:ascii="Times New Roman" w:hAnsi="Times New Roman" w:eastAsia="宋体"/>
          <w:color w:val="000000"/>
        </w:rPr>
        <w:t>数据来源：作者实地调研，2025年3月</w:t>
      </w:r>
    </w:p>
    <w:p>
      <w:pPr>
        <w:spacing w:line="360" w:lineRule="auto" w:after="0" w:before="0"/>
        <w:ind w:firstLine="420"/>
      </w:pPr>
      <w:r>
        <w:rPr>
          <w:rFonts w:ascii="Times New Roman" w:hAnsi="Times New Roman" w:eastAsia="宋体"/>
          <w:color w:val="000000"/>
        </w:rPr>
        <w:t>如图1-2所示，28个省级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spacing w:line="360" w:lineRule="auto" w:after="0" w:before="0"/>
        <w:ind w:firstLine="420"/>
      </w:pPr>
      <w:r>
        <w:rPr>
          <w:rFonts w:ascii="Times New Roman" w:hAnsi="Times New Roman" w:eastAsia="宋体"/>
          <w:color w:val="000000"/>
        </w:rP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spacing w:line="360" w:lineRule="auto" w:after="0" w:before="0"/>
        <w:ind w:firstLine="420"/>
      </w:pPr>
      <w:r>
        <w:rPr>
          <w:rFonts w:ascii="Times New Roman" w:hAnsi="Times New Roman" w:eastAsia="宋体"/>
          <w:color w:val="000000"/>
        </w:rPr>
        <w:t>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spacing w:line="360" w:lineRule="auto" w:after="0" w:before="0"/>
        <w:ind w:firstLine="420"/>
      </w:pPr>
      <w:r>
        <w:rPr>
          <w:rFonts w:ascii="Times New Roman" w:hAnsi="Times New Roman" w:eastAsia="宋体"/>
          <w:color w:val="000000"/>
        </w:rPr>
        <w:t>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spacing w:line="360" w:lineRule="auto" w:after="0" w:before="0"/>
        <w:ind w:firstLine="420"/>
      </w:pPr>
      <w:r>
        <w:rPr>
          <w:rFonts w:ascii="Times New Roman" w:hAnsi="Times New Roman" w:eastAsia="宋体"/>
          <w:color w:val="000000"/>
        </w:rP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spacing w:line="360" w:lineRule="auto" w:after="0" w:before="0"/>
        <w:ind w:firstLine="420"/>
      </w:pPr>
      <w:r>
        <w:rPr>
          <w:rFonts w:ascii="Times New Roman" w:hAnsi="Times New Roman" w:eastAsia="黑体"/>
          <w:b/>
          <w:color w:val="000000"/>
          <w:sz w:val="24"/>
        </w:rPr>
        <w:t>1.1.3 "数据口径幻觉"：数量繁荣背后的质量隐忧</w:t>
      </w:r>
    </w:p>
    <w:p>
      <w:pPr>
        <w:spacing w:line="360" w:lineRule="auto" w:after="0" w:before="0"/>
        <w:ind w:firstLine="420"/>
      </w:pPr>
      <w:r>
        <w:rPr>
          <w:rFonts w:ascii="Times New Roman" w:hAnsi="Times New Roman" w:eastAsia="宋体"/>
          <w:color w:val="000000"/>
        </w:rPr>
        <w:t>"数据口径幻觉"现象在不同平台间呈现出显著的异质性。图1-3展示了28个省级平台口径一致性系数的分布情况。</w:t>
      </w:r>
    </w:p>
    <w:p>
      <w:pPr>
        <w:jc w:val="center"/>
      </w:pPr>
      <w:r>
        <w:drawing>
          <wp:inline xmlns:a="http://schemas.openxmlformats.org/drawingml/2006/main" xmlns:pic="http://schemas.openxmlformats.org/drawingml/2006/picture">
            <wp:extent cx="5029200" cy="2995831"/>
            <wp:docPr id="3" name="Picture 3"/>
            <wp:cNvGraphicFramePr>
              <a:graphicFrameLocks noChangeAspect="1"/>
            </wp:cNvGraphicFramePr>
            <a:graphic>
              <a:graphicData uri="http://schemas.openxmlformats.org/drawingml/2006/picture">
                <pic:pic>
                  <pic:nvPicPr>
                    <pic:cNvPr id="0" name="thesis_07_histogram.png"/>
                    <pic:cNvPicPr/>
                  </pic:nvPicPr>
                  <pic:blipFill>
                    <a:blip r:embed="rId11"/>
                    <a:stretch>
                      <a:fillRect/>
                    </a:stretch>
                  </pic:blipFill>
                  <pic:spPr>
                    <a:xfrm>
                      <a:off x="0" y="0"/>
                      <a:ext cx="5029200" cy="2995831"/>
                    </a:xfrm>
                    <a:prstGeom prst="rect"/>
                  </pic:spPr>
                </pic:pic>
              </a:graphicData>
            </a:graphic>
          </wp:inline>
        </w:drawing>
      </w:r>
    </w:p>
    <w:p>
      <w:pPr>
        <w:jc w:val="center"/>
      </w:pPr>
      <w:r>
        <w:rPr>
          <w:rFonts w:ascii="Times New Roman" w:hAnsi="Times New Roman" w:eastAsia="宋体"/>
          <w:color w:val="505050"/>
          <w:sz w:val="21"/>
        </w:rPr>
        <w:t>图1-3 省级平台口径一致性系数分布</w:t>
      </w:r>
    </w:p>
    <w:p>
      <w:pPr>
        <w:spacing w:line="360" w:lineRule="auto" w:after="0" w:before="0"/>
        <w:ind w:firstLine="420"/>
      </w:pPr>
      <w:r>
        <w:rPr>
          <w:rFonts w:ascii="Times New Roman" w:hAnsi="Times New Roman" w:eastAsia="宋体"/>
          <w:color w:val="000000"/>
        </w:rPr>
        <w:t>图1-3 省级平台口径一致性系数分布</w:t>
      </w:r>
    </w:p>
    <w:p>
      <w:pPr>
        <w:spacing w:line="360" w:lineRule="auto" w:after="0" w:before="0"/>
        <w:ind w:firstLine="420"/>
      </w:pPr>
      <w:r>
        <w:rPr>
          <w:rFonts w:ascii="Times New Roman" w:hAnsi="Times New Roman" w:eastAsia="宋体"/>
          <w:color w:val="000000"/>
        </w:rPr>
        <w:t>数据来源：作者实地核验，2025年3月</w:t>
      </w:r>
    </w:p>
    <w:p>
      <w:pPr>
        <w:spacing w:line="360" w:lineRule="auto" w:after="0" w:before="0"/>
        <w:ind w:firstLine="420"/>
      </w:pPr>
      <w:r>
        <w:rPr>
          <w:rFonts w:ascii="Times New Roman" w:hAnsi="Times New Roman" w:eastAsia="宋体"/>
          <w:color w:val="000000"/>
        </w:rPr>
        <w:t>图1-3的直方图显示，28个平台的口径一致性系数呈明显的右偏分布——大多数平台集中在0.05-0.15区间，仅有少数平台（浙江、广东、上海、北京）超过0.20。中位数仅为0.122意味着，平均而言目录中约8个数据集仅有1个是真正有效的。</w:t>
      </w:r>
    </w:p>
    <w:p>
      <w:pPr>
        <w:spacing w:line="360" w:lineRule="auto" w:after="0" w:before="0"/>
        <w:ind w:firstLine="420"/>
      </w:pPr>
      <w:r>
        <w:rPr>
          <w:rFonts w:ascii="Times New Roman" w:hAnsi="Times New Roman" w:eastAsia="宋体"/>
          <w:color w:val="000000"/>
        </w:rPr>
        <w:t>在"数量导向"评估范式的驱动下，我国政府数据开放平台出现了一种本研究称之为"数据口径幻觉"的现象——即平台对外宣传的数据集数量（目录数量）与实际可供有效利用的数据集数量之间存在巨大差异。</w:t>
      </w:r>
    </w:p>
    <w:p>
      <w:pPr>
        <w:spacing w:line="360" w:lineRule="auto" w:after="0" w:before="0"/>
        <w:ind w:firstLine="420"/>
      </w:pPr>
      <w:r>
        <w:rPr>
          <w:rFonts w:ascii="Times New Roman" w:hAnsi="Times New Roman" w:eastAsia="宋体"/>
          <w:color w:val="000000"/>
        </w:rPr>
        <w:t>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spacing w:line="360" w:lineRule="auto" w:after="0" w:before="0"/>
        <w:ind w:firstLine="420"/>
      </w:pPr>
      <w:r>
        <w:rPr>
          <w:rFonts w:ascii="Times New Roman" w:hAnsi="Times New Roman" w:eastAsia="宋体"/>
          <w:color w:val="000000"/>
        </w:rPr>
        <w:t>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spacing w:line="360" w:lineRule="auto" w:after="0" w:before="0"/>
        <w:ind w:firstLine="420"/>
      </w:pPr>
      <w:r>
        <w:rPr>
          <w:rFonts w:ascii="Times New Roman" w:hAnsi="Times New Roman" w:eastAsia="宋体"/>
          <w:color w:val="000000"/>
        </w:rP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当一个指标成为目标时，它就不再是一个好的指标"——当"目录数量"成为评估目标时，它就失去了衡量真实供给能力的效用。</w:t>
      </w:r>
    </w:p>
    <w:p>
      <w:pPr>
        <w:spacing w:line="360" w:lineRule="auto" w:after="0" w:before="0"/>
        <w:ind w:firstLine="420"/>
      </w:pPr>
      <w:r>
        <w:rPr>
          <w:rFonts w:ascii="Times New Roman" w:hAnsi="Times New Roman" w:eastAsia="宋体"/>
          <w:color w:val="000000"/>
        </w:rP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spacing w:line="360" w:lineRule="auto" w:after="0" w:before="0"/>
        <w:ind w:firstLine="420"/>
      </w:pPr>
      <w:r>
        <w:rPr>
          <w:rFonts w:ascii="Times New Roman" w:hAnsi="Times New Roman" w:eastAsia="宋体"/>
          <w:color w:val="000000"/>
        </w:rP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spacing w:line="360" w:lineRule="auto" w:after="0" w:before="0"/>
        <w:ind w:firstLine="420"/>
      </w:pPr>
      <w:r>
        <w:rPr>
          <w:rFonts w:ascii="Times New Roman" w:hAnsi="Times New Roman" w:eastAsia="黑体"/>
          <w:b/>
          <w:color w:val="000000"/>
          <w:sz w:val="24"/>
        </w:rPr>
        <w:t>1.1.4 研究问题的提出</w:t>
      </w:r>
    </w:p>
    <w:p>
      <w:pPr>
        <w:spacing w:line="360" w:lineRule="auto" w:after="0" w:before="0"/>
        <w:ind w:firstLine="420"/>
      </w:pPr>
      <w:r>
        <w:rPr>
          <w:rFonts w:ascii="Times New Roman" w:hAnsi="Times New Roman" w:eastAsia="宋体"/>
          <w:color w:val="000000"/>
        </w:rPr>
        <w:t>基于上述研究背景，本研究聚焦以下核心研究问题：</w:t>
      </w:r>
    </w:p>
    <w:p>
      <w:pPr>
        <w:spacing w:line="360" w:lineRule="auto" w:after="0" w:before="0"/>
        <w:ind w:firstLine="420"/>
      </w:pPr>
      <w:r>
        <w:rPr>
          <w:rFonts w:ascii="Times New Roman" w:hAnsi="Times New Roman" w:eastAsia="宋体"/>
          <w:color w:val="000000"/>
        </w:rPr>
        <w:t>问题一：如何科学评估我国省级政府数据开放平台的数据利用绩效？</w:t>
      </w:r>
    </w:p>
    <w:p>
      <w:pPr>
        <w:spacing w:line="360" w:lineRule="auto" w:after="0" w:before="0"/>
        <w:ind w:firstLine="420"/>
      </w:pPr>
      <w:r>
        <w:rPr>
          <w:rFonts w:ascii="Times New Roman" w:hAnsi="Times New Roman" w:eastAsia="宋体"/>
          <w:color w:val="000000"/>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spacing w:line="360" w:lineRule="auto" w:after="0" w:before="0"/>
        <w:ind w:firstLine="420"/>
      </w:pPr>
      <w:r>
        <w:rPr>
          <w:rFonts w:ascii="Times New Roman" w:hAnsi="Times New Roman" w:eastAsia="宋体"/>
          <w:color w:val="000000"/>
        </w:rPr>
        <w:t>本研究采用AHP-熵权组合赋权法确定各指标权重，兼顾主观经验与客观信息。图3-2展示了24个指标的最终权重分布。</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thesis_03_topsis.png"/>
                    <pic:cNvPicPr/>
                  </pic:nvPicPr>
                  <pic:blipFill>
                    <a:blip r:embed="rId12"/>
                    <a:stretch>
                      <a:fillRect/>
                    </a:stretch>
                  </pic:blipFill>
                  <pic:spPr>
                    <a:xfrm>
                      <a:off x="0" y="0"/>
                      <a:ext cx="5029200" cy="3335895"/>
                    </a:xfrm>
                    <a:prstGeom prst="rect"/>
                  </pic:spPr>
                </pic:pic>
              </a:graphicData>
            </a:graphic>
          </wp:inline>
        </w:drawing>
      </w:r>
    </w:p>
    <w:p>
      <w:pPr>
        <w:jc w:val="center"/>
      </w:pPr>
      <w:r>
        <w:rPr>
          <w:rFonts w:ascii="Times New Roman" w:hAnsi="Times New Roman" w:eastAsia="宋体"/>
          <w:color w:val="505050"/>
          <w:sz w:val="21"/>
        </w:rPr>
        <w:t>图3-2 4E评估指标权重分布</w:t>
      </w:r>
    </w:p>
    <w:p>
      <w:pPr>
        <w:spacing w:line="360" w:lineRule="auto" w:after="0" w:before="0"/>
        <w:ind w:firstLine="420"/>
      </w:pPr>
      <w:r>
        <w:rPr>
          <w:rFonts w:ascii="Times New Roman" w:hAnsi="Times New Roman" w:eastAsia="宋体"/>
          <w:color w:val="000000"/>
        </w:rPr>
        <w:t>图3-2 4E评估指标权重分布</w:t>
      </w:r>
    </w:p>
    <w:p>
      <w:pPr>
        <w:spacing w:line="360" w:lineRule="auto" w:after="0" w:before="0"/>
        <w:ind w:firstLine="420"/>
      </w:pPr>
      <w:r>
        <w:rPr>
          <w:rFonts w:ascii="Times New Roman" w:hAnsi="Times New Roman" w:eastAsia="宋体"/>
          <w:color w:val="000000"/>
        </w:rPr>
        <w:t>数据来源：AHP-熵权组合赋权计算结果</w:t>
      </w:r>
    </w:p>
    <w:p>
      <w:pPr>
        <w:spacing w:line="360" w:lineRule="auto" w:after="0" w:before="0"/>
        <w:ind w:firstLine="420"/>
      </w:pPr>
      <w:r>
        <w:rPr>
          <w:rFonts w:ascii="Times New Roman" w:hAnsi="Times New Roman" w:eastAsia="宋体"/>
          <w:color w:val="000000"/>
        </w:rPr>
        <w:t>图3-2的权重分布揭示了4E评估体系的核心价值取向。权重最高的五个指标依次为：应用成果数量（w=0.089）、API调用深度（w=0.082）、数据更新及时性（w=0.076）、数据格式标准化（w=0.072）和授权运营成效（w=0.069）。</w:t>
      </w:r>
    </w:p>
    <w:p>
      <w:pPr>
        <w:spacing w:line="360" w:lineRule="auto" w:after="0" w:before="0"/>
        <w:ind w:firstLine="420"/>
      </w:pPr>
      <w:r>
        <w:rPr>
          <w:rFonts w:ascii="Times New Roman" w:hAnsi="Times New Roman" w:eastAsia="宋体"/>
          <w:color w:val="000000"/>
        </w:rPr>
        <w:t>问题二：不同省级平台的数据利用绩效差异是如何形成的？</w:t>
      </w:r>
    </w:p>
    <w:p>
      <w:pPr>
        <w:spacing w:line="360" w:lineRule="auto" w:after="0" w:before="0"/>
        <w:ind w:firstLine="420"/>
      </w:pPr>
      <w:r>
        <w:rPr>
          <w:rFonts w:ascii="Times New Roman" w:hAnsi="Times New Roman" w:eastAsia="宋体"/>
          <w:color w:val="000000"/>
        </w:rPr>
        <w:t>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spacing w:line="360" w:lineRule="auto" w:after="0" w:before="0"/>
        <w:ind w:firstLine="420"/>
      </w:pPr>
      <w:r>
        <w:rPr>
          <w:rFonts w:ascii="Times New Roman" w:hAnsi="Times New Roman" w:eastAsia="宋体"/>
          <w:color w:val="000000"/>
        </w:rPr>
        <w:t>问题三：如何针对不同类型平台提出差异化的绩效提升路径？</w:t>
      </w:r>
    </w:p>
    <w:p>
      <w:pPr>
        <w:spacing w:line="360" w:lineRule="auto" w:after="0" w:before="0"/>
        <w:ind w:firstLine="420"/>
      </w:pPr>
      <w:r>
        <w:rPr>
          <w:rFonts w:ascii="Times New Roman" w:hAnsi="Times New Roman" w:eastAsia="宋体"/>
          <w:color w:val="000000"/>
        </w:rPr>
        <w:t>针对不同类型平台的差异化特征，本研究构建了"类型-策略"对应矩阵。图7-2展示了四大类型平台的核心短板和优化路径。</w:t>
      </w:r>
    </w:p>
    <w:p>
      <w:pPr>
        <w:spacing w:line="360" w:lineRule="auto" w:after="0" w:before="0"/>
        <w:ind w:firstLine="420"/>
      </w:pPr>
      <w:r>
        <w:rPr>
          <w:rFonts w:ascii="Times New Roman" w:hAnsi="Times New Roman" w:eastAsia="宋体"/>
          <w:color w:val="000000"/>
        </w:rPr>
        <w:t>图7-2 差异化优化策略矩阵</w:t>
      </w:r>
    </w:p>
    <w:p>
      <w:pPr>
        <w:spacing w:line="360" w:lineRule="auto" w:after="0" w:before="0"/>
        <w:ind w:firstLine="420"/>
      </w:pPr>
      <w:r>
        <w:rPr>
          <w:rFonts w:ascii="Times New Roman" w:hAnsi="Times New Roman" w:eastAsia="宋体"/>
          <w:color w:val="000000"/>
        </w:rPr>
        <w:t>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spacing w:line="360" w:lineRule="auto" w:after="0" w:before="0"/>
        <w:ind w:firstLine="420"/>
      </w:pPr>
      <w:r>
        <w:rPr>
          <w:rFonts w:ascii="Times New Roman" w:hAnsi="Times New Roman" w:eastAsia="宋体"/>
          <w:color w:val="000000"/>
        </w:rPr>
        <w:t>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spacing w:line="360" w:lineRule="auto" w:after="0" w:before="0"/>
        <w:ind w:firstLine="420"/>
      </w:pPr>
      <w:r>
        <w:rPr>
          <w:rFonts w:ascii="Times New Roman" w:hAnsi="Times New Roman" w:eastAsia="宋体"/>
          <w:color w:val="000000"/>
        </w:rPr>
        <w:t>上述三个问题构成了本研究的逻辑主线："绩效如何评估→差异为何形成→如何分类提升"。这一逻辑链条从描述性评估出发，经由解释性分析，最终落脚于规范性建议，形成了"评估-归因-对策"的完整研究闭环。</w:t>
      </w:r>
    </w:p>
    <w:p>
      <w:pPr>
        <w:spacing w:line="360" w:lineRule="auto" w:after="0" w:before="0"/>
      </w:pPr>
      <w:r>
        <w:rPr>
          <w:rFonts w:ascii="Times New Roman" w:hAnsi="Times New Roman" w:eastAsia="黑体"/>
          <w:b/>
          <w:color w:val="000000"/>
          <w:sz w:val="24"/>
        </w:rPr>
        <w:t>1.2 研究意义</w:t>
      </w:r>
    </w:p>
    <w:p>
      <w:pPr>
        <w:spacing w:line="360" w:lineRule="auto" w:after="0" w:before="0"/>
        <w:ind w:firstLine="420"/>
      </w:pPr>
      <w:r>
        <w:rPr>
          <w:rFonts w:ascii="Times New Roman" w:hAnsi="Times New Roman" w:eastAsia="黑体"/>
          <w:b/>
          <w:color w:val="000000"/>
          <w:sz w:val="24"/>
        </w:rPr>
        <w:t>1.2.1 理论意义</w:t>
      </w:r>
    </w:p>
    <w:p>
      <w:pPr>
        <w:spacing w:line="360" w:lineRule="auto" w:after="0" w:before="0"/>
        <w:ind w:firstLine="420"/>
      </w:pPr>
      <w:r>
        <w:rPr>
          <w:rFonts w:ascii="Times New Roman" w:hAnsi="Times New Roman" w:eastAsia="宋体"/>
          <w:color w:val="000000"/>
        </w:rPr>
        <w:t>第一，推动政府数据开放评估范式从"供给导向"向"效果导向"转型。</w:t>
      </w:r>
    </w:p>
    <w:p>
      <w:pPr>
        <w:spacing w:line="360" w:lineRule="auto" w:after="0" w:before="0"/>
        <w:ind w:firstLine="420"/>
      </w:pPr>
      <w:r>
        <w:rPr>
          <w:rFonts w:ascii="Times New Roman" w:hAnsi="Times New Roman" w:eastAsia="宋体"/>
          <w:color w:val="000000"/>
        </w:rP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spacing w:line="360" w:lineRule="auto" w:after="0" w:before="0"/>
        <w:ind w:firstLine="420"/>
      </w:pPr>
      <w:r>
        <w:rPr>
          <w:rFonts w:ascii="Times New Roman" w:hAnsi="Times New Roman" w:eastAsia="宋体"/>
          <w:color w:val="000000"/>
        </w:rPr>
        <w:t>第二，揭示政府数据利用绩效形成的多重并发因果机制。</w:t>
      </w:r>
    </w:p>
    <w:p>
      <w:pPr>
        <w:spacing w:line="360" w:lineRule="auto" w:after="0" w:before="0"/>
        <w:ind w:firstLine="420"/>
      </w:pPr>
      <w:r>
        <w:rPr>
          <w:rFonts w:ascii="Times New Roman" w:hAnsi="Times New Roman" w:eastAsia="宋体"/>
          <w:color w:val="000000"/>
        </w:rP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spacing w:line="360" w:lineRule="auto" w:after="0" w:before="0"/>
        <w:ind w:firstLine="420"/>
      </w:pPr>
      <w:r>
        <w:rPr>
          <w:rFonts w:ascii="Times New Roman" w:hAnsi="Times New Roman" w:eastAsia="宋体"/>
          <w:color w:val="000000"/>
        </w:rPr>
        <w:t>fsQCA分析揭示了实现高绩效的三条等效路径。图6-3展示了高绩效组态的覆盖度和一致性指标。</w:t>
      </w:r>
    </w:p>
    <w:p>
      <w:pPr>
        <w:jc w:val="center"/>
      </w:pPr>
      <w:r>
        <w:drawing>
          <wp:inline xmlns:a="http://schemas.openxmlformats.org/drawingml/2006/main" xmlns:pic="http://schemas.openxmlformats.org/drawingml/2006/picture">
            <wp:extent cx="5029200" cy="2699340"/>
            <wp:docPr id="5" name="Picture 5"/>
            <wp:cNvGraphicFramePr>
              <a:graphicFrameLocks noChangeAspect="1"/>
            </wp:cNvGraphicFramePr>
            <a:graphic>
              <a:graphicData uri="http://schemas.openxmlformats.org/drawingml/2006/picture">
                <pic:pic>
                  <pic:nvPicPr>
                    <pic:cNvPr id="0" name="thesis_06_fsqca.png"/>
                    <pic:cNvPicPr/>
                  </pic:nvPicPr>
                  <pic:blipFill>
                    <a:blip r:embed="rId13"/>
                    <a:stretch>
                      <a:fillRect/>
                    </a:stretch>
                  </pic:blipFill>
                  <pic:spPr>
                    <a:xfrm>
                      <a:off x="0" y="0"/>
                      <a:ext cx="5029200" cy="2699340"/>
                    </a:xfrm>
                    <a:prstGeom prst="rect"/>
                  </pic:spPr>
                </pic:pic>
              </a:graphicData>
            </a:graphic>
          </wp:inline>
        </w:drawing>
      </w:r>
    </w:p>
    <w:p>
      <w:pPr>
        <w:jc w:val="center"/>
      </w:pPr>
      <w:r>
        <w:rPr>
          <w:rFonts w:ascii="Times New Roman" w:hAnsi="Times New Roman" w:eastAsia="宋体"/>
          <w:color w:val="505050"/>
          <w:sz w:val="21"/>
        </w:rPr>
        <w:t>图6-3 fsQCA高绩效组态路径</w:t>
      </w:r>
    </w:p>
    <w:p>
      <w:pPr>
        <w:spacing w:line="360" w:lineRule="auto" w:after="0" w:before="0"/>
        <w:ind w:firstLine="420"/>
      </w:pPr>
      <w:r>
        <w:rPr>
          <w:rFonts w:ascii="Times New Roman" w:hAnsi="Times New Roman" w:eastAsia="宋体"/>
          <w:color w:val="000000"/>
        </w:rPr>
        <w:t>图6-3 fsQCA高绩效组态路径</w:t>
      </w:r>
    </w:p>
    <w:p>
      <w:pPr>
        <w:spacing w:line="360" w:lineRule="auto" w:after="0" w:before="0"/>
        <w:ind w:firstLine="420"/>
      </w:pPr>
      <w:r>
        <w:rPr>
          <w:rFonts w:ascii="Times New Roman" w:hAnsi="Times New Roman" w:eastAsia="宋体"/>
          <w:color w:val="000000"/>
        </w:rPr>
        <w:t>数据来源：fsQCA 3.0计算结果，2025年</w:t>
      </w:r>
    </w:p>
    <w:p>
      <w:pPr>
        <w:spacing w:line="360" w:lineRule="auto" w:after="0" w:before="0"/>
        <w:ind w:firstLine="420"/>
      </w:pPr>
      <w:r>
        <w:rPr>
          <w:rFonts w:ascii="Times New Roman" w:hAnsi="Times New Roman" w:eastAsia="宋体"/>
          <w:color w:val="000000"/>
        </w:rPr>
        <w:t>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spacing w:line="360" w:lineRule="auto" w:after="0" w:before="0"/>
        <w:ind w:firstLine="420"/>
      </w:pPr>
      <w:r>
        <w:rPr>
          <w:rFonts w:ascii="Times New Roman" w:hAnsi="Times New Roman" w:eastAsia="宋体"/>
          <w:color w:val="000000"/>
        </w:rPr>
        <w:t>第三，整合数据要素价值化理论与公共部门绩效评估理论，为4E框架在数据开放领域的应用提供理论论证。</w:t>
      </w:r>
    </w:p>
    <w:p>
      <w:pPr>
        <w:spacing w:line="360" w:lineRule="auto" w:after="0" w:before="0"/>
        <w:ind w:firstLine="420"/>
      </w:pPr>
      <w:r>
        <w:rPr>
          <w:rFonts w:ascii="Times New Roman" w:hAnsi="Times New Roman" w:eastAsia="宋体"/>
          <w:color w:val="000000"/>
        </w:rP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spacing w:line="360" w:lineRule="auto" w:after="0" w:before="0"/>
        <w:ind w:firstLine="420"/>
      </w:pPr>
      <w:r>
        <w:rPr>
          <w:rFonts w:ascii="Times New Roman" w:hAnsi="Times New Roman" w:eastAsia="宋体"/>
          <w:color w:val="000000"/>
        </w:rPr>
        <w:t>DEMATEL分析揭示了12个影响因素之间的因果关系网络。图6-1展示了各因素的中心度、原因度和因果分类结果。</w:t>
      </w:r>
    </w:p>
    <w:p>
      <w:pPr>
        <w:jc w:val="center"/>
      </w:pPr>
      <w:r>
        <w:drawing>
          <wp:inline xmlns:a="http://schemas.openxmlformats.org/drawingml/2006/main" xmlns:pic="http://schemas.openxmlformats.org/drawingml/2006/picture">
            <wp:extent cx="5029200" cy="4015221"/>
            <wp:docPr id="6" name="Picture 6"/>
            <wp:cNvGraphicFramePr>
              <a:graphicFrameLocks noChangeAspect="1"/>
            </wp:cNvGraphicFramePr>
            <a:graphic>
              <a:graphicData uri="http://schemas.openxmlformats.org/drawingml/2006/picture">
                <pic:pic>
                  <pic:nvPicPr>
                    <pic:cNvPr id="0" name="thesis_05_dematel.png"/>
                    <pic:cNvPicPr/>
                  </pic:nvPicPr>
                  <pic:blipFill>
                    <a:blip r:embed="rId14"/>
                    <a:stretch>
                      <a:fillRect/>
                    </a:stretch>
                  </pic:blipFill>
                  <pic:spPr>
                    <a:xfrm>
                      <a:off x="0" y="0"/>
                      <a:ext cx="5029200" cy="4015221"/>
                    </a:xfrm>
                    <a:prstGeom prst="rect"/>
                  </pic:spPr>
                </pic:pic>
              </a:graphicData>
            </a:graphic>
          </wp:inline>
        </w:drawing>
      </w:r>
    </w:p>
    <w:p>
      <w:pPr>
        <w:jc w:val="center"/>
      </w:pPr>
      <w:r>
        <w:rPr>
          <w:rFonts w:ascii="Times New Roman" w:hAnsi="Times New Roman" w:eastAsia="宋体"/>
          <w:color w:val="505050"/>
          <w:sz w:val="21"/>
        </w:rPr>
        <w:t>图6-1 DEMATEL因素因果关系图</w:t>
      </w:r>
    </w:p>
    <w:p>
      <w:pPr>
        <w:spacing w:line="360" w:lineRule="auto" w:after="0" w:before="0"/>
        <w:ind w:firstLine="420"/>
      </w:pPr>
      <w:r>
        <w:rPr>
          <w:rFonts w:ascii="Times New Roman" w:hAnsi="Times New Roman" w:eastAsia="宋体"/>
          <w:color w:val="000000"/>
        </w:rPr>
        <w:t>图6-1 DEMATEL因素因果关系图</w:t>
      </w:r>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spacing w:line="360" w:lineRule="auto" w:after="0" w:before="0"/>
        <w:ind w:firstLine="420"/>
      </w:pPr>
      <w:r>
        <w:rPr>
          <w:rFonts w:ascii="Times New Roman" w:hAnsi="Times New Roman" w:eastAsia="宋体"/>
          <w:color w:val="000000"/>
        </w:rPr>
        <w:t>第四，提出并操作化"数据口径幻觉"概念，丰富数据开放评估的理论话语。</w:t>
      </w:r>
    </w:p>
    <w:p>
      <w:pPr>
        <w:spacing w:line="360" w:lineRule="auto" w:after="0" w:before="0"/>
        <w:ind w:firstLine="420"/>
      </w:pPr>
      <w:r>
        <w:rPr>
          <w:rFonts w:ascii="Times New Roman" w:hAnsi="Times New Roman" w:eastAsia="宋体"/>
          <w:color w:val="000000"/>
        </w:rP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spacing w:line="360" w:lineRule="auto" w:after="0" w:before="0"/>
        <w:ind w:firstLine="420"/>
      </w:pPr>
      <w:r>
        <w:rPr>
          <w:rFonts w:ascii="Times New Roman" w:hAnsi="Times New Roman" w:eastAsia="黑体"/>
          <w:b/>
          <w:color w:val="000000"/>
          <w:sz w:val="24"/>
        </w:rPr>
        <w:t>1.2.2 实践意义</w:t>
      </w:r>
    </w:p>
    <w:p>
      <w:pPr>
        <w:spacing w:line="360" w:lineRule="auto" w:after="0" w:before="0"/>
        <w:ind w:firstLine="420"/>
      </w:pPr>
      <w:r>
        <w:rPr>
          <w:rFonts w:ascii="Times New Roman" w:hAnsi="Times New Roman" w:eastAsia="宋体"/>
          <w:color w:val="000000"/>
        </w:rPr>
        <w:t>第一，为政府数据开放平台的绩效评估提供科学工具。</w:t>
      </w:r>
    </w:p>
    <w:p>
      <w:pPr>
        <w:spacing w:line="360" w:lineRule="auto" w:after="0" w:before="0"/>
        <w:ind w:firstLine="420"/>
      </w:pPr>
      <w:r>
        <w:rPr>
          <w:rFonts w:ascii="Times New Roman" w:hAnsi="Times New Roman" w:eastAsia="宋体"/>
          <w:color w:val="000000"/>
        </w:rP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spacing w:line="360" w:lineRule="auto" w:after="0" w:before="0"/>
        <w:ind w:firstLine="420"/>
      </w:pPr>
      <w:r>
        <w:rPr>
          <w:rFonts w:ascii="Times New Roman" w:hAnsi="Times New Roman" w:eastAsia="宋体"/>
          <w:color w:val="000000"/>
        </w:rPr>
        <w:t>第二，为分类施策提供实证依据。</w:t>
      </w:r>
    </w:p>
    <w:p>
      <w:pPr>
        <w:spacing w:line="360" w:lineRule="auto" w:after="0" w:before="0"/>
        <w:ind w:firstLine="420"/>
      </w:pPr>
      <w:r>
        <w:rPr>
          <w:rFonts w:ascii="Times New Roman" w:hAnsi="Times New Roman" w:eastAsia="宋体"/>
          <w:color w:val="000000"/>
        </w:rP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spacing w:line="360" w:lineRule="auto" w:after="0" w:before="0"/>
        <w:ind w:firstLine="420"/>
      </w:pPr>
      <w:r>
        <w:rPr>
          <w:rFonts w:ascii="Times New Roman" w:hAnsi="Times New Roman" w:eastAsia="宋体"/>
          <w:color w:val="000000"/>
        </w:rPr>
        <w:t>第三，为推动信息平权提供路径指引。</w:t>
      </w:r>
    </w:p>
    <w:p>
      <w:pPr>
        <w:spacing w:line="360" w:lineRule="auto" w:after="0" w:before="0"/>
        <w:ind w:firstLine="420"/>
      </w:pPr>
      <w:r>
        <w:rPr>
          <w:rFonts w:ascii="Times New Roman" w:hAnsi="Times New Roman" w:eastAsia="宋体"/>
          <w:color w:val="000000"/>
        </w:rP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spacing w:line="360" w:lineRule="auto" w:after="0" w:before="0"/>
        <w:ind w:firstLine="420"/>
      </w:pPr>
      <w:r>
        <w:rPr>
          <w:rFonts w:ascii="Times New Roman" w:hAnsi="Times New Roman" w:eastAsia="宋体"/>
          <w:color w:val="000000"/>
        </w:rPr>
        <w:t>第四，为数据治理制度完善提供参考。</w:t>
      </w:r>
    </w:p>
    <w:p>
      <w:pPr>
        <w:spacing w:line="360" w:lineRule="auto" w:after="0" w:before="0"/>
        <w:ind w:firstLine="420"/>
      </w:pPr>
      <w:r>
        <w:rPr>
          <w:rFonts w:ascii="Times New Roman" w:hAnsi="Times New Roman" w:eastAsia="宋体"/>
          <w:color w:val="000000"/>
        </w:rP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spacing w:line="360" w:lineRule="auto" w:after="0" w:before="0"/>
      </w:pPr>
      <w:r>
        <w:rPr>
          <w:rFonts w:ascii="Times New Roman" w:hAnsi="Times New Roman" w:eastAsia="黑体"/>
          <w:b/>
          <w:color w:val="000000"/>
          <w:sz w:val="24"/>
        </w:rPr>
        <w:t>1.3 研究内容与方法</w:t>
      </w:r>
    </w:p>
    <w:p>
      <w:pPr>
        <w:spacing w:line="360" w:lineRule="auto" w:after="0" w:before="0"/>
        <w:ind w:firstLine="420"/>
      </w:pPr>
      <w:r>
        <w:rPr>
          <w:rFonts w:ascii="Times New Roman" w:hAnsi="Times New Roman" w:eastAsia="黑体"/>
          <w:b/>
          <w:color w:val="000000"/>
          <w:sz w:val="24"/>
        </w:rPr>
        <w:t>1.3.1 研究内容</w:t>
      </w:r>
    </w:p>
    <w:p>
      <w:pPr>
        <w:spacing w:line="360" w:lineRule="auto" w:after="0" w:before="0"/>
        <w:ind w:firstLine="420"/>
      </w:pPr>
      <w:r>
        <w:rPr>
          <w:rFonts w:ascii="Times New Roman" w:hAnsi="Times New Roman" w:eastAsia="宋体"/>
          <w:color w:val="000000"/>
        </w:rPr>
        <w:t>本研究围绕"中国省级政府数据开放平台数据利用绩效评估与提升路径"这一核心主题，从"评估→归因→对策"三个层面展开研究，形成递进式的研究内容体系。</w:t>
      </w:r>
    </w:p>
    <w:p>
      <w:pPr>
        <w:spacing w:line="360" w:lineRule="auto" w:after="0" w:before="0"/>
        <w:ind w:firstLine="420"/>
      </w:pPr>
      <w:r>
        <w:rPr>
          <w:rFonts w:ascii="Times New Roman" w:hAnsi="Times New Roman" w:eastAsia="宋体"/>
          <w:color w:val="000000"/>
        </w:rPr>
        <w:t>第一层：绩效评估——数据利用绩效"是什么"。</w:t>
      </w:r>
    </w:p>
    <w:p>
      <w:pPr>
        <w:spacing w:line="360" w:lineRule="auto" w:after="0" w:before="0"/>
        <w:ind w:firstLine="420"/>
      </w:pPr>
      <w:r>
        <w:rPr>
          <w:rFonts w:ascii="Times New Roman" w:hAnsi="Times New Roman" w:eastAsia="宋体"/>
          <w:color w:val="000000"/>
        </w:rPr>
        <w:t>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spacing w:line="360" w:lineRule="auto" w:after="0" w:before="0"/>
        <w:ind w:firstLine="420"/>
      </w:pPr>
      <w:r>
        <w:rPr>
          <w:rFonts w:ascii="Times New Roman" w:hAnsi="Times New Roman" w:eastAsia="宋体"/>
          <w:color w:val="000000"/>
        </w:rPr>
        <w:t>第二层：影响因素分析——绩效差异"为什么"。</w:t>
      </w:r>
    </w:p>
    <w:p>
      <w:pPr>
        <w:spacing w:line="360" w:lineRule="auto" w:after="0" w:before="0"/>
        <w:ind w:firstLine="420"/>
      </w:pPr>
      <w:r>
        <w:rPr>
          <w:rFonts w:ascii="Times New Roman" w:hAnsi="Times New Roman" w:eastAsia="宋体"/>
          <w:color w:val="000000"/>
        </w:rP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spacing w:line="360" w:lineRule="auto" w:after="0" w:before="0"/>
        <w:ind w:firstLine="420"/>
      </w:pPr>
      <w:r>
        <w:rPr>
          <w:rFonts w:ascii="Times New Roman" w:hAnsi="Times New Roman" w:eastAsia="宋体"/>
          <w:color w:val="000000"/>
        </w:rPr>
        <w:t>第三层：对策建议——绩效"如何提升"。</w:t>
      </w:r>
    </w:p>
    <w:p>
      <w:pPr>
        <w:spacing w:line="360" w:lineRule="auto" w:after="0" w:before="0"/>
        <w:ind w:firstLine="420"/>
      </w:pPr>
      <w:r>
        <w:rPr>
          <w:rFonts w:ascii="Times New Roman" w:hAnsi="Times New Roman" w:eastAsia="宋体"/>
          <w:color w:val="000000"/>
        </w:rP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spacing w:line="360" w:lineRule="auto" w:after="0" w:before="0"/>
        <w:ind w:firstLine="420"/>
      </w:pPr>
      <w:r>
        <w:rPr>
          <w:rFonts w:ascii="Times New Roman" w:hAnsi="Times New Roman" w:eastAsia="黑体"/>
          <w:b/>
          <w:color w:val="000000"/>
          <w:sz w:val="24"/>
        </w:rPr>
        <w:t>1.3.2 研究方法</w:t>
      </w:r>
    </w:p>
    <w:p>
      <w:pPr>
        <w:spacing w:line="360" w:lineRule="auto" w:after="0" w:before="0"/>
        <w:ind w:firstLine="420"/>
      </w:pPr>
      <w:r>
        <w:rPr>
          <w:rFonts w:ascii="Times New Roman" w:hAnsi="Times New Roman" w:eastAsia="宋体"/>
          <w:color w:val="000000"/>
        </w:rPr>
        <w:t>本研究采用多元方法集成的研究设计，综合运用文献研究、数据采集、定量分析等多种方法，形成多方法三角验证的研究格局。</w:t>
      </w:r>
    </w:p>
    <w:p>
      <w:pPr>
        <w:spacing w:line="360" w:lineRule="auto" w:after="0" w:before="0"/>
        <w:ind w:firstLine="420"/>
      </w:pPr>
      <w:r>
        <w:rPr>
          <w:rFonts w:ascii="Times New Roman" w:hAnsi="Times New Roman" w:eastAsia="宋体"/>
          <w:color w:val="000000"/>
        </w:rPr>
        <w:t>（1）文献研究法</w:t>
      </w:r>
    </w:p>
    <w:p>
      <w:pPr>
        <w:spacing w:line="360" w:lineRule="auto" w:after="0" w:before="0"/>
        <w:ind w:firstLine="420"/>
      </w:pPr>
      <w:r>
        <w:rPr>
          <w:rFonts w:ascii="Times New Roman" w:hAnsi="Times New Roman" w:eastAsia="宋体"/>
          <w:color w:val="000000"/>
        </w:rP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spacing w:line="360" w:lineRule="auto" w:after="0" w:before="0"/>
        <w:ind w:firstLine="420"/>
      </w:pPr>
      <w:r>
        <w:rPr>
          <w:rFonts w:ascii="Times New Roman" w:hAnsi="Times New Roman" w:eastAsia="宋体"/>
          <w:color w:val="000000"/>
        </w:rPr>
        <w:t>（2）网络数据采集法</w:t>
      </w:r>
    </w:p>
    <w:p>
      <w:pPr>
        <w:spacing w:line="360" w:lineRule="auto" w:after="0" w:before="0"/>
        <w:ind w:firstLine="420"/>
      </w:pPr>
      <w:r>
        <w:rPr>
          <w:rFonts w:ascii="Times New Roman" w:hAnsi="Times New Roman" w:eastAsia="宋体"/>
          <w:color w:val="000000"/>
        </w:rPr>
        <w:t>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spacing w:line="360" w:lineRule="auto" w:after="0" w:before="0"/>
        <w:ind w:firstLine="420"/>
      </w:pPr>
      <w:r>
        <w:rPr>
          <w:rFonts w:ascii="Times New Roman" w:hAnsi="Times New Roman" w:eastAsia="宋体"/>
          <w:color w:val="000000"/>
        </w:rPr>
        <w:t>（3）熵权TOPSIS法</w:t>
      </w:r>
    </w:p>
    <w:p>
      <w:pPr>
        <w:spacing w:line="360" w:lineRule="auto" w:after="0" w:before="0"/>
        <w:ind w:firstLine="420"/>
      </w:pPr>
      <w:r>
        <w:rPr>
          <w:rFonts w:ascii="Times New Roman" w:hAnsi="Times New Roman" w:eastAsia="宋体"/>
          <w:color w:val="000000"/>
        </w:rP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spacing w:line="360" w:lineRule="auto" w:after="0" w:before="0"/>
        <w:ind w:firstLine="420"/>
      </w:pPr>
      <w:r>
        <w:rPr>
          <w:rFonts w:ascii="Times New Roman" w:hAnsi="Times New Roman" w:eastAsia="宋体"/>
          <w:color w:val="000000"/>
        </w:rPr>
        <w:t>（4）DEA-BCC法</w:t>
      </w:r>
    </w:p>
    <w:p>
      <w:pPr>
        <w:spacing w:line="360" w:lineRule="auto" w:after="0" w:before="0"/>
        <w:ind w:firstLine="420"/>
      </w:pPr>
      <w:r>
        <w:rPr>
          <w:rFonts w:ascii="Times New Roman" w:hAnsi="Times New Roman" w:eastAsia="宋体"/>
          <w:color w:val="000000"/>
        </w:rP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spacing w:line="360" w:lineRule="auto" w:after="0" w:before="0"/>
        <w:ind w:firstLine="420"/>
      </w:pPr>
      <w:r>
        <w:rPr>
          <w:rFonts w:ascii="Times New Roman" w:hAnsi="Times New Roman" w:eastAsia="宋体"/>
          <w:color w:val="000000"/>
        </w:rPr>
        <w:t>（5）fsQCA法</w:t>
      </w:r>
    </w:p>
    <w:p>
      <w:pPr>
        <w:spacing w:line="360" w:lineRule="auto" w:after="0" w:before="0"/>
        <w:ind w:firstLine="420"/>
      </w:pPr>
      <w:r>
        <w:rPr>
          <w:rFonts w:ascii="Times New Roman" w:hAnsi="Times New Roman" w:eastAsia="宋体"/>
          <w:color w:val="000000"/>
        </w:rP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spacing w:line="360" w:lineRule="auto" w:after="0" w:before="0"/>
        <w:ind w:firstLine="420"/>
      </w:pPr>
      <w:r>
        <w:rPr>
          <w:rFonts w:ascii="Times New Roman" w:hAnsi="Times New Roman" w:eastAsia="宋体"/>
          <w:color w:val="000000"/>
        </w:rPr>
        <w:t>（6）DEMATEL法</w:t>
      </w:r>
    </w:p>
    <w:p>
      <w:pPr>
        <w:spacing w:line="360" w:lineRule="auto" w:after="0" w:before="0"/>
        <w:ind w:firstLine="420"/>
      </w:pPr>
      <w:r>
        <w:rPr>
          <w:rFonts w:ascii="Times New Roman" w:hAnsi="Times New Roman" w:eastAsia="宋体"/>
          <w:color w:val="000000"/>
        </w:rPr>
        <w:t>用于分析影响因素之间的关联关系和因果关系。DEMATEL（Decision-Making Trial and Evaluation Laboratory）通过构建直接影响矩阵、计算综合影响矩阵、求解中心度和原因度，识别因素间的因果结构和传导路径。</w:t>
      </w:r>
    </w:p>
    <w:p>
      <w:pPr>
        <w:spacing w:line="360" w:lineRule="auto" w:after="0" w:before="0"/>
        <w:ind w:firstLine="420"/>
      </w:pPr>
      <w:r>
        <w:rPr>
          <w:rFonts w:ascii="Times New Roman" w:hAnsi="Times New Roman" w:eastAsia="黑体"/>
          <w:b/>
          <w:color w:val="000000"/>
          <w:sz w:val="24"/>
        </w:rPr>
        <w:t>1.3.3 技术路线</w:t>
      </w:r>
    </w:p>
    <w:p>
      <w:pPr>
        <w:spacing w:line="360" w:lineRule="auto" w:after="0" w:before="0"/>
        <w:ind w:firstLine="420"/>
      </w:pPr>
      <w:r>
        <w:rPr>
          <w:rFonts w:ascii="Times New Roman" w:hAnsi="Times New Roman" w:eastAsia="宋体"/>
          <w:color w:val="000000"/>
        </w:rPr>
        <w:t>本研究的技术路线分为五个阶段：</w:t>
      </w:r>
    </w:p>
    <w:p>
      <w:pPr>
        <w:spacing w:line="360" w:lineRule="auto" w:after="0" w:before="0"/>
        <w:ind w:firstLine="420"/>
      </w:pPr>
      <w:r>
        <w:rPr>
          <w:rFonts w:ascii="Times New Roman" w:hAnsi="Times New Roman" w:eastAsia="宋体"/>
          <w:color w:val="000000"/>
        </w:rPr>
        <w:t>第一阶段：问题界定与理论构建。 通过文献研究和现状调研，明确研究问题，构建4E评估框架和TOE影响因素框架，提出研究假设。</w:t>
      </w:r>
    </w:p>
    <w:p>
      <w:pPr>
        <w:spacing w:line="360" w:lineRule="auto" w:after="0" w:before="0"/>
        <w:ind w:firstLine="420"/>
      </w:pPr>
      <w:r>
        <w:rPr>
          <w:rFonts w:ascii="Times New Roman" w:hAnsi="Times New Roman" w:eastAsia="宋体"/>
          <w:color w:val="000000"/>
        </w:rPr>
        <w:t>第二阶段：指标体系设计与数据采集。 基于4E框架设计评估指标体系，开发三层架构数据采集系统，对28个省级平台进行系统性数据采集，完成数据清洗和预处理。</w:t>
      </w:r>
    </w:p>
    <w:p>
      <w:pPr>
        <w:spacing w:line="360" w:lineRule="auto" w:after="0" w:before="0"/>
        <w:ind w:firstLine="420"/>
      </w:pPr>
      <w:r>
        <w:rPr>
          <w:rFonts w:ascii="Times New Roman" w:hAnsi="Times New Roman" w:eastAsia="宋体"/>
          <w:color w:val="000000"/>
        </w:rPr>
        <w:t>第三阶段：绩效评估与效率分析。 运用熵权TOPSIS进行绩效评估和排名，运用DEA-BCC进行效率分析，进行区域差异比较和外部效度检验。</w:t>
      </w:r>
    </w:p>
    <w:p>
      <w:pPr>
        <w:spacing w:line="360" w:lineRule="auto" w:after="0" w:before="0"/>
        <w:ind w:firstLine="420"/>
      </w:pPr>
      <w:r>
        <w:rPr>
          <w:rFonts w:ascii="Times New Roman" w:hAnsi="Times New Roman" w:eastAsia="宋体"/>
          <w:color w:val="000000"/>
        </w:rPr>
        <w:t>第四阶段：影响因素分析与组态识别。 运用DEMATEL分析因素关联，运用fsQCA识别高绩效路径，进行多方法三角验证。</w:t>
      </w:r>
    </w:p>
    <w:p>
      <w:pPr>
        <w:spacing w:line="360" w:lineRule="auto" w:after="0" w:before="0"/>
        <w:ind w:firstLine="420"/>
      </w:pPr>
      <w:r>
        <w:rPr>
          <w:rFonts w:ascii="Times New Roman" w:hAnsi="Times New Roman" w:eastAsia="宋体"/>
          <w:color w:val="000000"/>
        </w:rPr>
        <w:t>第五阶段：问题诊断与对策提出。 基于实证结果诊断问题，结合组态路径设计差异化对策，提出政策建议。</w:t>
      </w:r>
    </w:p>
    <w:p>
      <w:pPr>
        <w:spacing w:line="360" w:lineRule="auto" w:after="0" w:before="0"/>
      </w:pPr>
      <w:r>
        <w:rPr>
          <w:rFonts w:ascii="Times New Roman" w:hAnsi="Times New Roman" w:eastAsia="黑体"/>
          <w:b/>
          <w:color w:val="000000"/>
          <w:sz w:val="24"/>
        </w:rPr>
        <w:t>1.4 创新点</w:t>
      </w:r>
    </w:p>
    <w:p>
      <w:pPr>
        <w:spacing w:line="360" w:lineRule="auto" w:after="0" w:before="0"/>
        <w:ind w:firstLine="420"/>
      </w:pPr>
      <w:r>
        <w:rPr>
          <w:rFonts w:ascii="Times New Roman" w:hAnsi="Times New Roman" w:eastAsia="宋体"/>
          <w:color w:val="000000"/>
        </w:rPr>
        <w:t>本研究的创新点主要体现在以下四个方面：</w:t>
      </w:r>
    </w:p>
    <w:p>
      <w:pPr>
        <w:spacing w:line="360" w:lineRule="auto" w:after="0" w:before="0"/>
        <w:ind w:firstLine="420"/>
      </w:pPr>
      <w:r>
        <w:rPr>
          <w:rFonts w:ascii="Times New Roman" w:hAnsi="Times New Roman" w:eastAsia="宋体"/>
          <w:color w:val="000000"/>
        </w:rPr>
        <w:t>创新点一：构建"效果导向"的4E全链条评估框架，推动评估范式转型。</w:t>
      </w:r>
    </w:p>
    <w:p>
      <w:pPr>
        <w:spacing w:line="360" w:lineRule="auto" w:after="0" w:before="0"/>
        <w:ind w:firstLine="420"/>
      </w:pPr>
      <w:r>
        <w:rPr>
          <w:rFonts w:ascii="Times New Roman" w:hAnsi="Times New Roman" w:eastAsia="宋体"/>
          <w:color w:val="000000"/>
        </w:rP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spacing w:line="360" w:lineRule="auto" w:after="0" w:before="0"/>
        <w:ind w:firstLine="420"/>
      </w:pPr>
      <w:r>
        <w:rPr>
          <w:rFonts w:ascii="Times New Roman" w:hAnsi="Times New Roman" w:eastAsia="宋体"/>
          <w:color w:val="000000"/>
        </w:rPr>
        <w:t>创新点二：提出并操作化"数据口径幻觉"概念，揭示评估指标的行为塑造效应。</w:t>
      </w:r>
    </w:p>
    <w:p>
      <w:pPr>
        <w:spacing w:line="360" w:lineRule="auto" w:after="0" w:before="0"/>
        <w:ind w:firstLine="420"/>
      </w:pPr>
      <w:r>
        <w:rPr>
          <w:rFonts w:ascii="Times New Roman" w:hAnsi="Times New Roman" w:eastAsia="宋体"/>
          <w:color w:val="000000"/>
        </w:rP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spacing w:line="360" w:lineRule="auto" w:after="0" w:before="0"/>
        <w:ind w:firstLine="420"/>
      </w:pPr>
      <w:r>
        <w:rPr>
          <w:rFonts w:ascii="Times New Roman" w:hAnsi="Times New Roman" w:eastAsia="宋体"/>
          <w:color w:val="000000"/>
        </w:rPr>
        <w:t>创新点三：采用多方法三角验证，揭示绩效差异的形成机制。</w:t>
      </w:r>
    </w:p>
    <w:p>
      <w:pPr>
        <w:spacing w:line="360" w:lineRule="auto" w:after="0" w:before="0"/>
        <w:ind w:firstLine="420"/>
      </w:pPr>
      <w:r>
        <w:rPr>
          <w:rFonts w:ascii="Times New Roman" w:hAnsi="Times New Roman" w:eastAsia="宋体"/>
          <w:color w:val="000000"/>
        </w:rP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spacing w:line="360" w:lineRule="auto" w:after="0" w:before="0"/>
        <w:ind w:firstLine="420"/>
      </w:pPr>
      <w:r>
        <w:rPr>
          <w:rFonts w:ascii="Times New Roman" w:hAnsi="Times New Roman" w:eastAsia="宋体"/>
          <w:color w:val="000000"/>
        </w:rPr>
        <w:t>创新点四：基于组态分析的差异化对策设计，超越"一刀切"的政策建议。</w:t>
      </w:r>
    </w:p>
    <w:p>
      <w:pPr>
        <w:spacing w:line="360" w:lineRule="auto" w:after="0" w:before="0"/>
        <w:ind w:firstLine="420"/>
      </w:pPr>
      <w:r>
        <w:rPr>
          <w:rFonts w:ascii="Times New Roman" w:hAnsi="Times New Roman" w:eastAsia="宋体"/>
          <w:color w:val="000000"/>
        </w:rP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spacing w:line="360" w:lineRule="auto" w:after="0" w:before="0"/>
      </w:pPr>
      <w:r>
        <w:rPr>
          <w:rFonts w:ascii="Times New Roman" w:hAnsi="Times New Roman" w:eastAsia="黑体"/>
          <w:b/>
          <w:color w:val="000000"/>
          <w:sz w:val="24"/>
        </w:rPr>
        <w:t>1.5 论文结构安排</w:t>
      </w:r>
    </w:p>
    <w:p>
      <w:pPr>
        <w:spacing w:line="360" w:lineRule="auto" w:after="0" w:before="0"/>
        <w:ind w:firstLine="420"/>
      </w:pPr>
      <w:r>
        <w:rPr>
          <w:rFonts w:ascii="Times New Roman" w:hAnsi="Times New Roman" w:eastAsia="宋体"/>
          <w:color w:val="000000"/>
        </w:rPr>
        <w:t>本论文共分为八章，各章内容安排如下：</w:t>
      </w:r>
    </w:p>
    <w:p>
      <w:pPr>
        <w:spacing w:line="360" w:lineRule="auto" w:after="0" w:before="0"/>
        <w:ind w:firstLine="420"/>
      </w:pPr>
      <w:r>
        <w:rPr>
          <w:rFonts w:ascii="Times New Roman" w:hAnsi="Times New Roman" w:eastAsia="宋体"/>
          <w:color w:val="000000"/>
        </w:rPr>
        <w:t>第一章 绪论。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spacing w:line="360" w:lineRule="auto" w:after="0" w:before="0"/>
        <w:ind w:firstLine="420"/>
      </w:pPr>
      <w:r>
        <w:rPr>
          <w:rFonts w:ascii="Times New Roman" w:hAnsi="Times New Roman" w:eastAsia="宋体"/>
          <w:color w:val="000000"/>
        </w:rPr>
        <w:t>第二章 文献综述。 系统梳理政府数据开放的概念界定与演进、评估研究、数据利用绩效研究、影响因素研究等领域的国内外文献，总结现有研究的贡献与不足，明确本研究的定位与创新空间。</w:t>
      </w:r>
    </w:p>
    <w:p>
      <w:pPr>
        <w:spacing w:line="360" w:lineRule="auto" w:after="0" w:before="0"/>
        <w:ind w:firstLine="420"/>
      </w:pPr>
      <w:r>
        <w:rPr>
          <w:rFonts w:ascii="Times New Roman" w:hAnsi="Times New Roman" w:eastAsia="宋体"/>
          <w:color w:val="000000"/>
        </w:rPr>
        <w:t>第三章 理论基础与分析框架。 阐述公共价值理论、数据要素价值化理论、4E评估框架、TOE影响因素框架的理论内涵，构建"评估-归因-组态"整合分析模型，提出研究假设。</w:t>
      </w:r>
    </w:p>
    <w:p>
      <w:pPr>
        <w:spacing w:line="360" w:lineRule="auto" w:after="0" w:before="0"/>
        <w:ind w:firstLine="420"/>
      </w:pPr>
      <w:r>
        <w:rPr>
          <w:rFonts w:ascii="Times New Roman" w:hAnsi="Times New Roman" w:eastAsia="宋体"/>
          <w:color w:val="000000"/>
        </w:rPr>
        <w:t>第四章 研究设计与数据来源。 介绍研究对象与样本选择（28个省级平台），详细说明评估指标体系的构建过程、AHP-熵权组合赋权方法、三层架构数据采集系统的技术实现、数据质量控制措施和研究方法的具体操作步骤。</w:t>
      </w:r>
    </w:p>
    <w:p>
      <w:pPr>
        <w:spacing w:line="360" w:lineRule="auto" w:after="0" w:before="0"/>
        <w:ind w:firstLine="420"/>
      </w:pPr>
      <w:r>
        <w:rPr>
          <w:rFonts w:ascii="Times New Roman" w:hAnsi="Times New Roman" w:eastAsia="宋体"/>
          <w:color w:val="000000"/>
        </w:rPr>
        <w:t>第五章 绩效评估结果分析。 呈现28个平台的绩效评估结果（TOPSIS综合排名、维度分解）、效率分析结果（DEA效率值、效率分解）、区域差异分析（东中西部比较、"浙江模式"与"山东模式"类型学），以及与开放数林指数的外部效度检验。</w:t>
      </w:r>
    </w:p>
    <w:p>
      <w:pPr>
        <w:spacing w:line="360" w:lineRule="auto" w:after="0" w:before="0"/>
        <w:ind w:firstLine="420"/>
      </w:pPr>
      <w:r>
        <w:rPr>
          <w:rFonts w:ascii="Times New Roman" w:hAnsi="Times New Roman" w:eastAsia="宋体"/>
          <w:color w:val="000000"/>
        </w:rPr>
        <w:t>表5-1展示了28个省级平台的TOPSIS综合绩效得分和排名。</w:t>
      </w:r>
    </w:p>
    <w:p>
      <w:pPr>
        <w:spacing w:line="360" w:lineRule="auto" w:after="0" w:before="0"/>
        <w:ind w:firstLine="420"/>
      </w:pPr>
      <w:r>
        <w:rPr>
          <w:rFonts w:ascii="Times New Roman" w:hAnsi="Times New Roman" w:eastAsia="宋体"/>
          <w:color w:val="000000"/>
        </w:rPr>
        <w:t>表5-1 省级平台TOPSIS综合绩效得分与排名</w:t>
      </w:r>
    </w:p>
    <w:tbl>
      <w:tblPr>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tcBorders/>
          </w:tcPr>
          <w:p>
            <w:pPr>
              <w:jc w:val="center"/>
            </w:pPr>
            <w:r>
              <w:rPr>
                <w:rFonts w:ascii="Times New Roman" w:hAnsi="Times New Roman" w:eastAsia="宋体"/>
                <w:b/>
                <w:sz w:val="21"/>
              </w:rPr>
              <w:t>排名</w:t>
            </w:r>
          </w:p>
        </w:tc>
        <w:tc>
          <w:tcPr>
            <w:tcW w:type="dxa" w:w="1081"/>
            <w:tcBorders/>
          </w:tcPr>
          <w:p>
            <w:pPr>
              <w:jc w:val="center"/>
            </w:pPr>
            <w:r>
              <w:rPr>
                <w:rFonts w:ascii="Times New Roman" w:hAnsi="Times New Roman" w:eastAsia="宋体"/>
                <w:b/>
                <w:sz w:val="21"/>
              </w:rPr>
              <w:t>省份</w:t>
            </w:r>
          </w:p>
        </w:tc>
        <w:tc>
          <w:tcPr>
            <w:tcW w:type="dxa" w:w="1081"/>
            <w:tcBorders/>
          </w:tcPr>
          <w:p>
            <w:pPr>
              <w:jc w:val="center"/>
            </w:pPr>
            <w:r>
              <w:rPr>
                <w:rFonts w:ascii="Times New Roman" w:hAnsi="Times New Roman" w:eastAsia="宋体"/>
                <w:b/>
                <w:sz w:val="21"/>
              </w:rPr>
              <w:t>综合绩效得分(C*)</w:t>
            </w:r>
          </w:p>
        </w:tc>
        <w:tc>
          <w:tcPr>
            <w:tcW w:type="dxa" w:w="1081"/>
            <w:tcBorders/>
          </w:tcPr>
          <w:p>
            <w:pPr>
              <w:jc w:val="center"/>
            </w:pPr>
            <w:r>
              <w:rPr>
                <w:rFonts w:ascii="Times New Roman" w:hAnsi="Times New Roman" w:eastAsia="宋体"/>
                <w:b/>
                <w:sz w:val="21"/>
              </w:rPr>
              <w:t>供给保障(E1)</w:t>
            </w:r>
          </w:p>
        </w:tc>
        <w:tc>
          <w:tcPr>
            <w:tcW w:type="dxa" w:w="1081"/>
            <w:tcBorders/>
          </w:tcPr>
          <w:p>
            <w:pPr>
              <w:jc w:val="center"/>
            </w:pPr>
            <w:r>
              <w:rPr>
                <w:rFonts w:ascii="Times New Roman" w:hAnsi="Times New Roman" w:eastAsia="宋体"/>
                <w:b/>
                <w:sz w:val="21"/>
              </w:rPr>
              <w:t>平台服务(E2)</w:t>
            </w:r>
          </w:p>
        </w:tc>
        <w:tc>
          <w:tcPr>
            <w:tcW w:type="dxa" w:w="1081"/>
            <w:tcBorders/>
          </w:tcPr>
          <w:p>
            <w:pPr>
              <w:jc w:val="center"/>
            </w:pPr>
            <w:r>
              <w:rPr>
                <w:rFonts w:ascii="Times New Roman" w:hAnsi="Times New Roman" w:eastAsia="宋体"/>
                <w:b/>
                <w:sz w:val="21"/>
              </w:rPr>
              <w:t>数据质量(E3)</w:t>
            </w:r>
          </w:p>
        </w:tc>
        <w:tc>
          <w:tcPr>
            <w:tcW w:type="dxa" w:w="1081"/>
            <w:tcBorders/>
          </w:tcPr>
          <w:p>
            <w:pPr>
              <w:jc w:val="center"/>
            </w:pPr>
            <w:r>
              <w:rPr>
                <w:rFonts w:ascii="Times New Roman" w:hAnsi="Times New Roman" w:eastAsia="宋体"/>
                <w:b/>
                <w:sz w:val="21"/>
              </w:rPr>
              <w:t>利用效果(E4)</w:t>
            </w:r>
          </w:p>
        </w:tc>
        <w:tc>
          <w:tcPr>
            <w:tcW w:type="dxa" w:w="1081"/>
            <w:tcBorders/>
          </w:tcPr>
          <w:p>
            <w:pPr>
              <w:jc w:val="center"/>
            </w:pPr>
            <w:r>
              <w:rPr>
                <w:rFonts w:ascii="Times New Roman" w:hAnsi="Times New Roman" w:eastAsia="宋体"/>
                <w:b/>
                <w:sz w:val="21"/>
              </w:rPr>
              <w:t>类型</w:t>
            </w:r>
          </w:p>
        </w:tc>
      </w:tr>
      <w:tr>
        <w:tc>
          <w:tcPr>
            <w:tcW w:type="dxa" w:w="1081"/>
            <w:tcBorders/>
          </w:tcPr>
          <w:p>
            <w:pPr>
              <w:jc w:val="center"/>
            </w:pPr>
            <w:r>
              <w:rPr>
                <w:rFonts w:ascii="Times New Roman" w:hAnsi="Times New Roman" w:eastAsia="宋体"/>
                <w:sz w:val="21"/>
              </w:rPr>
              <w:t>1</w:t>
            </w:r>
          </w:p>
        </w:tc>
        <w:tc>
          <w:tcPr>
            <w:tcW w:type="dxa" w:w="1081"/>
            <w:tcBorders/>
          </w:tcPr>
          <w:p>
            <w:pPr>
              <w:jc w:val="center"/>
            </w:pPr>
            <w:r>
              <w:rPr>
                <w:rFonts w:ascii="Times New Roman" w:hAnsi="Times New Roman" w:eastAsia="宋体"/>
                <w:sz w:val="21"/>
              </w:rPr>
              <w:t>浙江</w:t>
            </w:r>
          </w:p>
        </w:tc>
        <w:tc>
          <w:tcPr>
            <w:tcW w:type="dxa" w:w="1081"/>
            <w:tcBorders/>
          </w:tcPr>
          <w:p>
            <w:pPr>
              <w:jc w:val="center"/>
            </w:pPr>
            <w:r>
              <w:rPr>
                <w:rFonts w:ascii="Times New Roman" w:hAnsi="Times New Roman" w:eastAsia="宋体"/>
                <w:sz w:val="21"/>
              </w:rPr>
              <w:t>0.823</w:t>
            </w:r>
          </w:p>
        </w:tc>
        <w:tc>
          <w:tcPr>
            <w:tcW w:type="dxa" w:w="1081"/>
            <w:tcBorders/>
          </w:tcPr>
          <w:p>
            <w:pPr>
              <w:jc w:val="center"/>
            </w:pPr>
            <w:r>
              <w:rPr>
                <w:rFonts w:ascii="Times New Roman" w:hAnsi="Times New Roman" w:eastAsia="宋体"/>
                <w:sz w:val="21"/>
              </w:rPr>
              <w:t>0.856</w:t>
            </w:r>
          </w:p>
        </w:tc>
        <w:tc>
          <w:tcPr>
            <w:tcW w:type="dxa" w:w="1081"/>
            <w:tcBorders/>
          </w:tcPr>
          <w:p>
            <w:pPr>
              <w:jc w:val="center"/>
            </w:pPr>
            <w:r>
              <w:rPr>
                <w:rFonts w:ascii="Times New Roman" w:hAnsi="Times New Roman" w:eastAsia="宋体"/>
                <w:sz w:val="21"/>
              </w:rPr>
              <w:t>0.834</w:t>
            </w:r>
          </w:p>
        </w:tc>
        <w:tc>
          <w:tcPr>
            <w:tcW w:type="dxa" w:w="1081"/>
            <w:tcBorders/>
          </w:tcPr>
          <w:p>
            <w:pPr>
              <w:jc w:val="center"/>
            </w:pPr>
            <w:r>
              <w:rPr>
                <w:rFonts w:ascii="Times New Roman" w:hAnsi="Times New Roman" w:eastAsia="宋体"/>
                <w:sz w:val="21"/>
              </w:rPr>
              <w:t>0.798</w:t>
            </w:r>
          </w:p>
        </w:tc>
        <w:tc>
          <w:tcPr>
            <w:tcW w:type="dxa" w:w="1081"/>
            <w:tcBorders/>
          </w:tcPr>
          <w:p>
            <w:pPr>
              <w:jc w:val="center"/>
            </w:pPr>
            <w:r>
              <w:rPr>
                <w:rFonts w:ascii="Times New Roman" w:hAnsi="Times New Roman" w:eastAsia="宋体"/>
                <w:sz w:val="21"/>
              </w:rPr>
              <w:t>0.804</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2</w:t>
            </w:r>
          </w:p>
        </w:tc>
        <w:tc>
          <w:tcPr>
            <w:tcW w:type="dxa" w:w="1081"/>
            <w:tcBorders/>
          </w:tcPr>
          <w:p>
            <w:pPr>
              <w:jc w:val="center"/>
            </w:pPr>
            <w:r>
              <w:rPr>
                <w:rFonts w:ascii="Times New Roman" w:hAnsi="Times New Roman" w:eastAsia="宋体"/>
                <w:sz w:val="21"/>
              </w:rPr>
              <w:t>广东</w:t>
            </w:r>
          </w:p>
        </w:tc>
        <w:tc>
          <w:tcPr>
            <w:tcW w:type="dxa" w:w="1081"/>
            <w:tcBorders/>
          </w:tcPr>
          <w:p>
            <w:pPr>
              <w:jc w:val="center"/>
            </w:pPr>
            <w:r>
              <w:rPr>
                <w:rFonts w:ascii="Times New Roman" w:hAnsi="Times New Roman" w:eastAsia="宋体"/>
                <w:sz w:val="21"/>
              </w:rPr>
              <w:t>0.791</w:t>
            </w:r>
          </w:p>
        </w:tc>
        <w:tc>
          <w:tcPr>
            <w:tcW w:type="dxa" w:w="1081"/>
            <w:tcBorders/>
          </w:tcPr>
          <w:p>
            <w:pPr>
              <w:jc w:val="center"/>
            </w:pPr>
            <w:r>
              <w:rPr>
                <w:rFonts w:ascii="Times New Roman" w:hAnsi="Times New Roman" w:eastAsia="宋体"/>
                <w:sz w:val="21"/>
              </w:rPr>
              <w:t>0.812</w:t>
            </w:r>
          </w:p>
        </w:tc>
        <w:tc>
          <w:tcPr>
            <w:tcW w:type="dxa" w:w="1081"/>
            <w:tcBorders/>
          </w:tcPr>
          <w:p>
            <w:pPr>
              <w:jc w:val="center"/>
            </w:pPr>
            <w:r>
              <w:rPr>
                <w:rFonts w:ascii="Times New Roman" w:hAnsi="Times New Roman" w:eastAsia="宋体"/>
                <w:sz w:val="21"/>
              </w:rPr>
              <w:t>0.798</w:t>
            </w:r>
          </w:p>
        </w:tc>
        <w:tc>
          <w:tcPr>
            <w:tcW w:type="dxa" w:w="1081"/>
            <w:tcBorders/>
          </w:tcPr>
          <w:p>
            <w:pPr>
              <w:jc w:val="center"/>
            </w:pPr>
            <w:r>
              <w:rPr>
                <w:rFonts w:ascii="Times New Roman" w:hAnsi="Times New Roman" w:eastAsia="宋体"/>
                <w:sz w:val="21"/>
              </w:rPr>
              <w:t>0.765</w:t>
            </w:r>
          </w:p>
        </w:tc>
        <w:tc>
          <w:tcPr>
            <w:tcW w:type="dxa" w:w="1081"/>
            <w:tcBorders/>
          </w:tcPr>
          <w:p>
            <w:pPr>
              <w:jc w:val="center"/>
            </w:pPr>
            <w:r>
              <w:rPr>
                <w:rFonts w:ascii="Times New Roman" w:hAnsi="Times New Roman" w:eastAsia="宋体"/>
                <w:sz w:val="21"/>
              </w:rPr>
              <w:t>0.789</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3</w:t>
            </w:r>
          </w:p>
        </w:tc>
        <w:tc>
          <w:tcPr>
            <w:tcW w:type="dxa" w:w="1081"/>
            <w:tcBorders/>
          </w:tcPr>
          <w:p>
            <w:pPr>
              <w:jc w:val="center"/>
            </w:pPr>
            <w:r>
              <w:rPr>
                <w:rFonts w:ascii="Times New Roman" w:hAnsi="Times New Roman" w:eastAsia="宋体"/>
                <w:sz w:val="21"/>
              </w:rPr>
              <w:t>上海</w:t>
            </w:r>
          </w:p>
        </w:tc>
        <w:tc>
          <w:tcPr>
            <w:tcW w:type="dxa" w:w="1081"/>
            <w:tcBorders/>
          </w:tcPr>
          <w:p>
            <w:pPr>
              <w:jc w:val="center"/>
            </w:pPr>
            <w:r>
              <w:rPr>
                <w:rFonts w:ascii="Times New Roman" w:hAnsi="Times New Roman" w:eastAsia="宋体"/>
                <w:sz w:val="21"/>
              </w:rPr>
              <w:t>0.756</w:t>
            </w:r>
          </w:p>
        </w:tc>
        <w:tc>
          <w:tcPr>
            <w:tcW w:type="dxa" w:w="1081"/>
            <w:tcBorders/>
          </w:tcPr>
          <w:p>
            <w:pPr>
              <w:jc w:val="center"/>
            </w:pPr>
            <w:r>
              <w:rPr>
                <w:rFonts w:ascii="Times New Roman" w:hAnsi="Times New Roman" w:eastAsia="宋体"/>
                <w:sz w:val="21"/>
              </w:rPr>
              <w:t>0.789</w:t>
            </w:r>
          </w:p>
        </w:tc>
        <w:tc>
          <w:tcPr>
            <w:tcW w:type="dxa" w:w="1081"/>
            <w:tcBorders/>
          </w:tcPr>
          <w:p>
            <w:pPr>
              <w:jc w:val="center"/>
            </w:pPr>
            <w:r>
              <w:rPr>
                <w:rFonts w:ascii="Times New Roman" w:hAnsi="Times New Roman" w:eastAsia="宋体"/>
                <w:sz w:val="21"/>
              </w:rPr>
              <w:t>0.756</w:t>
            </w:r>
          </w:p>
        </w:tc>
        <w:tc>
          <w:tcPr>
            <w:tcW w:type="dxa" w:w="1081"/>
            <w:tcBorders/>
          </w:tcPr>
          <w:p>
            <w:pPr>
              <w:jc w:val="center"/>
            </w:pPr>
            <w:r>
              <w:rPr>
                <w:rFonts w:ascii="Times New Roman" w:hAnsi="Times New Roman" w:eastAsia="宋体"/>
                <w:sz w:val="21"/>
              </w:rPr>
              <w:t>0.734</w:t>
            </w:r>
          </w:p>
        </w:tc>
        <w:tc>
          <w:tcPr>
            <w:tcW w:type="dxa" w:w="1081"/>
            <w:tcBorders/>
          </w:tcPr>
          <w:p>
            <w:pPr>
              <w:jc w:val="center"/>
            </w:pPr>
            <w:r>
              <w:rPr>
                <w:rFonts w:ascii="Times New Roman" w:hAnsi="Times New Roman" w:eastAsia="宋体"/>
                <w:sz w:val="21"/>
              </w:rPr>
              <w:t>0.745</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4</w:t>
            </w:r>
          </w:p>
        </w:tc>
        <w:tc>
          <w:tcPr>
            <w:tcW w:type="dxa" w:w="1081"/>
            <w:tcBorders/>
          </w:tcPr>
          <w:p>
            <w:pPr>
              <w:jc w:val="center"/>
            </w:pPr>
            <w:r>
              <w:rPr>
                <w:rFonts w:ascii="Times New Roman" w:hAnsi="Times New Roman" w:eastAsia="宋体"/>
                <w:sz w:val="21"/>
              </w:rPr>
              <w:t>北京</w:t>
            </w:r>
          </w:p>
        </w:tc>
        <w:tc>
          <w:tcPr>
            <w:tcW w:type="dxa" w:w="1081"/>
            <w:tcBorders/>
          </w:tcPr>
          <w:p>
            <w:pPr>
              <w:jc w:val="center"/>
            </w:pPr>
            <w:r>
              <w:rPr>
                <w:rFonts w:ascii="Times New Roman" w:hAnsi="Times New Roman" w:eastAsia="宋体"/>
                <w:sz w:val="21"/>
              </w:rPr>
              <w:t>0.734</w:t>
            </w:r>
          </w:p>
        </w:tc>
        <w:tc>
          <w:tcPr>
            <w:tcW w:type="dxa" w:w="1081"/>
            <w:tcBorders/>
          </w:tcPr>
          <w:p>
            <w:pPr>
              <w:jc w:val="center"/>
            </w:pPr>
            <w:r>
              <w:rPr>
                <w:rFonts w:ascii="Times New Roman" w:hAnsi="Times New Roman" w:eastAsia="宋体"/>
                <w:sz w:val="21"/>
              </w:rPr>
              <w:t>0.765</w:t>
            </w:r>
          </w:p>
        </w:tc>
        <w:tc>
          <w:tcPr>
            <w:tcW w:type="dxa" w:w="1081"/>
            <w:tcBorders/>
          </w:tcPr>
          <w:p>
            <w:pPr>
              <w:jc w:val="center"/>
            </w:pPr>
            <w:r>
              <w:rPr>
                <w:rFonts w:ascii="Times New Roman" w:hAnsi="Times New Roman" w:eastAsia="宋体"/>
                <w:sz w:val="21"/>
              </w:rPr>
              <w:t>0.723</w:t>
            </w:r>
          </w:p>
        </w:tc>
        <w:tc>
          <w:tcPr>
            <w:tcW w:type="dxa" w:w="1081"/>
            <w:tcBorders/>
          </w:tcPr>
          <w:p>
            <w:pPr>
              <w:jc w:val="center"/>
            </w:pPr>
            <w:r>
              <w:rPr>
                <w:rFonts w:ascii="Times New Roman" w:hAnsi="Times New Roman" w:eastAsia="宋体"/>
                <w:sz w:val="21"/>
              </w:rPr>
              <w:t>0.712</w:t>
            </w:r>
          </w:p>
        </w:tc>
        <w:tc>
          <w:tcPr>
            <w:tcW w:type="dxa" w:w="1081"/>
            <w:tcBorders/>
          </w:tcPr>
          <w:p>
            <w:pPr>
              <w:jc w:val="center"/>
            </w:pPr>
            <w:r>
              <w:rPr>
                <w:rFonts w:ascii="Times New Roman" w:hAnsi="Times New Roman" w:eastAsia="宋体"/>
                <w:sz w:val="21"/>
              </w:rPr>
              <w:t>0.736</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5</w:t>
            </w:r>
          </w:p>
        </w:tc>
        <w:tc>
          <w:tcPr>
            <w:tcW w:type="dxa" w:w="1081"/>
            <w:tcBorders/>
          </w:tcPr>
          <w:p>
            <w:pPr>
              <w:jc w:val="center"/>
            </w:pPr>
            <w:r>
              <w:rPr>
                <w:rFonts w:ascii="Times New Roman" w:hAnsi="Times New Roman" w:eastAsia="宋体"/>
                <w:sz w:val="21"/>
              </w:rPr>
              <w:t>山东</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0.698</w:t>
            </w:r>
          </w:p>
        </w:tc>
        <w:tc>
          <w:tcPr>
            <w:tcW w:type="dxa" w:w="1081"/>
            <w:tcBorders/>
          </w:tcPr>
          <w:p>
            <w:pPr>
              <w:jc w:val="center"/>
            </w:pPr>
            <w:r>
              <w:rPr>
                <w:rFonts w:ascii="Times New Roman" w:hAnsi="Times New Roman" w:eastAsia="宋体"/>
                <w:sz w:val="21"/>
              </w:rPr>
              <w:t>0.654</w:t>
            </w:r>
          </w:p>
        </w:tc>
        <w:tc>
          <w:tcPr>
            <w:tcW w:type="dxa" w:w="1081"/>
            <w:tcBorders/>
          </w:tcPr>
          <w:p>
            <w:pPr>
              <w:jc w:val="center"/>
            </w:pPr>
            <w:r>
              <w:rPr>
                <w:rFonts w:ascii="Times New Roman" w:hAnsi="Times New Roman" w:eastAsia="宋体"/>
                <w:sz w:val="21"/>
              </w:rPr>
              <w:t>0.587</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潜力型</w:t>
            </w:r>
          </w:p>
        </w:tc>
      </w:tr>
      <w:tr>
        <w:tc>
          <w:tcPr>
            <w:tcW w:type="dxa" w:w="1081"/>
            <w:tcBorders/>
          </w:tcPr>
          <w:p>
            <w:pPr>
              <w:jc w:val="center"/>
            </w:pPr>
            <w:r>
              <w:rPr>
                <w:rFonts w:ascii="Times New Roman" w:hAnsi="Times New Roman" w:eastAsia="宋体"/>
                <w:sz w:val="21"/>
              </w:rPr>
              <w:t>6</w:t>
            </w:r>
          </w:p>
        </w:tc>
        <w:tc>
          <w:tcPr>
            <w:tcW w:type="dxa" w:w="1081"/>
            <w:tcBorders/>
          </w:tcPr>
          <w:p>
            <w:pPr>
              <w:jc w:val="center"/>
            </w:pPr>
            <w:r>
              <w:rPr>
                <w:rFonts w:ascii="Times New Roman" w:hAnsi="Times New Roman" w:eastAsia="宋体"/>
                <w:sz w:val="21"/>
              </w:rPr>
              <w:t>江苏</w:t>
            </w:r>
          </w:p>
        </w:tc>
        <w:tc>
          <w:tcPr>
            <w:tcW w:type="dxa" w:w="1081"/>
            <w:tcBorders/>
          </w:tcPr>
          <w:p>
            <w:pPr>
              <w:jc w:val="center"/>
            </w:pPr>
            <w:r>
              <w:rPr>
                <w:rFonts w:ascii="Times New Roman" w:hAnsi="Times New Roman" w:eastAsia="宋体"/>
                <w:sz w:val="21"/>
              </w:rPr>
              <w:t>0.598</w:t>
            </w:r>
          </w:p>
        </w:tc>
        <w:tc>
          <w:tcPr>
            <w:tcW w:type="dxa" w:w="1081"/>
            <w:tcBorders/>
          </w:tcPr>
          <w:p>
            <w:pPr>
              <w:jc w:val="center"/>
            </w:pPr>
            <w:r>
              <w:rPr>
                <w:rFonts w:ascii="Times New Roman" w:hAnsi="Times New Roman" w:eastAsia="宋体"/>
                <w:sz w:val="21"/>
              </w:rPr>
              <w:t>0.687</w:t>
            </w:r>
          </w:p>
        </w:tc>
        <w:tc>
          <w:tcPr>
            <w:tcW w:type="dxa" w:w="1081"/>
            <w:tcBorders/>
          </w:tcPr>
          <w:p>
            <w:pPr>
              <w:jc w:val="center"/>
            </w:pPr>
            <w:r>
              <w:rPr>
                <w:rFonts w:ascii="Times New Roman" w:hAnsi="Times New Roman" w:eastAsia="宋体"/>
                <w:sz w:val="21"/>
              </w:rPr>
              <w:t>0.645</w:t>
            </w:r>
          </w:p>
        </w:tc>
        <w:tc>
          <w:tcPr>
            <w:tcW w:type="dxa" w:w="1081"/>
            <w:tcBorders/>
          </w:tcPr>
          <w:p>
            <w:pPr>
              <w:jc w:val="center"/>
            </w:pPr>
            <w:r>
              <w:rPr>
                <w:rFonts w:ascii="Times New Roman" w:hAnsi="Times New Roman" w:eastAsia="宋体"/>
                <w:sz w:val="21"/>
              </w:rPr>
              <w:t>0.576</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潜力型</w:t>
            </w:r>
          </w:p>
        </w:tc>
      </w:tr>
      <w:tr>
        <w:tc>
          <w:tcPr>
            <w:tcW w:type="dxa" w:w="1081"/>
            <w:tcBorders/>
          </w:tcPr>
          <w:p>
            <w:pPr>
              <w:jc w:val="center"/>
            </w:pPr>
            <w:r>
              <w:rPr>
                <w:rFonts w:ascii="Times New Roman" w:hAnsi="Times New Roman" w:eastAsia="宋体"/>
                <w:sz w:val="21"/>
              </w:rPr>
              <w:t>7</w:t>
            </w:r>
          </w:p>
        </w:tc>
        <w:tc>
          <w:tcPr>
            <w:tcW w:type="dxa" w:w="1081"/>
            <w:tcBorders/>
          </w:tcPr>
          <w:p>
            <w:pPr>
              <w:jc w:val="center"/>
            </w:pPr>
            <w:r>
              <w:rPr>
                <w:rFonts w:ascii="Times New Roman" w:hAnsi="Times New Roman" w:eastAsia="宋体"/>
                <w:sz w:val="21"/>
              </w:rPr>
              <w:t>福建</w:t>
            </w:r>
          </w:p>
        </w:tc>
        <w:tc>
          <w:tcPr>
            <w:tcW w:type="dxa" w:w="1081"/>
            <w:tcBorders/>
          </w:tcPr>
          <w:p>
            <w:pPr>
              <w:jc w:val="center"/>
            </w:pPr>
            <w:r>
              <w:rPr>
                <w:rFonts w:ascii="Times New Roman" w:hAnsi="Times New Roman" w:eastAsia="宋体"/>
                <w:sz w:val="21"/>
              </w:rPr>
              <w:t>0.587</w:t>
            </w:r>
          </w:p>
        </w:tc>
        <w:tc>
          <w:tcPr>
            <w:tcW w:type="dxa" w:w="1081"/>
            <w:tcBorders/>
          </w:tcPr>
          <w:p>
            <w:pPr>
              <w:jc w:val="center"/>
            </w:pPr>
            <w:r>
              <w:rPr>
                <w:rFonts w:ascii="Times New Roman" w:hAnsi="Times New Roman" w:eastAsia="宋体"/>
                <w:sz w:val="21"/>
              </w:rPr>
              <w:t>0.623</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8</w:t>
            </w:r>
          </w:p>
        </w:tc>
        <w:tc>
          <w:tcPr>
            <w:tcW w:type="dxa" w:w="1081"/>
            <w:tcBorders/>
          </w:tcPr>
          <w:p>
            <w:pPr>
              <w:jc w:val="center"/>
            </w:pPr>
            <w:r>
              <w:rPr>
                <w:rFonts w:ascii="Times New Roman" w:hAnsi="Times New Roman" w:eastAsia="宋体"/>
                <w:sz w:val="21"/>
              </w:rPr>
              <w:t>四川</w:t>
            </w:r>
          </w:p>
        </w:tc>
        <w:tc>
          <w:tcPr>
            <w:tcW w:type="dxa" w:w="1081"/>
            <w:tcBorders/>
          </w:tcPr>
          <w:p>
            <w:pPr>
              <w:jc w:val="center"/>
            </w:pPr>
            <w:r>
              <w:rPr>
                <w:rFonts w:ascii="Times New Roman" w:hAnsi="Times New Roman" w:eastAsia="宋体"/>
                <w:sz w:val="21"/>
              </w:rPr>
              <w:t>0.576</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0.598</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9</w:t>
            </w:r>
          </w:p>
        </w:tc>
        <w:tc>
          <w:tcPr>
            <w:tcW w:type="dxa" w:w="1081"/>
            <w:tcBorders/>
          </w:tcPr>
          <w:p>
            <w:pPr>
              <w:jc w:val="center"/>
            </w:pPr>
            <w:r>
              <w:rPr>
                <w:rFonts w:ascii="Times New Roman" w:hAnsi="Times New Roman" w:eastAsia="宋体"/>
                <w:sz w:val="21"/>
              </w:rPr>
              <w:t>贵州</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10</w:t>
            </w:r>
          </w:p>
        </w:tc>
        <w:tc>
          <w:tcPr>
            <w:tcW w:type="dxa" w:w="1081"/>
            <w:tcBorders/>
          </w:tcPr>
          <w:p>
            <w:pPr>
              <w:jc w:val="center"/>
            </w:pPr>
            <w:r>
              <w:rPr>
                <w:rFonts w:ascii="Times New Roman" w:hAnsi="Times New Roman" w:eastAsia="宋体"/>
                <w:sz w:val="21"/>
              </w:rPr>
              <w:t>湖北</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11</w:t>
            </w:r>
          </w:p>
        </w:tc>
        <w:tc>
          <w:tcPr>
            <w:tcW w:type="dxa" w:w="1081"/>
            <w:tcBorders/>
          </w:tcPr>
          <w:p>
            <w:pPr>
              <w:jc w:val="center"/>
            </w:pPr>
            <w:r>
              <w:rPr>
                <w:rFonts w:ascii="Times New Roman" w:hAnsi="Times New Roman" w:eastAsia="宋体"/>
                <w:sz w:val="21"/>
              </w:rPr>
              <w:t>河南</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12</w:t>
            </w:r>
          </w:p>
        </w:tc>
        <w:tc>
          <w:tcPr>
            <w:tcW w:type="dxa" w:w="1081"/>
            <w:tcBorders/>
          </w:tcPr>
          <w:p>
            <w:pPr>
              <w:jc w:val="center"/>
            </w:pPr>
            <w:r>
              <w:rPr>
                <w:rFonts w:ascii="Times New Roman" w:hAnsi="Times New Roman" w:eastAsia="宋体"/>
                <w:sz w:val="21"/>
              </w:rPr>
              <w:t>湖南</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13</w:t>
            </w:r>
          </w:p>
        </w:tc>
        <w:tc>
          <w:tcPr>
            <w:tcW w:type="dxa" w:w="1081"/>
            <w:tcBorders/>
          </w:tcPr>
          <w:p>
            <w:pPr>
              <w:jc w:val="center"/>
            </w:pPr>
            <w:r>
              <w:rPr>
                <w:rFonts w:ascii="Times New Roman" w:hAnsi="Times New Roman" w:eastAsia="宋体"/>
                <w:sz w:val="21"/>
              </w:rPr>
              <w:t>重庆</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14</w:t>
            </w:r>
          </w:p>
        </w:tc>
        <w:tc>
          <w:tcPr>
            <w:tcW w:type="dxa" w:w="1081"/>
            <w:tcBorders/>
          </w:tcPr>
          <w:p>
            <w:pPr>
              <w:jc w:val="center"/>
            </w:pPr>
            <w:r>
              <w:rPr>
                <w:rFonts w:ascii="Times New Roman" w:hAnsi="Times New Roman" w:eastAsia="宋体"/>
                <w:sz w:val="21"/>
              </w:rPr>
              <w:t>安徽</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15</w:t>
            </w:r>
          </w:p>
        </w:tc>
        <w:tc>
          <w:tcPr>
            <w:tcW w:type="dxa" w:w="1081"/>
            <w:tcBorders/>
          </w:tcPr>
          <w:p>
            <w:pPr>
              <w:jc w:val="center"/>
            </w:pPr>
            <w:r>
              <w:rPr>
                <w:rFonts w:ascii="Times New Roman" w:hAnsi="Times New Roman" w:eastAsia="宋体"/>
                <w:sz w:val="21"/>
              </w:rPr>
              <w:t>江西</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16</w:t>
            </w:r>
          </w:p>
        </w:tc>
        <w:tc>
          <w:tcPr>
            <w:tcW w:type="dxa" w:w="1081"/>
            <w:tcBorders/>
          </w:tcPr>
          <w:p>
            <w:pPr>
              <w:jc w:val="center"/>
            </w:pPr>
            <w:r>
              <w:rPr>
                <w:rFonts w:ascii="Times New Roman" w:hAnsi="Times New Roman" w:eastAsia="宋体"/>
                <w:sz w:val="21"/>
              </w:rPr>
              <w:t>天津</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17</w:t>
            </w:r>
          </w:p>
        </w:tc>
        <w:tc>
          <w:tcPr>
            <w:tcW w:type="dxa" w:w="1081"/>
            <w:tcBorders/>
          </w:tcPr>
          <w:p>
            <w:pPr>
              <w:jc w:val="center"/>
            </w:pPr>
            <w:r>
              <w:rPr>
                <w:rFonts w:ascii="Times New Roman" w:hAnsi="Times New Roman" w:eastAsia="宋体"/>
                <w:sz w:val="21"/>
              </w:rPr>
              <w:t>河北</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18</w:t>
            </w:r>
          </w:p>
        </w:tc>
        <w:tc>
          <w:tcPr>
            <w:tcW w:type="dxa" w:w="1081"/>
            <w:tcBorders/>
          </w:tcPr>
          <w:p>
            <w:pPr>
              <w:jc w:val="center"/>
            </w:pPr>
            <w:r>
              <w:rPr>
                <w:rFonts w:ascii="Times New Roman" w:hAnsi="Times New Roman" w:eastAsia="宋体"/>
                <w:sz w:val="21"/>
              </w:rPr>
              <w:t>山西</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19</w:t>
            </w:r>
          </w:p>
        </w:tc>
        <w:tc>
          <w:tcPr>
            <w:tcW w:type="dxa" w:w="1081"/>
            <w:tcBorders/>
          </w:tcPr>
          <w:p>
            <w:pPr>
              <w:jc w:val="center"/>
            </w:pPr>
            <w:r>
              <w:rPr>
                <w:rFonts w:ascii="Times New Roman" w:hAnsi="Times New Roman" w:eastAsia="宋体"/>
                <w:sz w:val="21"/>
              </w:rPr>
              <w:t>辽宁</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20</w:t>
            </w:r>
          </w:p>
        </w:tc>
        <w:tc>
          <w:tcPr>
            <w:tcW w:type="dxa" w:w="1081"/>
            <w:tcBorders/>
          </w:tcPr>
          <w:p>
            <w:pPr>
              <w:jc w:val="center"/>
            </w:pPr>
            <w:r>
              <w:rPr>
                <w:rFonts w:ascii="Times New Roman" w:hAnsi="Times New Roman" w:eastAsia="宋体"/>
                <w:sz w:val="21"/>
              </w:rPr>
              <w:t>云南</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21</w:t>
            </w:r>
          </w:p>
        </w:tc>
        <w:tc>
          <w:tcPr>
            <w:tcW w:type="dxa" w:w="1081"/>
            <w:tcBorders/>
          </w:tcPr>
          <w:p>
            <w:pPr>
              <w:jc w:val="center"/>
            </w:pPr>
            <w:r>
              <w:rPr>
                <w:rFonts w:ascii="Times New Roman" w:hAnsi="Times New Roman" w:eastAsia="宋体"/>
                <w:sz w:val="21"/>
              </w:rPr>
              <w:t>广西</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22</w:t>
            </w:r>
          </w:p>
        </w:tc>
        <w:tc>
          <w:tcPr>
            <w:tcW w:type="dxa" w:w="1081"/>
            <w:tcBorders/>
          </w:tcPr>
          <w:p>
            <w:pPr>
              <w:jc w:val="center"/>
            </w:pPr>
            <w:r>
              <w:rPr>
                <w:rFonts w:ascii="Times New Roman" w:hAnsi="Times New Roman" w:eastAsia="宋体"/>
                <w:sz w:val="21"/>
              </w:rPr>
              <w:t>海南</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23</w:t>
            </w:r>
          </w:p>
        </w:tc>
        <w:tc>
          <w:tcPr>
            <w:tcW w:type="dxa" w:w="1081"/>
            <w:tcBorders/>
          </w:tcPr>
          <w:p>
            <w:pPr>
              <w:jc w:val="center"/>
            </w:pPr>
            <w:r>
              <w:rPr>
                <w:rFonts w:ascii="Times New Roman" w:hAnsi="Times New Roman" w:eastAsia="宋体"/>
                <w:sz w:val="21"/>
              </w:rPr>
              <w:t>陕西</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24</w:t>
            </w:r>
          </w:p>
        </w:tc>
        <w:tc>
          <w:tcPr>
            <w:tcW w:type="dxa" w:w="1081"/>
            <w:tcBorders/>
          </w:tcPr>
          <w:p>
            <w:pPr>
              <w:jc w:val="center"/>
            </w:pPr>
            <w:r>
              <w:rPr>
                <w:rFonts w:ascii="Times New Roman" w:hAnsi="Times New Roman" w:eastAsia="宋体"/>
                <w:sz w:val="21"/>
              </w:rPr>
              <w:t>黑龙江</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25</w:t>
            </w:r>
          </w:p>
        </w:tc>
        <w:tc>
          <w:tcPr>
            <w:tcW w:type="dxa" w:w="1081"/>
            <w:tcBorders/>
          </w:tcPr>
          <w:p>
            <w:pPr>
              <w:jc w:val="center"/>
            </w:pPr>
            <w:r>
              <w:rPr>
                <w:rFonts w:ascii="Times New Roman" w:hAnsi="Times New Roman" w:eastAsia="宋体"/>
                <w:sz w:val="21"/>
              </w:rPr>
              <w:t>吉林</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26</w:t>
            </w:r>
          </w:p>
        </w:tc>
        <w:tc>
          <w:tcPr>
            <w:tcW w:type="dxa" w:w="1081"/>
            <w:tcBorders/>
          </w:tcPr>
          <w:p>
            <w:pPr>
              <w:jc w:val="center"/>
            </w:pPr>
            <w:r>
              <w:rPr>
                <w:rFonts w:ascii="Times New Roman" w:hAnsi="Times New Roman" w:eastAsia="宋体"/>
                <w:sz w:val="21"/>
              </w:rPr>
              <w:t>新疆</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27</w:t>
            </w:r>
          </w:p>
        </w:tc>
        <w:tc>
          <w:tcPr>
            <w:tcW w:type="dxa" w:w="1081"/>
            <w:tcBorders/>
          </w:tcPr>
          <w:p>
            <w:pPr>
              <w:jc w:val="center"/>
            </w:pPr>
            <w:r>
              <w:rPr>
                <w:rFonts w:ascii="Times New Roman" w:hAnsi="Times New Roman" w:eastAsia="宋体"/>
                <w:sz w:val="21"/>
              </w:rPr>
              <w:t>宁夏</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0.334</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28</w:t>
            </w:r>
          </w:p>
        </w:tc>
        <w:tc>
          <w:tcPr>
            <w:tcW w:type="dxa" w:w="1081"/>
            <w:tcBorders/>
          </w:tcPr>
          <w:p>
            <w:pPr>
              <w:jc w:val="center"/>
            </w:pPr>
            <w:r>
              <w:rPr>
                <w:rFonts w:ascii="Times New Roman" w:hAnsi="Times New Roman" w:eastAsia="宋体"/>
                <w:sz w:val="21"/>
              </w:rPr>
              <w:t>青海</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0.334</w:t>
            </w:r>
          </w:p>
        </w:tc>
        <w:tc>
          <w:tcPr>
            <w:tcW w:type="dxa" w:w="1081"/>
            <w:tcBorders/>
          </w:tcPr>
          <w:p>
            <w:pPr>
              <w:jc w:val="center"/>
            </w:pPr>
            <w:r>
              <w:rPr>
                <w:rFonts w:ascii="Times New Roman" w:hAnsi="Times New Roman" w:eastAsia="宋体"/>
                <w:sz w:val="21"/>
              </w:rPr>
              <w:t>0.323</w:t>
            </w:r>
          </w:p>
        </w:tc>
        <w:tc>
          <w:tcPr>
            <w:tcW w:type="dxa" w:w="1081"/>
            <w:tcBorders/>
          </w:tcPr>
          <w:p>
            <w:pPr>
              <w:jc w:val="center"/>
            </w:pPr>
            <w:r>
              <w:rPr>
                <w:rFonts w:ascii="Times New Roman" w:hAnsi="Times New Roman" w:eastAsia="宋体"/>
                <w:sz w:val="21"/>
              </w:rPr>
              <w:t>困境型</w:t>
            </w:r>
          </w:p>
        </w:tc>
      </w:tr>
    </w:tbl>
    <w:p/>
    <w:p>
      <w:pPr>
        <w:spacing w:line="360" w:lineRule="auto" w:after="0" w:before="0"/>
        <w:ind w:firstLine="420"/>
      </w:pPr>
      <w:r>
        <w:rPr>
          <w:rFonts w:ascii="Times New Roman" w:hAnsi="Times New Roman" w:eastAsia="宋体"/>
          <w:color w:val="000000"/>
        </w:rPr>
        <w:t>数据来源：TOPSIS计算结果，2025年</w:t>
      </w:r>
    </w:p>
    <w:p>
      <w:pPr>
        <w:spacing w:line="360" w:lineRule="auto" w:after="0" w:before="0"/>
        <w:ind w:firstLine="420"/>
      </w:pPr>
      <w:r>
        <w:rPr>
          <w:rFonts w:ascii="Times New Roman" w:hAnsi="Times New Roman" w:eastAsia="宋体"/>
          <w:color w:val="000000"/>
        </w:rPr>
        <w:t>基于AHP-熵权组合赋权后的标准化数据，本研究运用TOPSIS方法计算了28个省级平台的综合绩效得分。图5-1展示了各平台的综合绩效排名。</w:t>
      </w:r>
    </w:p>
    <w:p>
      <w:pPr>
        <w:jc w:val="center"/>
      </w:pPr>
      <w:r>
        <w:drawing>
          <wp:inline xmlns:a="http://schemas.openxmlformats.org/drawingml/2006/main" xmlns:pic="http://schemas.openxmlformats.org/drawingml/2006/picture">
            <wp:extent cx="5029200" cy="2847628"/>
            <wp:docPr id="7" name="Picture 7"/>
            <wp:cNvGraphicFramePr>
              <a:graphicFrameLocks noChangeAspect="1"/>
            </wp:cNvGraphicFramePr>
            <a:graphic>
              <a:graphicData uri="http://schemas.openxmlformats.org/drawingml/2006/picture">
                <pic:pic>
                  <pic:nvPicPr>
                    <pic:cNvPr id="0" name="thesis_03_topsis_ranking.png"/>
                    <pic:cNvPicPr/>
                  </pic:nvPicPr>
                  <pic:blipFill>
                    <a:blip r:embed="rId15"/>
                    <a:stretch>
                      <a:fillRect/>
                    </a:stretch>
                  </pic:blipFill>
                  <pic:spPr>
                    <a:xfrm>
                      <a:off x="0" y="0"/>
                      <a:ext cx="5029200" cy="2847628"/>
                    </a:xfrm>
                    <a:prstGeom prst="rect"/>
                  </pic:spPr>
                </pic:pic>
              </a:graphicData>
            </a:graphic>
          </wp:inline>
        </w:drawing>
      </w:r>
    </w:p>
    <w:p>
      <w:pPr>
        <w:jc w:val="center"/>
      </w:pPr>
      <w:r>
        <w:rPr>
          <w:rFonts w:ascii="Times New Roman" w:hAnsi="Times New Roman" w:eastAsia="宋体"/>
          <w:color w:val="505050"/>
          <w:sz w:val="21"/>
        </w:rPr>
        <w:t>图5-1 省级平台综合绩效排名（TOPSIS）</w:t>
      </w:r>
    </w:p>
    <w:p>
      <w:pPr>
        <w:spacing w:line="360" w:lineRule="auto" w:after="0" w:before="0"/>
        <w:ind w:firstLine="420"/>
      </w:pPr>
      <w:r>
        <w:rPr>
          <w:rFonts w:ascii="Times New Roman" w:hAnsi="Times New Roman" w:eastAsia="宋体"/>
          <w:color w:val="000000"/>
        </w:rPr>
        <w:t>图5-1 省级平台综合绩效排名（TOPSIS）</w:t>
      </w:r>
    </w:p>
    <w:p>
      <w:pPr>
        <w:spacing w:line="360" w:lineRule="auto" w:after="0" w:before="0"/>
        <w:ind w:firstLine="420"/>
      </w:pPr>
      <w:r>
        <w:rPr>
          <w:rFonts w:ascii="Times New Roman" w:hAnsi="Times New Roman" w:eastAsia="宋体"/>
          <w:color w:val="000000"/>
        </w:rPr>
        <w:t>数据来源：TOPSIS计算结果，2025年</w:t>
      </w:r>
    </w:p>
    <w:p>
      <w:pPr>
        <w:spacing w:line="360" w:lineRule="auto" w:after="0" w:before="0"/>
        <w:ind w:firstLine="420"/>
      </w:pPr>
      <w:r>
        <w:rPr>
          <w:rFonts w:ascii="Times New Roman" w:hAnsi="Times New Roman" w:eastAsia="宋体"/>
          <w:color w:val="000000"/>
        </w:rPr>
        <w:t>图5-1的绩效排名揭示了我国省级数据开放平台绩效的显著分层。浙江（C=0.823）、广东（C=0.791）、上海（C=0.756）和北京（C=0.734）构成第一梯队，综合绩效显著领先；山东（C=0.612）、江苏（C=0.598）、福建（C=0.587）和四川（C=0.576）构成第二梯队；其余20个省份构成第三梯队，绩效得分普遍低于0.500。</w:t>
      </w:r>
    </w:p>
    <w:p>
      <w:pPr>
        <w:spacing w:line="360" w:lineRule="auto" w:after="0" w:before="0"/>
        <w:ind w:firstLine="420"/>
      </w:pPr>
      <w:r>
        <w:rPr>
          <w:rFonts w:ascii="Times New Roman" w:hAnsi="Times New Roman" w:eastAsia="宋体"/>
          <w:color w:val="000000"/>
        </w:rPr>
        <w:t>第六章 影响因素与组态分析。 报告DEMATEL因素关联分析结果（中心度、原因度、因果关系图）和fsQCA组态分析结果（高绩效路径、低绩效路径、稳健性检验），进行多方法三角验证和结果讨论。</w:t>
      </w:r>
    </w:p>
    <w:p>
      <w:pPr>
        <w:spacing w:line="360" w:lineRule="auto" w:after="0" w:before="0"/>
        <w:ind w:firstLine="420"/>
      </w:pPr>
      <w:r>
        <w:rPr>
          <w:rFonts w:ascii="Times New Roman" w:hAnsi="Times New Roman" w:eastAsia="宋体"/>
          <w:color w:val="000000"/>
        </w:rPr>
        <w:t>第七章 问题诊断与对策建议。 基于实证结果诊断全国性短板、区域性问题、结构性问题和制度性问题，结合fsQCA三条高绩效路径设计差异化对策，提出共性对策和分类施策的实施建议。</w:t>
      </w:r>
    </w:p>
    <w:p>
      <w:pPr>
        <w:spacing w:line="360" w:lineRule="auto" w:after="0" w:before="0"/>
        <w:ind w:firstLine="420"/>
      </w:pPr>
      <w:r>
        <w:rPr>
          <w:rFonts w:ascii="Times New Roman" w:hAnsi="Times New Roman" w:eastAsia="宋体"/>
          <w:color w:val="000000"/>
        </w:rPr>
        <w:t>第八章 结论与展望。 总结主要结论、理论贡献、实践启示，讨论研究局限，展望未来研究方向。</w:t>
      </w:r>
    </w:p>
    <w:p>
      <w:pPr>
        <w:spacing w:line="360" w:lineRule="auto" w:after="0" w:before="0"/>
        <w:ind w:firstLine="420"/>
      </w:pPr>
      <w:r>
        <w:rPr>
          <w:rFonts w:ascii="Times New Roman" w:hAnsi="Times New Roman" w:eastAsia="宋体"/>
          <w:color w:val="000000"/>
        </w:rPr>
        <w:t>论文的结构逻辑遵循"问题提出→理论构建→实证检验→问题诊断→对策建议"的研究范式，各章之间形成递进式的论证链条，确保研究的系统性和完整性。</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8"/>
        </w:rPr>
        <w:t>第一章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1.1.2 我国政府数据开放的平台建设成就与利用困境</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"截至2025年3月，全国已建成超过200个地方政府数据开放平台，覆盖28个建有独立平台的省级行政区"</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"截至2026年4月，全国31个省级行政区中，22个建有独立的数据开放平台并正常运行，3个平台处于维护或转型状态，8个无独立平台但通过政务服务网等替代形式进行数据开放。"</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"对我国28个建有独立数据开放平台的省级行政区进行分析"</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"本研究对22个建有独立平台且能获取有效数据的省级行政区进行系统分析"</w:t>
      </w:r>
    </w:p>
    <w:p>
      <w:pPr>
        <w:spacing w:line="360" w:lineRule="auto" w:after="0" w:before="0"/>
        <w:ind w:firstLine="420"/>
      </w:pPr>
      <w:r>
        <w:rPr>
          <w:rFonts w:ascii="Times New Roman" w:hAnsi="Times New Roman" w:eastAsia="黑体"/>
          <w:b/>
          <w:color w:val="000000"/>
          <w:sz w:val="24"/>
        </w:rPr>
        <w:t>1.1.3 "数据口径幻觉"</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"本研究对28个省级平台的实地调研发现"</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"本研究对22个有效样本平台的实地调研发现"</w:t>
      </w:r>
    </w:p>
    <w:p>
      <w:pPr>
        <w:spacing w:line="360" w:lineRule="auto" w:after="0" w:before="0"/>
        <w:ind w:firstLine="420"/>
      </w:pPr>
      <w:r>
        <w:rPr>
          <w:rFonts w:ascii="Times New Roman" w:hAnsi="Times New Roman" w:eastAsia="宋体"/>
          <w:color w:val="000000"/>
        </w:rPr>
        <w:t>新增数据：</w:t>
      </w:r>
    </w:p>
    <w:p>
      <w:pPr>
        <w:spacing w:line="360" w:lineRule="auto" w:after="0" w:before="0"/>
        <w:ind w:firstLine="420"/>
      </w:pPr>
      <w:r>
        <w:rPr>
          <w:rFonts w:ascii="Times New Roman" w:hAnsi="Times New Roman" w:eastAsia="宋体"/>
          <w:color w:val="000000"/>
        </w:rPr>
        <w:t>"22个平台的标准化数据集数量均值为12,441个，中位数2,706个，变异系数高达1.79，呈现出显著的幂律分布特征。"</w:t>
      </w:r>
    </w:p>
    <w:p>
      <w:pPr>
        <w:spacing w:line="360" w:lineRule="auto" w:after="0" w:before="0"/>
        <w:ind w:firstLine="420"/>
      </w:pPr>
      <w:r>
        <w:rPr>
          <w:rFonts w:ascii="Times New Roman" w:hAnsi="Times New Roman" w:eastAsia="黑体"/>
          <w:b/>
          <w:color w:val="000000"/>
          <w:sz w:val="24"/>
        </w:rPr>
        <w:t>1.1.4 研究问题</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"我国28个省级平台的数据利用绩效存在显著差异"</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"我国22个有效样本平台的数据利用绩效存在显著差异"</w:t>
      </w:r>
    </w:p>
    <w:p>
      <w:pPr>
        <w:spacing w:line="360" w:lineRule="auto" w:after="0" w:before="0"/>
      </w:pPr>
      <w:r>
        <w:rPr>
          <w:rFonts w:ascii="Times New Roman" w:hAnsi="Times New Roman" w:eastAsia="黑体"/>
          <w:b/>
          <w:color w:val="000000"/>
          <w:sz w:val="24"/>
        </w:rPr>
        <w:t>新增内容建议</w:t>
      </w:r>
    </w:p>
    <w:p>
      <w:pPr>
        <w:spacing w:line="360" w:lineRule="auto" w:after="0" w:before="0"/>
        <w:ind w:firstLine="420"/>
      </w:pPr>
      <w:r>
        <w:rPr>
          <w:rFonts w:ascii="Times New Roman" w:hAnsi="Times New Roman" w:eastAsia="黑体"/>
          <w:b/>
          <w:color w:val="000000"/>
          <w:sz w:val="24"/>
        </w:rPr>
        <w:t>1.1.5 研究样本说明（新增小节）</w:t>
      </w:r>
    </w:p>
    <w:p>
      <w:pPr>
        <w:spacing w:line="360" w:lineRule="auto" w:after="0" w:before="0"/>
        <w:ind w:firstLine="420"/>
      </w:pPr>
      <w:r>
        <w:rPr>
          <w:rFonts w:ascii="Times New Roman" w:hAnsi="Times New Roman" w:eastAsia="宋体"/>
          <w:color w:val="000000"/>
        </w:rPr>
        <w:t>建议新增一小节说明样本选择过程：</w:t>
      </w:r>
    </w:p>
    <w:p>
      <w:pPr>
        <w:spacing w:line="360" w:lineRule="auto" w:after="0" w:before="0"/>
        <w:ind w:firstLine="420"/>
      </w:pPr>
      <w:r>
        <w:rPr>
          <w:rFonts w:ascii="Times New Roman" w:hAnsi="Times New Roman" w:eastAsia="宋体"/>
          <w:color w:val="000000"/>
        </w:rPr>
        <w:t>"本研究以全国31个省级行政区为研究对象，通过自主开发的OGD-Collector 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第理论基础与文献综述</w:t>
      </w:r>
    </w:p>
    <w:p>
      <w:pPr>
        <w:spacing w:line="360" w:lineRule="auto" w:after="0" w:before="0"/>
      </w:pPr>
      <w:r>
        <w:rPr>
          <w:rFonts w:ascii="Times New Roman" w:hAnsi="Times New Roman" w:eastAsia="黑体"/>
          <w:b/>
          <w:color w:val="000000"/>
          <w:sz w:val="24"/>
        </w:rPr>
        <w:t>2.1 政府数据开放的概念界定与演进</w:t>
      </w:r>
    </w:p>
    <w:p>
      <w:pPr>
        <w:spacing w:line="360" w:lineRule="auto" w:after="0" w:before="0"/>
        <w:ind w:firstLine="420"/>
      </w:pPr>
      <w:r>
        <w:rPr>
          <w:rFonts w:ascii="Times New Roman" w:hAnsi="Times New Roman" w:eastAsia="黑体"/>
          <w:b/>
          <w:color w:val="000000"/>
          <w:sz w:val="24"/>
        </w:rPr>
        <w:t>2.1.1 政府数据开放的概念内涵</w:t>
      </w:r>
    </w:p>
    <w:p>
      <w:pPr>
        <w:spacing w:line="360" w:lineRule="auto" w:after="0" w:before="0"/>
        <w:ind w:firstLine="420"/>
      </w:pPr>
      <w:r>
        <w:rPr>
          <w:rFonts w:ascii="Times New Roman" w:hAnsi="Times New Roman" w:eastAsia="宋体"/>
          <w:color w:val="000000"/>
        </w:rP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spacing w:line="360" w:lineRule="auto" w:after="0" w:before="0"/>
        <w:ind w:firstLine="420"/>
      </w:pPr>
      <w:r>
        <w:rPr>
          <w:rFonts w:ascii="Times New Roman" w:hAnsi="Times New Roman" w:eastAsia="宋体"/>
          <w:color w:val="000000"/>
        </w:rP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spacing w:line="360" w:lineRule="auto" w:after="0" w:before="0"/>
        <w:ind w:firstLine="420"/>
      </w:pPr>
      <w:r>
        <w:rPr>
          <w:rFonts w:ascii="Times New Roman" w:hAnsi="Times New Roman" w:eastAsia="宋体"/>
          <w:color w:val="000000"/>
        </w:rPr>
        <w:t>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spacing w:line="360" w:lineRule="auto" w:after="0" w:before="0"/>
        <w:ind w:firstLine="420"/>
      </w:pPr>
      <w:r>
        <w:rPr>
          <w:rFonts w:ascii="Times New Roman" w:hAnsi="Times New Roman" w:eastAsia="宋体"/>
          <w:color w:val="000000"/>
        </w:rPr>
        <w:t>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spacing w:line="360" w:lineRule="auto" w:after="0" w:before="0"/>
        <w:ind w:firstLine="420"/>
      </w:pPr>
      <w:r>
        <w:rPr>
          <w:rFonts w:ascii="Times New Roman" w:hAnsi="Times New Roman" w:eastAsia="宋体"/>
          <w:color w:val="000000"/>
        </w:rPr>
        <w:t>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spacing w:line="360" w:lineRule="auto" w:after="0" w:before="0"/>
        <w:ind w:firstLine="420"/>
      </w:pPr>
      <w:r>
        <w:rPr>
          <w:rFonts w:ascii="Times New Roman" w:hAnsi="Times New Roman" w:eastAsia="宋体"/>
          <w:color w:val="000000"/>
        </w:rPr>
        <w:t>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spacing w:line="360" w:lineRule="auto" w:after="0" w:before="0"/>
        <w:ind w:firstLine="420"/>
      </w:pPr>
      <w:r>
        <w:rPr>
          <w:rFonts w:ascii="Times New Roman" w:hAnsi="Times New Roman" w:eastAsia="宋体"/>
          <w:color w:val="000000"/>
        </w:rPr>
        <w:t>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spacing w:line="360" w:lineRule="auto" w:after="0" w:before="0"/>
        <w:ind w:firstLine="420"/>
      </w:pPr>
      <w:r>
        <w:rPr>
          <w:rFonts w:ascii="Times New Roman" w:hAnsi="Times New Roman" w:eastAsia="宋体"/>
          <w:color w:val="000000"/>
        </w:rP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spacing w:line="360" w:lineRule="auto" w:after="0" w:before="0"/>
        <w:ind w:firstLine="420"/>
      </w:pPr>
      <w:r>
        <w:rPr>
          <w:rFonts w:ascii="Times New Roman" w:hAnsi="Times New Roman" w:eastAsia="黑体"/>
          <w:b/>
          <w:color w:val="000000"/>
          <w:sz w:val="24"/>
        </w:rPr>
        <w:t>2.1.2 政府数据开放的核心原则</w:t>
      </w:r>
    </w:p>
    <w:p>
      <w:pPr>
        <w:spacing w:line="360" w:lineRule="auto" w:after="0" w:before="0"/>
        <w:ind w:firstLine="420"/>
      </w:pPr>
      <w:r>
        <w:rPr>
          <w:rFonts w:ascii="Times New Roman" w:hAnsi="Times New Roman" w:eastAsia="宋体"/>
          <w:color w:val="000000"/>
        </w:rPr>
        <w:t>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spacing w:line="360" w:lineRule="auto" w:after="0" w:before="0"/>
        <w:ind w:firstLine="420"/>
      </w:pPr>
      <w:r>
        <w:rPr>
          <w:rFonts w:ascii="Times New Roman" w:hAnsi="Times New Roman" w:eastAsia="宋体"/>
          <w:color w:val="000000"/>
        </w:rPr>
        <w:t>开放数据八原则。 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spacing w:line="360" w:lineRule="auto" w:after="0" w:before="0"/>
        <w:ind w:firstLine="420"/>
      </w:pPr>
      <w:r>
        <w:rPr>
          <w:rFonts w:ascii="Times New Roman" w:hAnsi="Times New Roman" w:eastAsia="宋体"/>
          <w:color w:val="000000"/>
        </w:rPr>
        <w:t>Open Data Charter六原则。 2015年，G7国家签署了《开放数据宪章》（Open Data 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 Data Charter更强调数据开放的治理目标和社会价值，将开放数据从"技术运动"提升为"治理运动"。</w:t>
      </w:r>
    </w:p>
    <w:p>
      <w:pPr>
        <w:spacing w:line="360" w:lineRule="auto" w:after="0" w:before="0"/>
        <w:ind w:firstLine="420"/>
      </w:pPr>
      <w:r>
        <w:rPr>
          <w:rFonts w:ascii="Times New Roman" w:hAnsi="Times New Roman" w:eastAsia="宋体"/>
          <w:color w:val="000000"/>
        </w:rPr>
        <w:t>FAIR原则。 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可发现"原则要求每个数据集都应有标题、描述、关键词、发布机构、更新日期等元数据字段——这些字段的完整性直接决定了用户能否在海量数据中找到所需数据。</w:t>
      </w:r>
    </w:p>
    <w:p>
      <w:pPr>
        <w:spacing w:line="360" w:lineRule="auto" w:after="0" w:before="0"/>
        <w:ind w:firstLine="420"/>
      </w:pPr>
      <w:r>
        <w:rPr>
          <w:rFonts w:ascii="Times New Roman" w:hAnsi="Times New Roman" w:eastAsia="宋体"/>
          <w:color w:val="000000"/>
        </w:rPr>
        <w:t>开放数据许可原则。 数据开放许可决定了用户能否以及如何在法律框架下使用开放数据。开放数据许可应遵循"最小限制"原则——许可条款应尽可能少地限制数据的使用、修改和再分发。国际主流的开放数据许可协议包括Creative Commons（CC）系列许可、Open Data Commons（ODC）系列许可和各国政府制定的自定义许可。CC0（公共领域 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p>
      <w:pPr>
        <w:spacing w:line="360" w:lineRule="auto" w:after="0" w:before="0"/>
        <w:ind w:firstLine="420"/>
      </w:pPr>
      <w:r>
        <w:rPr>
          <w:rFonts w:ascii="Times New Roman" w:hAnsi="Times New Roman" w:eastAsia="黑体"/>
          <w:b/>
          <w:color w:val="000000"/>
          <w:sz w:val="24"/>
        </w:rPr>
        <w:t>2.1.3 政府数据开放与相关概念的区分</w:t>
      </w:r>
    </w:p>
    <w:p>
      <w:pPr>
        <w:spacing w:line="360" w:lineRule="auto" w:after="0" w:before="0"/>
        <w:ind w:firstLine="420"/>
      </w:pPr>
      <w:r>
        <w:rPr>
          <w:rFonts w:ascii="Times New Roman" w:hAnsi="Times New Roman" w:eastAsia="宋体"/>
          <w:color w:val="000000"/>
        </w:rPr>
        <w:t>在数据治理的语境中，政府数据开放与数据共享、数据授权运营等概念存在密切关联但又各有侧重，厘清这些概念的边界对于本研究评估框架的设计至关重要。</w:t>
      </w:r>
    </w:p>
    <w:p>
      <w:pPr>
        <w:spacing w:line="360" w:lineRule="auto" w:after="0" w:before="0"/>
        <w:ind w:firstLine="420"/>
      </w:pPr>
      <w:r>
        <w:rPr>
          <w:rFonts w:ascii="Times New Roman" w:hAnsi="Times New Roman" w:eastAsia="宋体"/>
          <w:color w:val="000000"/>
        </w:rPr>
        <w:t>政府数据开放 vs 数据共享。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spacing w:line="360" w:lineRule="auto" w:after="0" w:before="0"/>
        <w:ind w:firstLine="420"/>
      </w:pPr>
      <w:r>
        <w:rPr>
          <w:rFonts w:ascii="Times New Roman" w:hAnsi="Times New Roman" w:eastAsia="宋体"/>
          <w:color w:val="000000"/>
        </w:rPr>
        <w:t>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spacing w:line="360" w:lineRule="auto" w:after="0" w:before="0"/>
        <w:ind w:firstLine="420"/>
      </w:pPr>
      <w:r>
        <w:rPr>
          <w:rFonts w:ascii="Times New Roman" w:hAnsi="Times New Roman" w:eastAsia="宋体"/>
          <w:color w:val="000000"/>
        </w:rPr>
        <w:t>政府数据开放 vs 数据授权运营。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spacing w:line="360" w:lineRule="auto" w:after="0" w:before="0"/>
        <w:ind w:firstLine="420"/>
      </w:pPr>
      <w:r>
        <w:rPr>
          <w:rFonts w:ascii="Times New Roman" w:hAnsi="Times New Roman" w:eastAsia="宋体"/>
          <w:color w:val="000000"/>
        </w:rPr>
        <w:t>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spacing w:line="360" w:lineRule="auto" w:after="0" w:before="0"/>
        <w:ind w:firstLine="420"/>
      </w:pPr>
      <w:r>
        <w:rPr>
          <w:rFonts w:ascii="Times New Roman" w:hAnsi="Times New Roman" w:eastAsia="宋体"/>
          <w:color w:val="000000"/>
        </w:rPr>
        <w:t>政府数据开放 vs 开放科学数据。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spacing w:line="360" w:lineRule="auto" w:after="0" w:before="0"/>
        <w:ind w:firstLine="420"/>
      </w:pPr>
      <w:r>
        <w:rPr>
          <w:rFonts w:ascii="Times New Roman" w:hAnsi="Times New Roman" w:eastAsia="宋体"/>
          <w:color w:val="000000"/>
        </w:rPr>
        <w:t>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spacing w:line="360" w:lineRule="auto" w:after="0" w:before="0"/>
        <w:ind w:firstLine="420"/>
      </w:pPr>
      <w:r>
        <w:rPr>
          <w:rFonts w:ascii="Times New Roman" w:hAnsi="Times New Roman" w:eastAsia="宋体"/>
          <w:color w:val="000000"/>
        </w:rPr>
        <w:t>政府数据开放 vs 大数据与人工智能。 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spacing w:line="360" w:lineRule="auto" w:after="0" w:before="0"/>
        <w:ind w:firstLine="420"/>
      </w:pPr>
      <w:r>
        <w:rPr>
          <w:rFonts w:ascii="Times New Roman" w:hAnsi="Times New Roman" w:eastAsia="宋体"/>
          <w:color w:val="000000"/>
        </w:rPr>
        <w:t>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垃圾进垃圾出"（Garbage In, Garbage 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p>
      <w:pPr>
        <w:spacing w:line="360" w:lineRule="auto" w:after="0" w:before="0"/>
        <w:ind w:firstLine="420"/>
      </w:pPr>
      <w:r>
        <w:rPr>
          <w:rFonts w:ascii="Times New Roman" w:hAnsi="Times New Roman" w:eastAsia="黑体"/>
          <w:b/>
          <w:color w:val="000000"/>
          <w:sz w:val="24"/>
        </w:rPr>
        <w:t>2.1.4 政府数据开放的发展阶段</w:t>
      </w:r>
    </w:p>
    <w:p>
      <w:pPr>
        <w:spacing w:line="360" w:lineRule="auto" w:after="0" w:before="0"/>
        <w:ind w:firstLine="420"/>
      </w:pPr>
      <w:r>
        <w:rPr>
          <w:rFonts w:ascii="Times New Roman" w:hAnsi="Times New Roman" w:eastAsia="宋体"/>
          <w:color w:val="000000"/>
        </w:rPr>
        <w:t>从全球视野看，政府数据开放的发展经历了三个阶段的演进，每个阶段对应不同的技术基础、制度环境和理论关切。</w:t>
      </w:r>
    </w:p>
    <w:p>
      <w:pPr>
        <w:spacing w:line="360" w:lineRule="auto" w:after="0" w:before="0"/>
        <w:ind w:firstLine="420"/>
      </w:pPr>
      <w:r>
        <w:rPr>
          <w:rFonts w:ascii="Times New Roman" w:hAnsi="Times New Roman" w:eastAsia="宋体"/>
          <w:color w:val="000000"/>
        </w:rPr>
        <w:t>第一阶段：技术驱动期（2009-2013）。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spacing w:line="360" w:lineRule="auto" w:after="0" w:before="0"/>
        <w:ind w:firstLine="420"/>
      </w:pPr>
      <w:r>
        <w:rPr>
          <w:rFonts w:ascii="Times New Roman" w:hAnsi="Times New Roman" w:eastAsia="宋体"/>
          <w:color w:val="000000"/>
        </w:rPr>
        <w:t>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spacing w:line="360" w:lineRule="auto" w:after="0" w:before="0"/>
        <w:ind w:firstLine="420"/>
      </w:pPr>
      <w:r>
        <w:rPr>
          <w:rFonts w:ascii="Times New Roman" w:hAnsi="Times New Roman" w:eastAsia="宋体"/>
          <w:color w:val="000000"/>
        </w:rPr>
        <w:t>第二阶段：制度规范期（2014-2018）。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spacing w:line="360" w:lineRule="auto" w:after="0" w:before="0"/>
        <w:ind w:firstLine="420"/>
      </w:pPr>
      <w:r>
        <w:rPr>
          <w:rFonts w:ascii="Times New Roman" w:hAnsi="Times New Roman" w:eastAsia="宋体"/>
          <w:color w:val="000000"/>
        </w:rPr>
        <w:t>在这一阶段，"开放数据标准"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spacing w:line="360" w:lineRule="auto" w:after="0" w:before="0"/>
        <w:ind w:firstLine="420"/>
      </w:pPr>
      <w:r>
        <w:rPr>
          <w:rFonts w:ascii="Times New Roman" w:hAnsi="Times New Roman" w:eastAsia="宋体"/>
          <w:color w:val="000000"/>
        </w:rPr>
        <w:t>第三阶段：效果导向期（2019至今）。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spacing w:line="360" w:lineRule="auto" w:after="0" w:before="0"/>
        <w:ind w:firstLine="420"/>
      </w:pPr>
      <w:r>
        <w:rPr>
          <w:rFonts w:ascii="Times New Roman" w:hAnsi="Times New Roman" w:eastAsia="宋体"/>
          <w:color w:val="000000"/>
        </w:rPr>
        <w:t>在这一阶段，"数据价值评估"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after="0" w:before="0"/>
        <w:ind w:firstLine="420"/>
      </w:pPr>
      <w:r>
        <w:rPr>
          <w:rFonts w:ascii="Times New Roman" w:hAnsi="Times New Roman" w:eastAsia="宋体"/>
          <w:color w:val="000000"/>
        </w:rP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spacing w:line="360" w:lineRule="auto" w:after="0" w:before="0"/>
        <w:ind w:firstLine="420"/>
      </w:pPr>
      <w:r>
        <w:rPr>
          <w:rFonts w:ascii="Times New Roman" w:hAnsi="Times New Roman" w:eastAsia="宋体"/>
          <w:color w:val="000000"/>
        </w:rPr>
        <w:t>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p>
      <w:pPr>
        <w:spacing w:line="360" w:lineRule="auto" w:after="0" w:before="0"/>
      </w:pPr>
      <w:r>
        <w:rPr>
          <w:rFonts w:ascii="Times New Roman" w:hAnsi="Times New Roman" w:eastAsia="黑体"/>
          <w:b/>
          <w:color w:val="000000"/>
          <w:sz w:val="24"/>
        </w:rPr>
        <w:t>2.2 政府数据开放评估研究</w:t>
      </w:r>
    </w:p>
    <w:p>
      <w:pPr>
        <w:spacing w:line="360" w:lineRule="auto" w:after="0" w:before="0"/>
        <w:ind w:firstLine="420"/>
      </w:pPr>
      <w:r>
        <w:rPr>
          <w:rFonts w:ascii="Times New Roman" w:hAnsi="Times New Roman" w:eastAsia="黑体"/>
          <w:b/>
          <w:color w:val="000000"/>
          <w:sz w:val="24"/>
        </w:rPr>
        <w:t>2.2.1 国际评估工具综述</w:t>
      </w:r>
    </w:p>
    <w:p>
      <w:pPr>
        <w:spacing w:line="360" w:lineRule="auto" w:after="0" w:before="0"/>
        <w:ind w:firstLine="420"/>
      </w:pPr>
      <w:r>
        <w:rPr>
          <w:rFonts w:ascii="Times New Roman" w:hAnsi="Times New Roman" w:eastAsia="宋体"/>
          <w:color w:val="000000"/>
        </w:rPr>
        <w:t>政府数据开放评估研究是国际学术界和政策界关注的热点领域，形成了较为成熟的评估工具体系。根据评估维度、方法论和适用范围的不同，现有评估工具可以分为以下几类。</w:t>
      </w:r>
    </w:p>
    <w:p>
      <w:pPr>
        <w:spacing w:line="360" w:lineRule="auto" w:after="0" w:before="0"/>
        <w:ind w:firstLine="420"/>
      </w:pPr>
      <w:r>
        <w:rPr>
          <w:rFonts w:ascii="Times New Roman" w:hAnsi="Times New Roman" w:eastAsia="宋体"/>
          <w:color w:val="000000"/>
        </w:rPr>
        <w:t>Open Data Barometer（ODB）。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实施度"维度考察政府实际开放了多少关键数据集，评估的15个关键数据集包括政府预算、立法信息、环境污染、选举结果、土地所有权等。"影响力"维度考察数据开放是否产生了社会经济影响，通过专家问卷评估数据开放在政府问责、公共服务、经济增长、社会包容等方面的影响。</w:t>
      </w:r>
    </w:p>
    <w:p>
      <w:pPr>
        <w:spacing w:line="360" w:lineRule="auto" w:after="0" w:before="0"/>
        <w:ind w:firstLine="420"/>
      </w:pPr>
      <w:r>
        <w:rPr>
          <w:rFonts w:ascii="Times New Roman" w:hAnsi="Times New Roman" w:eastAsia="宋体"/>
          <w:color w:val="000000"/>
        </w:rPr>
        <w:t>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spacing w:line="360" w:lineRule="auto" w:after="0" w:before="0"/>
        <w:ind w:firstLine="420"/>
      </w:pPr>
      <w:r>
        <w:rPr>
          <w:rFonts w:ascii="Times New Roman" w:hAnsi="Times New Roman" w:eastAsia="宋体"/>
          <w:color w:val="000000"/>
        </w:rPr>
        <w:t>Open Data Index（ODI）。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spacing w:line="360" w:lineRule="auto" w:after="0" w:before="0"/>
        <w:ind w:firstLine="420"/>
      </w:pPr>
      <w:r>
        <w:rPr>
          <w:rFonts w:ascii="Times New Roman" w:hAnsi="Times New Roman" w:eastAsia="宋体"/>
          <w:color w:val="000000"/>
        </w:rPr>
        <w:t>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spacing w:line="360" w:lineRule="auto" w:after="0" w:before="0"/>
        <w:ind w:firstLine="420"/>
      </w:pPr>
      <w:r>
        <w:rPr>
          <w:rFonts w:ascii="Times New Roman" w:hAnsi="Times New Roman" w:eastAsia="宋体"/>
          <w:color w:val="000000"/>
        </w:rPr>
        <w:t>Global Open Data Index（GODI）。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spacing w:line="360" w:lineRule="auto" w:after="0" w:before="0"/>
        <w:ind w:firstLine="420"/>
      </w:pPr>
      <w:r>
        <w:rPr>
          <w:rFonts w:ascii="Times New Roman" w:hAnsi="Times New Roman" w:eastAsia="宋体"/>
          <w:color w:val="000000"/>
        </w:rPr>
        <w:t>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spacing w:line="360" w:lineRule="auto" w:after="0" w:before="0"/>
        <w:ind w:firstLine="420"/>
      </w:pPr>
      <w:r>
        <w:rPr>
          <w:rFonts w:ascii="Times New Roman" w:hAnsi="Times New Roman" w:eastAsia="宋体"/>
          <w:color w:val="000000"/>
        </w:rPr>
        <w:t>Open Data Maturity（ODM）。 ODM由European 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spacing w:line="360" w:lineRule="auto" w:after="0" w:before="0"/>
        <w:ind w:firstLine="420"/>
      </w:pPr>
      <w:r>
        <w:rPr>
          <w:rFonts w:ascii="Times New Roman" w:hAnsi="Times New Roman" w:eastAsia="宋体"/>
          <w:color w:val="000000"/>
        </w:rPr>
        <w:t>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spacing w:line="360" w:lineRule="auto" w:after="0" w:before="0"/>
        <w:ind w:firstLine="420"/>
      </w:pPr>
      <w:r>
        <w:rPr>
          <w:rFonts w:ascii="Times New Roman" w:hAnsi="Times New Roman" w:eastAsia="宋体"/>
          <w:color w:val="000000"/>
        </w:rPr>
        <w:t>其他国际评估工具。 除上述主要工具外，国际学术界还开发了多种评估工具。Our Data Index由GovLab开发，从数据可用性、数据质量和数据利用三个维度评估城市级数据开放平台，重点关注数据开放对城市治理创新的贡献。Open Data Monitor由欧盟资助开发，采用自动化爬虫技术持续监测欧盟各国的数据开放平台，提供实时的平台性能指标（如数据集数量、更新频率、API可用性等）。Open Data Impact Map由Center for Open Data 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p>
      <w:pPr>
        <w:spacing w:line="360" w:lineRule="auto" w:after="0" w:before="0"/>
        <w:ind w:firstLine="420"/>
      </w:pPr>
      <w:r>
        <w:rPr>
          <w:rFonts w:ascii="Times New Roman" w:hAnsi="Times New Roman" w:eastAsia="黑体"/>
          <w:b/>
          <w:color w:val="000000"/>
          <w:sz w:val="24"/>
        </w:rPr>
        <w:t>2.2.2 国内评估工具综述</w:t>
      </w:r>
    </w:p>
    <w:p>
      <w:pPr>
        <w:spacing w:line="360" w:lineRule="auto" w:after="0" w:before="0"/>
        <w:ind w:firstLine="420"/>
      </w:pPr>
      <w:r>
        <w:rPr>
          <w:rFonts w:ascii="Times New Roman" w:hAnsi="Times New Roman" w:eastAsia="宋体"/>
          <w:color w:val="000000"/>
        </w:rPr>
        <w:t>在国内，政府数据开放评估研究起步较晚但发展迅速，形成了多种评估工具和指标体系。</w:t>
      </w:r>
    </w:p>
    <w:p>
      <w:pPr>
        <w:spacing w:line="360" w:lineRule="auto" w:after="0" w:before="0"/>
        <w:ind w:firstLine="420"/>
      </w:pPr>
      <w:r>
        <w:rPr>
          <w:rFonts w:ascii="Times New Roman" w:hAnsi="Times New Roman" w:eastAsia="宋体"/>
          <w:color w:val="000000"/>
        </w:rPr>
        <w:t>中国开放数林指数。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spacing w:line="360" w:lineRule="auto" w:after="0" w:before="0"/>
        <w:ind w:firstLine="420"/>
      </w:pPr>
      <w:r>
        <w:rPr>
          <w:rFonts w:ascii="Times New Roman" w:hAnsi="Times New Roman" w:eastAsia="宋体"/>
          <w:color w:val="000000"/>
        </w:rPr>
        <w:t>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spacing w:line="360" w:lineRule="auto" w:after="0" w:before="0"/>
        <w:ind w:firstLine="420"/>
      </w:pPr>
      <w:r>
        <w:rPr>
          <w:rFonts w:ascii="Times New Roman" w:hAnsi="Times New Roman" w:eastAsia="宋体"/>
          <w:color w:val="000000"/>
        </w:rP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spacing w:line="360" w:lineRule="auto" w:after="0" w:before="0"/>
        <w:ind w:firstLine="420"/>
      </w:pPr>
      <w:r>
        <w:rPr>
          <w:rFonts w:ascii="Times New Roman" w:hAnsi="Times New Roman" w:eastAsia="宋体"/>
          <w:color w:val="000000"/>
        </w:rPr>
        <w:t>其他国内评估工具。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spacing w:line="360" w:lineRule="auto" w:after="0" w:before="0"/>
        <w:ind w:firstLine="420"/>
      </w:pPr>
      <w:r>
        <w:rPr>
          <w:rFonts w:ascii="Times New Roman" w:hAnsi="Times New Roman" w:eastAsia="宋体"/>
          <w:color w:val="000000"/>
        </w:rPr>
        <w:t>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p>
      <w:pPr>
        <w:spacing w:line="360" w:lineRule="auto" w:after="0" w:before="0"/>
        <w:ind w:firstLine="420"/>
      </w:pPr>
      <w:r>
        <w:rPr>
          <w:rFonts w:ascii="Times New Roman" w:hAnsi="Times New Roman" w:eastAsia="黑体"/>
          <w:b/>
          <w:color w:val="000000"/>
          <w:sz w:val="24"/>
        </w:rPr>
        <w:t>2.2.3 评估方法论研究</w:t>
      </w:r>
    </w:p>
    <w:p>
      <w:pPr>
        <w:spacing w:line="360" w:lineRule="auto" w:after="0" w:before="0"/>
        <w:ind w:firstLine="420"/>
      </w:pPr>
      <w:r>
        <w:rPr>
          <w:rFonts w:ascii="Times New Roman" w:hAnsi="Times New Roman" w:eastAsia="宋体"/>
          <w:color w:val="000000"/>
        </w:rPr>
        <w:t>评估方法论是评估研究的"元问题"——采用何种方法论决定了评估结果的性质、可靠性和解释力。在政府数据开放评估领域，方法论研究主要围绕以下几个核心争论展开。</w:t>
      </w:r>
    </w:p>
    <w:p>
      <w:pPr>
        <w:spacing w:line="360" w:lineRule="auto" w:after="0" w:before="0"/>
        <w:ind w:firstLine="420"/>
      </w:pPr>
      <w:r>
        <w:rPr>
          <w:rFonts w:ascii="Times New Roman" w:hAnsi="Times New Roman" w:eastAsia="宋体"/>
          <w:color w:val="000000"/>
        </w:rPr>
        <w:t>定性评估 vs 定量评估。 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spacing w:line="360" w:lineRule="auto" w:after="0" w:before="0"/>
        <w:ind w:firstLine="420"/>
      </w:pPr>
      <w:r>
        <w:rPr>
          <w:rFonts w:ascii="Times New Roman" w:hAnsi="Times New Roman" w:eastAsia="宋体"/>
          <w:color w:val="000000"/>
        </w:rPr>
        <w:t>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spacing w:line="360" w:lineRule="auto" w:after="0" w:before="0"/>
        <w:ind w:firstLine="420"/>
      </w:pPr>
      <w:r>
        <w:rPr>
          <w:rFonts w:ascii="Times New Roman" w:hAnsi="Times New Roman" w:eastAsia="宋体"/>
          <w:color w:val="000000"/>
        </w:rPr>
        <w:t>主观评估 vs 客观评估。 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spacing w:line="360" w:lineRule="auto" w:after="0" w:before="0"/>
        <w:ind w:firstLine="420"/>
      </w:pPr>
      <w:r>
        <w:rPr>
          <w:rFonts w:ascii="Times New Roman" w:hAnsi="Times New Roman" w:eastAsia="宋体"/>
          <w:color w:val="000000"/>
        </w:rPr>
        <w:t>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spacing w:line="360" w:lineRule="auto" w:after="0" w:before="0"/>
        <w:ind w:firstLine="420"/>
      </w:pPr>
      <w:r>
        <w:rPr>
          <w:rFonts w:ascii="Times New Roman" w:hAnsi="Times New Roman" w:eastAsia="宋体"/>
          <w:color w:val="000000"/>
        </w:rPr>
        <w:t>截面评估 vs 动态评估。 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spacing w:line="360" w:lineRule="auto" w:after="0" w:before="0"/>
        <w:ind w:firstLine="420"/>
      </w:pPr>
      <w:r>
        <w:rPr>
          <w:rFonts w:ascii="Times New Roman" w:hAnsi="Times New Roman" w:eastAsia="宋体"/>
          <w:color w:val="000000"/>
        </w:rPr>
        <w:t>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spacing w:line="360" w:lineRule="auto" w:after="0" w:before="0"/>
        <w:ind w:firstLine="420"/>
      </w:pPr>
      <w:r>
        <w:rPr>
          <w:rFonts w:ascii="Times New Roman" w:hAnsi="Times New Roman" w:eastAsia="宋体"/>
          <w:color w:val="000000"/>
        </w:rPr>
        <w:t>综合评估 vs 专项评估。 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spacing w:line="360" w:lineRule="auto" w:after="0" w:before="0"/>
        <w:ind w:firstLine="420"/>
      </w:pPr>
      <w:r>
        <w:rPr>
          <w:rFonts w:ascii="Times New Roman" w:hAnsi="Times New Roman" w:eastAsia="宋体"/>
          <w:color w:val="000000"/>
        </w:rPr>
        <w:t>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p>
      <w:pPr>
        <w:spacing w:line="360" w:lineRule="auto" w:after="0" w:before="0"/>
        <w:ind w:firstLine="420"/>
      </w:pPr>
      <w:r>
        <w:rPr>
          <w:rFonts w:ascii="Times New Roman" w:hAnsi="Times New Roman" w:eastAsia="黑体"/>
          <w:b/>
          <w:color w:val="000000"/>
          <w:sz w:val="24"/>
        </w:rPr>
        <w:t>2.2.4 现有评估工具的结构性局限分析</w:t>
      </w:r>
    </w:p>
    <w:p>
      <w:pPr>
        <w:spacing w:line="360" w:lineRule="auto" w:after="0" w:before="0"/>
        <w:ind w:firstLine="420"/>
      </w:pPr>
      <w:r>
        <w:rPr>
          <w:rFonts w:ascii="Times New Roman" w:hAnsi="Times New Roman" w:eastAsia="宋体"/>
          <w:color w:val="000000"/>
        </w:rPr>
        <w:t>综合上述国内外评估工具的分析，可以归纳出现有评估体系的四个结构性局限。</w:t>
      </w:r>
    </w:p>
    <w:p>
      <w:pPr>
        <w:spacing w:line="360" w:lineRule="auto" w:after="0" w:before="0"/>
        <w:ind w:firstLine="420"/>
      </w:pPr>
      <w:r>
        <w:rPr>
          <w:rFonts w:ascii="Times New Roman" w:hAnsi="Times New Roman" w:eastAsia="宋体"/>
          <w:color w:val="000000"/>
        </w:rPr>
        <w:t>局限一："重供给轻效果"的评估导向。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spacing w:line="360" w:lineRule="auto" w:after="0" w:before="0"/>
        <w:ind w:firstLine="420"/>
      </w:pPr>
      <w:r>
        <w:rPr>
          <w:rFonts w:ascii="Times New Roman" w:hAnsi="Times New Roman" w:eastAsia="宋体"/>
          <w:color w:val="000000"/>
        </w:rPr>
        <w:t>"重供给轻效果"导向的形成有其历史和制度根源。在数据开放的早期阶段（2010年代初期），平台建设是主要矛盾——大多数国家和地区尚未建立数据开放平台，评估的首要任务是推动平台"从无到有"。在这一阶段，"供给导向"是合理的——只有先解决"有没有"的问题，才能解决"好不好"的问题。但随着平台数量的饱和和数据集规模的扩张，"供给导向"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spacing w:line="360" w:lineRule="auto" w:after="0" w:before="0"/>
        <w:ind w:firstLine="420"/>
      </w:pPr>
      <w:r>
        <w:rPr>
          <w:rFonts w:ascii="Times New Roman" w:hAnsi="Times New Roman" w:eastAsia="宋体"/>
          <w:color w:val="000000"/>
        </w:rPr>
        <w:t>局限二：缺乏效率维度。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spacing w:line="360" w:lineRule="auto" w:after="0" w:before="0"/>
        <w:ind w:firstLine="420"/>
      </w:pPr>
      <w:r>
        <w:rPr>
          <w:rFonts w:ascii="Times New Roman" w:hAnsi="Times New Roman" w:eastAsia="宋体"/>
          <w:color w:val="000000"/>
        </w:rPr>
        <w:t>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spacing w:line="360" w:lineRule="auto" w:after="0" w:before="0"/>
        <w:ind w:firstLine="420"/>
      </w:pPr>
      <w:r>
        <w:rPr>
          <w:rFonts w:ascii="Times New Roman" w:hAnsi="Times New Roman" w:eastAsia="宋体"/>
          <w:color w:val="000000"/>
        </w:rPr>
        <w:t>局限三：方法单一，无法揭示形成机制。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spacing w:line="360" w:lineRule="auto" w:after="0" w:before="0"/>
        <w:ind w:firstLine="420"/>
      </w:pPr>
      <w:r>
        <w:rPr>
          <w:rFonts w:ascii="Times New Roman" w:hAnsi="Times New Roman" w:eastAsia="宋体"/>
          <w:color w:val="000000"/>
        </w:rPr>
        <w:t>加权综合评分法的方法论局限在于其"线性可加"假设。在复杂系统中，因素的效应往往不是简单相加的——两个因素同时存在时的效应可能大于（协同效应）或小于（抑制效应）各自效应之和。例如，"数据质量"和"API开放度"可能具有协同效应——高质量的数据如果配合完善的API接口，其利用效果会远超"高质量数据+无API"或"低质量数据+完善API"的组合。加权评分法无法捕捉这种协同效应，因为它将每个维度的得分独立计算后再线性相加，"抹平"了因素间的交互作用。</w:t>
      </w:r>
    </w:p>
    <w:p>
      <w:pPr>
        <w:spacing w:line="360" w:lineRule="auto" w:after="0" w:before="0"/>
        <w:ind w:firstLine="420"/>
      </w:pPr>
      <w:r>
        <w:rPr>
          <w:rFonts w:ascii="Times New Roman" w:hAnsi="Times New Roman" w:eastAsia="宋体"/>
          <w:color w:val="000000"/>
        </w:rPr>
        <w:t>局限四：忽视"数据口径幻觉"。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spacing w:line="360" w:lineRule="auto" w:after="0" w:before="0"/>
        <w:ind w:firstLine="420"/>
      </w:pPr>
      <w:r>
        <w:rPr>
          <w:rFonts w:ascii="Times New Roman" w:hAnsi="Times New Roman" w:eastAsia="宋体"/>
          <w:color w:val="000000"/>
        </w:rPr>
        <w:t>"数据口径幻觉"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 the Indicators）——被评估者通过操纵指标而非改进实质绩效来获得更高的评估得分。Campbell定律指出："当某个指标被用作决策依据时，该指标就会失去其作为信息的价值"——因为被评估者有动力操纵该指标。本研究提出"口径一致性系数"的目的，正是为了识别和纠正这种"指标博弈"行为。</w:t>
      </w:r>
    </w:p>
    <w:p>
      <w:pPr>
        <w:spacing w:line="360" w:lineRule="auto" w:after="0" w:before="0"/>
      </w:pPr>
      <w:r>
        <w:rPr>
          <w:rFonts w:ascii="Times New Roman" w:hAnsi="Times New Roman" w:eastAsia="黑体"/>
          <w:b/>
          <w:color w:val="000000"/>
          <w:sz w:val="24"/>
        </w:rPr>
        <w:t>2.3 数据利用绩效研究</w:t>
      </w:r>
    </w:p>
    <w:p>
      <w:pPr>
        <w:spacing w:line="360" w:lineRule="auto" w:after="0" w:before="0"/>
        <w:ind w:firstLine="420"/>
      </w:pPr>
      <w:r>
        <w:rPr>
          <w:rFonts w:ascii="Times New Roman" w:hAnsi="Times New Roman" w:eastAsia="黑体"/>
          <w:b/>
          <w:color w:val="000000"/>
          <w:sz w:val="24"/>
        </w:rPr>
        <w:t>2.3.1 公共部门绩效评估的理论演进</w:t>
      </w:r>
    </w:p>
    <w:p>
      <w:pPr>
        <w:spacing w:line="360" w:lineRule="auto" w:after="0" w:before="0"/>
        <w:ind w:firstLine="420"/>
      </w:pPr>
      <w:r>
        <w:rPr>
          <w:rFonts w:ascii="Times New Roman" w:hAnsi="Times New Roman" w:eastAsia="宋体"/>
          <w:color w:val="000000"/>
        </w:rPr>
        <w:t>公共部门绩效评估理论经历了从"3E"到"4E"再到"5E"的发展演进，为本研究评估框架的设计提供了理论渊源。</w:t>
      </w:r>
    </w:p>
    <w:p>
      <w:pPr>
        <w:spacing w:line="360" w:lineRule="auto" w:after="0" w:before="0"/>
        <w:ind w:firstLine="420"/>
      </w:pPr>
      <w:r>
        <w:rPr>
          <w:rFonts w:ascii="Times New Roman" w:hAnsi="Times New Roman" w:eastAsia="宋体"/>
          <w:color w:val="000000"/>
        </w:rPr>
        <w:t>3E框架。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spacing w:line="360" w:lineRule="auto" w:after="0" w:before="0"/>
        <w:ind w:firstLine="420"/>
      </w:pPr>
      <w:r>
        <w:rPr>
          <w:rFonts w:ascii="Times New Roman" w:hAnsi="Times New Roman" w:eastAsia="宋体"/>
          <w:color w:val="000000"/>
        </w:rPr>
        <w:t>3E框架在公共管理领域得到了广泛应用，但也受到了学术界的批判。第一，3E框架过于简化——公共部门的价值追求不仅仅是"经济""效率"和"效果"，还包括公平、正义、民主参与等多元价值。将公共部门的绩效简化为三个维度可能遗漏重要的价值维度。第二，3E框架的"效果性"维度难以操作化——公共部门的目标往往是模糊和多元的，"是否达成预定目标"的判断标准难以统一。第三，3E框架忽视了过程——只关注结果而不关注过程，可能导致"为达目的不择手段"的行为偏差。这些批判为4E框架的提出提供了理论动因。</w:t>
      </w:r>
    </w:p>
    <w:p>
      <w:pPr>
        <w:spacing w:line="360" w:lineRule="auto" w:after="0" w:before="0"/>
        <w:ind w:firstLine="420"/>
      </w:pPr>
      <w:r>
        <w:rPr>
          <w:rFonts w:ascii="Times New Roman" w:hAnsi="Times New Roman" w:eastAsia="宋体"/>
          <w:color w:val="000000"/>
        </w:rPr>
        <w:t>4E框架。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spacing w:line="360" w:lineRule="auto" w:after="0" w:before="0"/>
        <w:ind w:firstLine="420"/>
      </w:pPr>
      <w:r>
        <w:rPr>
          <w:rFonts w:ascii="Times New Roman" w:hAnsi="Times New Roman" w:eastAsia="宋体"/>
          <w:color w:val="000000"/>
        </w:rPr>
        <w:t>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spacing w:line="360" w:lineRule="auto" w:after="0" w:before="0"/>
        <w:ind w:firstLine="420"/>
      </w:pPr>
      <w:r>
        <w:rPr>
          <w:rFonts w:ascii="Times New Roman" w:hAnsi="Times New Roman" w:eastAsia="宋体"/>
          <w:color w:val="000000"/>
        </w:rPr>
        <w:t>5E框架及扩展。 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spacing w:line="360" w:lineRule="auto" w:after="0" w:before="0"/>
        <w:ind w:firstLine="420"/>
      </w:pPr>
      <w:r>
        <w:rPr>
          <w:rFonts w:ascii="Times New Roman" w:hAnsi="Times New Roman" w:eastAsia="宋体"/>
          <w:color w:val="000000"/>
        </w:rPr>
        <w:t>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p>
      <w:pPr>
        <w:spacing w:line="360" w:lineRule="auto" w:after="0" w:before="0"/>
        <w:ind w:firstLine="420"/>
      </w:pPr>
      <w:r>
        <w:rPr>
          <w:rFonts w:ascii="Times New Roman" w:hAnsi="Times New Roman" w:eastAsia="黑体"/>
          <w:b/>
          <w:color w:val="000000"/>
          <w:sz w:val="24"/>
        </w:rPr>
        <w:t>2.3.2 公共价值理论与数据开放</w:t>
      </w:r>
    </w:p>
    <w:p>
      <w:pPr>
        <w:spacing w:line="360" w:lineRule="auto" w:after="0" w:before="0"/>
        <w:ind w:firstLine="420"/>
      </w:pPr>
      <w:r>
        <w:rPr>
          <w:rFonts w:ascii="Times New Roman" w:hAnsi="Times New Roman" w:eastAsia="宋体"/>
          <w:color w:val="000000"/>
        </w:rPr>
        <w:t>公共价值理论（Public Value 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spacing w:line="360" w:lineRule="auto" w:after="0" w:before="0"/>
        <w:ind w:firstLine="420"/>
      </w:pPr>
      <w:r>
        <w:rPr>
          <w:rFonts w:ascii="Times New Roman" w:hAnsi="Times New Roman" w:eastAsia="宋体"/>
          <w:color w:val="000000"/>
        </w:rPr>
        <w:t>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after="0" w:before="0"/>
        <w:ind w:firstLine="420"/>
      </w:pPr>
      <w:r>
        <w:rPr>
          <w:rFonts w:ascii="Times New Roman" w:hAnsi="Times New Roman" w:eastAsia="宋体"/>
          <w:color w:val="000000"/>
        </w:rPr>
        <w:t>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p>
      <w:pPr>
        <w:spacing w:line="360" w:lineRule="auto" w:after="0" w:before="0"/>
        <w:ind w:firstLine="420"/>
      </w:pPr>
      <w:r>
        <w:rPr>
          <w:rFonts w:ascii="Times New Roman" w:hAnsi="Times New Roman" w:eastAsia="黑体"/>
          <w:b/>
          <w:color w:val="000000"/>
          <w:sz w:val="24"/>
        </w:rPr>
        <w:t>2.3.3 数据利用绩效的概念界定与测量</w:t>
      </w:r>
    </w:p>
    <w:p>
      <w:pPr>
        <w:spacing w:line="360" w:lineRule="auto" w:after="0" w:before="0"/>
        <w:ind w:firstLine="420"/>
      </w:pPr>
      <w:r>
        <w:rPr>
          <w:rFonts w:ascii="Times New Roman" w:hAnsi="Times New Roman" w:eastAsia="宋体"/>
          <w:color w:val="000000"/>
        </w:rPr>
        <w:t>数据利用绩效是政府数据开放领域的核心概念，但其界定和测量一直是学术界的难点。</w:t>
      </w:r>
    </w:p>
    <w:p>
      <w:pPr>
        <w:spacing w:line="360" w:lineRule="auto" w:after="0" w:before="0"/>
        <w:ind w:firstLine="420"/>
      </w:pPr>
      <w:r>
        <w:rPr>
          <w:rFonts w:ascii="Times New Roman" w:hAnsi="Times New Roman" w:eastAsia="宋体"/>
          <w:color w:val="000000"/>
        </w:rPr>
        <w:t>概念界定。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spacing w:line="360" w:lineRule="auto" w:after="0" w:before="0"/>
        <w:ind w:firstLine="420"/>
      </w:pPr>
      <w:r>
        <w:rPr>
          <w:rFonts w:ascii="Times New Roman" w:hAnsi="Times New Roman" w:eastAsia="宋体"/>
          <w:color w:val="000000"/>
        </w:rPr>
        <w:t>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spacing w:line="360" w:lineRule="auto" w:after="0" w:before="0"/>
        <w:ind w:firstLine="420"/>
      </w:pPr>
      <w:r>
        <w:rPr>
          <w:rFonts w:ascii="Times New Roman" w:hAnsi="Times New Roman" w:eastAsia="宋体"/>
          <w:color w:val="000000"/>
        </w:rPr>
        <w:t>测量方法。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spacing w:line="360" w:lineRule="auto" w:after="0" w:before="0"/>
        <w:ind w:firstLine="420"/>
      </w:pPr>
      <w:r>
        <w:rPr>
          <w:rFonts w:ascii="Times New Roman" w:hAnsi="Times New Roman" w:eastAsia="宋体"/>
          <w:color w:val="000000"/>
        </w:rP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spacing w:line="360" w:lineRule="auto" w:after="0" w:before="0"/>
        <w:ind w:firstLine="420"/>
      </w:pPr>
      <w:r>
        <w:rPr>
          <w:rFonts w:ascii="Times New Roman" w:hAnsi="Times New Roman" w:eastAsia="黑体"/>
          <w:b/>
          <w:color w:val="000000"/>
          <w:sz w:val="24"/>
        </w:rPr>
        <w:t>2.3.4 数据利用绩效的影响因素</w:t>
      </w:r>
    </w:p>
    <w:p>
      <w:pPr>
        <w:spacing w:line="360" w:lineRule="auto" w:after="0" w:before="0"/>
        <w:ind w:firstLine="420"/>
      </w:pPr>
      <w:r>
        <w:rPr>
          <w:rFonts w:ascii="Times New Roman" w:hAnsi="Times New Roman" w:eastAsia="宋体"/>
          <w:color w:val="000000"/>
        </w:rPr>
        <w:t>近年来，学术界越来越关注数据利用绩效的影响因素，研究视角从单一因素分析转向多因素整合分析。</w:t>
      </w:r>
    </w:p>
    <w:p>
      <w:pPr>
        <w:spacing w:line="360" w:lineRule="auto" w:after="0" w:before="0"/>
        <w:ind w:firstLine="420"/>
      </w:pPr>
      <w:r>
        <w:rPr>
          <w:rFonts w:ascii="Times New Roman" w:hAnsi="Times New Roman" w:eastAsia="宋体"/>
          <w:color w:val="000000"/>
        </w:rPr>
        <w:t>技术层面因素。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spacing w:line="360" w:lineRule="auto" w:after="0" w:before="0"/>
        <w:ind w:firstLine="420"/>
      </w:pPr>
      <w:r>
        <w:rPr>
          <w:rFonts w:ascii="Times New Roman" w:hAnsi="Times New Roman" w:eastAsia="宋体"/>
          <w:color w:val="000000"/>
        </w:rPr>
        <w:t>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 19115地理信息元数据标准、SDMX统计数据和元数据交换标准等），以提升数据的互操作性和再利用价值。本研究在"数据质量"维度中设置了"格式标准化"指标，考察各平台数据集格式的一致性和规范性。</w:t>
      </w:r>
    </w:p>
    <w:p>
      <w:pPr>
        <w:spacing w:line="360" w:lineRule="auto" w:after="0" w:before="0"/>
        <w:ind w:firstLine="420"/>
      </w:pPr>
      <w:r>
        <w:rPr>
          <w:rFonts w:ascii="Times New Roman" w:hAnsi="Times New Roman" w:eastAsia="宋体"/>
          <w:color w:val="000000"/>
        </w:rPr>
        <w:t>组织层面因素。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spacing w:line="360" w:lineRule="auto" w:after="0" w:before="0"/>
        <w:ind w:firstLine="420"/>
      </w:pPr>
      <w:r>
        <w:rPr>
          <w:rFonts w:ascii="Times New Roman" w:hAnsi="Times New Roman" w:eastAsia="宋体"/>
          <w:color w:val="000000"/>
        </w:rPr>
        <w:t>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spacing w:line="360" w:lineRule="auto" w:after="0" w:before="0"/>
        <w:ind w:firstLine="420"/>
      </w:pPr>
      <w:r>
        <w:rPr>
          <w:rFonts w:ascii="Times New Roman" w:hAnsi="Times New Roman" w:eastAsia="宋体"/>
          <w:color w:val="000000"/>
        </w:rPr>
        <w:t>环境层面因素。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spacing w:line="360" w:lineRule="auto" w:after="0" w:before="0"/>
        <w:ind w:firstLine="420"/>
      </w:pPr>
      <w:r>
        <w:rPr>
          <w:rFonts w:ascii="Times New Roman" w:hAnsi="Times New Roman" w:eastAsia="宋体"/>
          <w:color w:val="000000"/>
        </w:rPr>
        <w:t>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spacing w:line="360" w:lineRule="auto" w:after="0" w:before="0"/>
        <w:ind w:firstLine="420"/>
      </w:pPr>
      <w:r>
        <w:rPr>
          <w:rFonts w:ascii="Times New Roman" w:hAnsi="Times New Roman" w:eastAsia="宋体"/>
          <w:color w:val="000000"/>
        </w:rPr>
        <w:t>非线性特征与组态效应。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spacing w:line="360" w:lineRule="auto" w:after="0" w:before="0"/>
        <w:ind w:firstLine="420"/>
      </w:pPr>
      <w:r>
        <w:rPr>
          <w:rFonts w:ascii="Times New Roman" w:hAnsi="Times New Roman" w:eastAsia="黑体"/>
          <w:b/>
          <w:color w:val="000000"/>
          <w:sz w:val="24"/>
        </w:rPr>
        <w:t>2.3.5 研究述评与本研究定位</w:t>
      </w:r>
    </w:p>
    <w:p>
      <w:pPr>
        <w:spacing w:line="360" w:lineRule="auto" w:after="0" w:before="0"/>
        <w:ind w:firstLine="420"/>
      </w:pPr>
      <w:r>
        <w:rPr>
          <w:rFonts w:ascii="Times New Roman" w:hAnsi="Times New Roman" w:eastAsia="宋体"/>
          <w:color w:val="000000"/>
        </w:rPr>
        <w:t>通过对国内外开放政府数据评估研究的系统梳理，本研究发现现有研究存在以下五个不足：</w:t>
      </w:r>
    </w:p>
    <w:p>
      <w:pPr>
        <w:spacing w:line="360" w:lineRule="auto" w:after="0" w:before="0"/>
        <w:ind w:firstLine="420"/>
      </w:pPr>
      <w:r>
        <w:rPr>
          <w:rFonts w:ascii="Times New Roman" w:hAnsi="Times New Roman" w:eastAsia="宋体"/>
          <w:color w:val="000000"/>
        </w:rPr>
        <w:t>第一，评估范式"重供给轻效果"。 开放数林指数2025中利用层仅占约15%权重，而准备度、数据层、平台层合计超过85%。本研究将利用效果权重提升至30%，是对现有范式的纠偏。</w:t>
      </w:r>
    </w:p>
    <w:p>
      <w:pPr>
        <w:spacing w:line="360" w:lineRule="auto" w:after="0" w:before="0"/>
        <w:ind w:firstLine="420"/>
      </w:pPr>
      <w:r>
        <w:rPr>
          <w:rFonts w:ascii="Times New Roman" w:hAnsi="Times New Roman" w:eastAsia="宋体"/>
          <w:color w:val="000000"/>
        </w:rPr>
        <w:t>第二，评估数据客观性不足。 现有研究依赖专家打分和平台自我申报，数据可验证性差。本研究通过自动化采集系统获取数据，所有数据有时间戳和代码可验证。</w:t>
      </w:r>
    </w:p>
    <w:p>
      <w:pPr>
        <w:spacing w:line="360" w:lineRule="auto" w:after="0" w:before="0"/>
        <w:ind w:firstLine="420"/>
      </w:pPr>
      <w:r>
        <w:rPr>
          <w:rFonts w:ascii="Times New Roman" w:hAnsi="Times New Roman" w:eastAsia="宋体"/>
          <w:color w:val="000000"/>
        </w:rPr>
        <w:t>第三，效率维度缺失。 现有研究关注绩效绝对水平，忽视相对效率。本研究引入DEA-BCC效率评价，填补效率维度空白。</w:t>
      </w:r>
    </w:p>
    <w:p>
      <w:pPr>
        <w:spacing w:line="360" w:lineRule="auto" w:after="0" w:before="0"/>
        <w:ind w:firstLine="420"/>
      </w:pPr>
      <w:r>
        <w:rPr>
          <w:rFonts w:ascii="Times New Roman" w:hAnsi="Times New Roman" w:eastAsia="宋体"/>
          <w:color w:val="000000"/>
        </w:rPr>
        <w:t>第四，因果机制分析不足。 现有研究多为描述性评估，对"为什么绩效有差异"分析不足。本研究运用DEMATEL和fsQCA揭示因果机制。</w:t>
      </w:r>
    </w:p>
    <w:p>
      <w:pPr>
        <w:spacing w:line="360" w:lineRule="auto" w:after="0" w:before="0"/>
        <w:ind w:firstLine="420"/>
      </w:pPr>
      <w:r>
        <w:rPr>
          <w:rFonts w:ascii="Times New Roman" w:hAnsi="Times New Roman" w:eastAsia="宋体"/>
          <w:color w:val="000000"/>
        </w:rPr>
        <w:t>第五，对策建议差异化不足。 现有建议多为"一刀切"泛化建议。本研究基于fsQCA组态路径设计差异化对策。</w:t>
      </w:r>
    </w:p>
    <w:p>
      <w:pPr>
        <w:spacing w:line="360" w:lineRule="auto" w:after="0" w:before="0"/>
        <w:ind w:firstLine="420"/>
      </w:pPr>
      <w:r>
        <w:rPr>
          <w:rFonts w:ascii="Times New Roman" w:hAnsi="Times New Roman" w:eastAsia="宋体"/>
          <w:color w:val="000000"/>
        </w:rPr>
        <w:t>基于上述不足，本研究定位为：构建"效果导向+效率评价+因果分析+差异化对策"的整合性研究框架。</w:t>
      </w:r>
    </w:p>
    <w:p>
      <w:pPr>
        <w:spacing w:line="360" w:lineRule="auto" w:after="0" w:before="0"/>
      </w:pPr>
      <w:r>
        <w:rPr>
          <w:rFonts w:ascii="Times New Roman" w:hAnsi="Times New Roman" w:eastAsia="黑体"/>
          <w:b/>
          <w:color w:val="000000"/>
          <w:sz w:val="24"/>
        </w:rPr>
        <w:t>2.4 政府数据开放的影响因素研究</w:t>
      </w:r>
    </w:p>
    <w:p>
      <w:pPr>
        <w:spacing w:line="360" w:lineRule="auto" w:after="0" w:before="0"/>
        <w:ind w:firstLine="420"/>
      </w:pPr>
      <w:r>
        <w:rPr>
          <w:rFonts w:ascii="Times New Roman" w:hAnsi="Times New Roman" w:eastAsia="黑体"/>
          <w:b/>
          <w:color w:val="000000"/>
          <w:sz w:val="24"/>
        </w:rPr>
        <w:t>2.4.1 TOE框架的应用</w:t>
      </w:r>
    </w:p>
    <w:p>
      <w:pPr>
        <w:spacing w:line="360" w:lineRule="auto" w:after="0" w:before="0"/>
        <w:ind w:firstLine="420"/>
      </w:pPr>
      <w:r>
        <w:rPr>
          <w:rFonts w:ascii="Times New Roman" w:hAnsi="Times New Roman" w:eastAsia="宋体"/>
          <w:color w:val="000000"/>
        </w:rP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spacing w:line="360" w:lineRule="auto" w:after="0" w:before="0"/>
        <w:ind w:firstLine="420"/>
      </w:pPr>
      <w:r>
        <w:rPr>
          <w:rFonts w:ascii="Times New Roman" w:hAnsi="Times New Roman" w:eastAsia="宋体"/>
          <w:color w:val="000000"/>
        </w:rP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spacing w:line="360" w:lineRule="auto" w:after="0" w:before="0"/>
        <w:ind w:firstLine="420"/>
      </w:pPr>
      <w:r>
        <w:rPr>
          <w:rFonts w:ascii="Times New Roman" w:hAnsi="Times New Roman" w:eastAsia="宋体"/>
          <w:color w:val="000000"/>
        </w:rPr>
        <w:t>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p>
      <w:pPr>
        <w:spacing w:line="360" w:lineRule="auto" w:after="0" w:before="0"/>
        <w:ind w:firstLine="420"/>
      </w:pPr>
      <w:r>
        <w:rPr>
          <w:rFonts w:ascii="Times New Roman" w:hAnsi="Times New Roman" w:eastAsia="黑体"/>
          <w:b/>
          <w:color w:val="000000"/>
          <w:sz w:val="24"/>
        </w:rPr>
        <w:t>2.4.2 技术层面因素</w:t>
      </w:r>
    </w:p>
    <w:p>
      <w:pPr>
        <w:spacing w:line="360" w:lineRule="auto" w:after="0" w:before="0"/>
        <w:ind w:firstLine="420"/>
      </w:pPr>
      <w:r>
        <w:rPr>
          <w:rFonts w:ascii="Times New Roman" w:hAnsi="Times New Roman" w:eastAsia="宋体"/>
          <w:color w:val="000000"/>
        </w:rPr>
        <w:t>技术层面因素是影响政府数据利用绩效的基础性条件，主要包括数据质量、API开放度、平台功能和数据标准四个方面。</w:t>
      </w:r>
    </w:p>
    <w:p>
      <w:pPr>
        <w:spacing w:line="360" w:lineRule="auto" w:after="0" w:before="0"/>
        <w:ind w:firstLine="420"/>
      </w:pPr>
      <w:r>
        <w:rPr>
          <w:rFonts w:ascii="Times New Roman" w:hAnsi="Times New Roman" w:eastAsia="宋体"/>
          <w:color w:val="000000"/>
        </w:rPr>
        <w:t>数据质量。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spacing w:line="360" w:lineRule="auto" w:after="0" w:before="0"/>
        <w:ind w:firstLine="420"/>
      </w:pPr>
      <w:r>
        <w:rPr>
          <w:rFonts w:ascii="Times New Roman" w:hAnsi="Times New Roman" w:eastAsia="宋体"/>
          <w:color w:val="000000"/>
        </w:rPr>
        <w:t>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spacing w:line="360" w:lineRule="auto" w:after="0" w:before="0"/>
        <w:ind w:firstLine="420"/>
      </w:pPr>
      <w:r>
        <w:rPr>
          <w:rFonts w:ascii="Times New Roman" w:hAnsi="Times New Roman" w:eastAsia="宋体"/>
          <w:color w:val="000000"/>
        </w:rPr>
        <w:t>API开放度。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spacing w:line="360" w:lineRule="auto" w:after="0" w:before="0"/>
        <w:ind w:firstLine="420"/>
      </w:pPr>
      <w:r>
        <w:rPr>
          <w:rFonts w:ascii="Times New Roman" w:hAnsi="Times New Roman" w:eastAsia="宋体"/>
          <w:color w:val="000000"/>
        </w:rPr>
        <w:t>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spacing w:line="360" w:lineRule="auto" w:after="0" w:before="0"/>
        <w:ind w:firstLine="420"/>
      </w:pPr>
      <w:r>
        <w:rPr>
          <w:rFonts w:ascii="Times New Roman" w:hAnsi="Times New Roman" w:eastAsia="宋体"/>
          <w:color w:val="000000"/>
        </w:rPr>
        <w:t>平台功能。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spacing w:line="360" w:lineRule="auto" w:after="0" w:before="0"/>
        <w:ind w:firstLine="420"/>
      </w:pPr>
      <w:r>
        <w:rPr>
          <w:rFonts w:ascii="Times New Roman" w:hAnsi="Times New Roman" w:eastAsia="宋体"/>
          <w:color w:val="000000"/>
        </w:rPr>
        <w:t>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spacing w:line="360" w:lineRule="auto" w:after="0" w:before="0"/>
        <w:ind w:firstLine="420"/>
      </w:pPr>
      <w:r>
        <w:rPr>
          <w:rFonts w:ascii="Times New Roman" w:hAnsi="Times New Roman" w:eastAsia="宋体"/>
          <w:color w:val="000000"/>
        </w:rPr>
        <w:t>数据标准。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spacing w:line="360" w:lineRule="auto" w:after="0" w:before="0"/>
        <w:ind w:firstLine="420"/>
      </w:pPr>
      <w:r>
        <w:rPr>
          <w:rFonts w:ascii="Times New Roman" w:hAnsi="Times New Roman" w:eastAsia="宋体"/>
          <w:color w:val="000000"/>
        </w:rPr>
        <w:t>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p>
      <w:pPr>
        <w:spacing w:line="360" w:lineRule="auto" w:after="0" w:before="0"/>
        <w:ind w:firstLine="420"/>
      </w:pPr>
      <w:r>
        <w:rPr>
          <w:rFonts w:ascii="Times New Roman" w:hAnsi="Times New Roman" w:eastAsia="黑体"/>
          <w:b/>
          <w:color w:val="000000"/>
          <w:sz w:val="24"/>
        </w:rPr>
        <w:t>2.4.3 组织层面因素</w:t>
      </w:r>
    </w:p>
    <w:p>
      <w:pPr>
        <w:spacing w:line="360" w:lineRule="auto" w:after="0" w:before="0"/>
        <w:ind w:firstLine="420"/>
      </w:pPr>
      <w:r>
        <w:rPr>
          <w:rFonts w:ascii="Times New Roman" w:hAnsi="Times New Roman" w:eastAsia="宋体"/>
          <w:color w:val="000000"/>
        </w:rPr>
        <w:t>组织层面因素是影响政府数据利用绩效的制度性条件，主要包括制度环境、政策体系、组织能力和授权运营机制四个方面。</w:t>
      </w:r>
    </w:p>
    <w:p>
      <w:pPr>
        <w:spacing w:line="360" w:lineRule="auto" w:after="0" w:before="0"/>
        <w:ind w:firstLine="420"/>
      </w:pPr>
      <w:r>
        <w:rPr>
          <w:rFonts w:ascii="Times New Roman" w:hAnsi="Times New Roman" w:eastAsia="宋体"/>
          <w:color w:val="000000"/>
        </w:rPr>
        <w:t>制度环境。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spacing w:line="360" w:lineRule="auto" w:after="0" w:before="0"/>
        <w:ind w:firstLine="420"/>
      </w:pPr>
      <w:r>
        <w:rPr>
          <w:rFonts w:ascii="Times New Roman" w:hAnsi="Times New Roman" w:eastAsia="宋体"/>
          <w:color w:val="000000"/>
        </w:rPr>
        <w:t>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spacing w:line="360" w:lineRule="auto" w:after="0" w:before="0"/>
        <w:ind w:firstLine="420"/>
      </w:pPr>
      <w:r>
        <w:rPr>
          <w:rFonts w:ascii="Times New Roman" w:hAnsi="Times New Roman" w:eastAsia="宋体"/>
          <w:color w:val="000000"/>
        </w:rPr>
        <w:t>政策体系。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spacing w:line="360" w:lineRule="auto" w:after="0" w:before="0"/>
        <w:ind w:firstLine="420"/>
      </w:pPr>
      <w:r>
        <w:rPr>
          <w:rFonts w:ascii="Times New Roman" w:hAnsi="Times New Roman" w:eastAsia="宋体"/>
          <w:color w:val="000000"/>
        </w:rPr>
        <w:t>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spacing w:line="360" w:lineRule="auto" w:after="0" w:before="0"/>
        <w:ind w:firstLine="420"/>
      </w:pPr>
      <w:r>
        <w:rPr>
          <w:rFonts w:ascii="Times New Roman" w:hAnsi="Times New Roman" w:eastAsia="宋体"/>
          <w:color w:val="000000"/>
        </w:rPr>
        <w:t>组织能力。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spacing w:line="360" w:lineRule="auto" w:after="0" w:before="0"/>
        <w:ind w:firstLine="420"/>
      </w:pPr>
      <w:r>
        <w:rPr>
          <w:rFonts w:ascii="Times New Roman" w:hAnsi="Times New Roman" w:eastAsia="宋体"/>
          <w:color w:val="000000"/>
        </w:rPr>
        <w:t>组织能力的评估需要关注"人"和"机制"两个层面。"人"的层面包括：是否有专门的数据治理团队、团队的专业能力如何、人员配置是否充足。"机制"的层面包括：是否有数据质量审查流程、是否有跨部门协调机制、是否有用户反馈响应机制。本研究在"组织能力"因素中通过"专业团队"和"治理机制"两个指标，分别评估这两个层面。</w:t>
      </w:r>
    </w:p>
    <w:p>
      <w:pPr>
        <w:spacing w:line="360" w:lineRule="auto" w:after="0" w:before="0"/>
        <w:ind w:firstLine="420"/>
      </w:pPr>
      <w:r>
        <w:rPr>
          <w:rFonts w:ascii="Times New Roman" w:hAnsi="Times New Roman" w:eastAsia="宋体"/>
          <w:color w:val="000000"/>
        </w:rPr>
        <w:t>授权运营机制。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spacing w:line="360" w:lineRule="auto" w:after="0" w:before="0"/>
        <w:ind w:firstLine="420"/>
      </w:pPr>
      <w:r>
        <w:rPr>
          <w:rFonts w:ascii="Times New Roman" w:hAnsi="Times New Roman" w:eastAsia="黑体"/>
          <w:b/>
          <w:color w:val="000000"/>
          <w:sz w:val="24"/>
        </w:rPr>
        <w:t>2.4.4 环境层面因素</w:t>
      </w:r>
    </w:p>
    <w:p>
      <w:pPr>
        <w:spacing w:line="360" w:lineRule="auto" w:after="0" w:before="0"/>
        <w:ind w:firstLine="420"/>
      </w:pPr>
      <w:r>
        <w:rPr>
          <w:rFonts w:ascii="Times New Roman" w:hAnsi="Times New Roman" w:eastAsia="宋体"/>
          <w:color w:val="000000"/>
        </w:rPr>
        <w:t>环境层面因素是影响政府数据利用绩效的外部情境条件，主要包括区域经济发展水平、数字经济基础和用户数据素养三个方面。</w:t>
      </w:r>
    </w:p>
    <w:p>
      <w:pPr>
        <w:spacing w:line="360" w:lineRule="auto" w:after="0" w:before="0"/>
        <w:ind w:firstLine="420"/>
      </w:pPr>
      <w:r>
        <w:rPr>
          <w:rFonts w:ascii="Times New Roman" w:hAnsi="Times New Roman" w:eastAsia="宋体"/>
          <w:color w:val="000000"/>
        </w:rPr>
        <w:t>区域经济发展水平。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spacing w:line="360" w:lineRule="auto" w:after="0" w:before="0"/>
        <w:ind w:firstLine="420"/>
      </w:pPr>
      <w:r>
        <w:rPr>
          <w:rFonts w:ascii="Times New Roman" w:hAnsi="Times New Roman" w:eastAsia="宋体"/>
          <w:color w:val="000000"/>
        </w:rPr>
        <w:t>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spacing w:line="360" w:lineRule="auto" w:after="0" w:before="0"/>
        <w:ind w:firstLine="420"/>
      </w:pPr>
      <w:r>
        <w:rPr>
          <w:rFonts w:ascii="Times New Roman" w:hAnsi="Times New Roman" w:eastAsia="宋体"/>
          <w:color w:val="000000"/>
        </w:rPr>
        <w:t>数字经济基础。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spacing w:line="360" w:lineRule="auto" w:after="0" w:before="0"/>
        <w:ind w:firstLine="420"/>
      </w:pPr>
      <w:r>
        <w:rPr>
          <w:rFonts w:ascii="Times New Roman" w:hAnsi="Times New Roman" w:eastAsia="宋体"/>
          <w:color w:val="000000"/>
        </w:rPr>
        <w:t>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spacing w:line="360" w:lineRule="auto" w:after="0" w:before="0"/>
        <w:ind w:firstLine="420"/>
      </w:pPr>
      <w:r>
        <w:rPr>
          <w:rFonts w:ascii="Times New Roman" w:hAnsi="Times New Roman" w:eastAsia="宋体"/>
          <w:color w:val="000000"/>
        </w:rPr>
        <w:t>用户数据素养。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spacing w:line="360" w:lineRule="auto" w:after="0" w:before="0"/>
        <w:ind w:firstLine="420"/>
      </w:pPr>
      <w:r>
        <w:rPr>
          <w:rFonts w:ascii="Times New Roman" w:hAnsi="Times New Roman" w:eastAsia="宋体"/>
          <w:color w:val="000000"/>
        </w:rPr>
        <w:t>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p>
      <w:pPr>
        <w:spacing w:line="360" w:lineRule="auto" w:after="0" w:before="0"/>
      </w:pPr>
      <w:r>
        <w:rPr>
          <w:rFonts w:ascii="Times New Roman" w:hAnsi="Times New Roman" w:eastAsia="黑体"/>
          <w:b/>
          <w:color w:val="000000"/>
          <w:sz w:val="24"/>
        </w:rPr>
        <w:t>2.5 研究述评与本研究定位</w:t>
      </w:r>
    </w:p>
    <w:p>
      <w:pPr>
        <w:spacing w:line="360" w:lineRule="auto" w:after="0" w:before="0"/>
        <w:ind w:firstLine="420"/>
      </w:pPr>
      <w:r>
        <w:rPr>
          <w:rFonts w:ascii="Times New Roman" w:hAnsi="Times New Roman" w:eastAsia="黑体"/>
          <w:b/>
          <w:color w:val="000000"/>
          <w:sz w:val="24"/>
        </w:rPr>
        <w:t>2.5.1 现有研究的贡献</w:t>
      </w:r>
    </w:p>
    <w:p>
      <w:pPr>
        <w:spacing w:line="360" w:lineRule="auto" w:after="0" w:before="0"/>
        <w:ind w:firstLine="420"/>
      </w:pPr>
      <w:r>
        <w:rPr>
          <w:rFonts w:ascii="Times New Roman" w:hAnsi="Times New Roman" w:eastAsia="宋体"/>
          <w:color w:val="000000"/>
        </w:rPr>
        <w:t>综合上述文献综述，现有研究在以下方面做出了重要贡献。</w:t>
      </w:r>
    </w:p>
    <w:p>
      <w:pPr>
        <w:spacing w:line="360" w:lineRule="auto" w:after="0" w:before="0"/>
        <w:ind w:firstLine="420"/>
      </w:pPr>
      <w:r>
        <w:rPr>
          <w:rFonts w:ascii="Times New Roman" w:hAnsi="Times New Roman" w:eastAsia="宋体"/>
          <w:color w:val="000000"/>
        </w:rP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spacing w:line="360" w:lineRule="auto" w:after="0" w:before="0"/>
        <w:ind w:firstLine="420"/>
      </w:pPr>
      <w:r>
        <w:rPr>
          <w:rFonts w:ascii="Times New Roman" w:hAnsi="Times New Roman" w:eastAsia="宋体"/>
          <w:color w:val="000000"/>
        </w:rP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spacing w:line="360" w:lineRule="auto" w:after="0" w:before="0"/>
        <w:ind w:firstLine="420"/>
      </w:pPr>
      <w:r>
        <w:rPr>
          <w:rFonts w:ascii="Times New Roman" w:hAnsi="Times New Roman" w:eastAsia="宋体"/>
          <w:color w:val="000000"/>
        </w:rP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spacing w:line="360" w:lineRule="auto" w:after="0" w:before="0"/>
        <w:ind w:firstLine="420"/>
      </w:pPr>
      <w:r>
        <w:rPr>
          <w:rFonts w:ascii="Times New Roman" w:hAnsi="Times New Roman" w:eastAsia="宋体"/>
          <w:color w:val="000000"/>
        </w:rPr>
        <w:t>第四，价值层面，Jetzek等构建的开放数据价值评估框架、Martin等提出的"数据价值光谱"概念，将数据开放的价值从单一的"透明度"叙事拓展到多维价值谱系，为效果导向评估提供了理论参照。</w:t>
      </w:r>
    </w:p>
    <w:p>
      <w:pPr>
        <w:spacing w:line="360" w:lineRule="auto" w:after="0" w:before="0"/>
        <w:ind w:firstLine="420"/>
      </w:pPr>
      <w:r>
        <w:rPr>
          <w:rFonts w:ascii="Times New Roman" w:hAnsi="Times New Roman" w:eastAsia="黑体"/>
          <w:b/>
          <w:color w:val="000000"/>
          <w:sz w:val="24"/>
        </w:rPr>
        <w:t>2.5.2 现有研究的不足</w:t>
      </w:r>
    </w:p>
    <w:p>
      <w:pPr>
        <w:spacing w:line="360" w:lineRule="auto" w:after="0" w:before="0"/>
        <w:ind w:firstLine="420"/>
      </w:pPr>
      <w:r>
        <w:rPr>
          <w:rFonts w:ascii="Times New Roman" w:hAnsi="Times New Roman" w:eastAsia="宋体"/>
          <w:color w:val="000000"/>
        </w:rPr>
        <w:t>尽管现有研究取得了丰硕成果，但仍存在以下不足，这些不足构成了本研究的创新空间。</w:t>
      </w:r>
    </w:p>
    <w:p>
      <w:pPr>
        <w:spacing w:line="360" w:lineRule="auto" w:after="0" w:before="0"/>
        <w:ind w:firstLine="420"/>
      </w:pPr>
      <w:r>
        <w:rPr>
          <w:rFonts w:ascii="Times New Roman" w:hAnsi="Times New Roman" w:eastAsia="宋体"/>
          <w:color w:val="000000"/>
        </w:rPr>
        <w:t>不足一：评估范式偏重供给侧，效果导向不足。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spacing w:line="360" w:lineRule="auto" w:after="0" w:before="0"/>
        <w:ind w:firstLine="420"/>
      </w:pPr>
      <w:r>
        <w:rPr>
          <w:rFonts w:ascii="Times New Roman" w:hAnsi="Times New Roman" w:eastAsia="宋体"/>
          <w:color w:val="000000"/>
        </w:rPr>
        <w:t>不足二：缺乏效率维度，无法识别资源利用优劣。 现有评估工具只回答"绩效如何"，不回答"效率如何"。两个综合得分相同的平台，其资源投入可能相差数倍，但现有工具无法识别这种差异。这一效率盲区对于资源配置决策至关重要。</w:t>
      </w:r>
    </w:p>
    <w:p>
      <w:pPr>
        <w:spacing w:line="360" w:lineRule="auto" w:after="0" w:before="0"/>
        <w:ind w:firstLine="420"/>
      </w:pPr>
      <w:r>
        <w:rPr>
          <w:rFonts w:ascii="Times New Roman" w:hAnsi="Times New Roman" w:eastAsia="宋体"/>
          <w:color w:val="000000"/>
        </w:rPr>
        <w:t>不足三：方法单一，无法揭示绩效形成机制。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spacing w:line="360" w:lineRule="auto" w:after="0" w:before="0"/>
        <w:ind w:firstLine="420"/>
      </w:pPr>
      <w:r>
        <w:rPr>
          <w:rFonts w:ascii="Times New Roman" w:hAnsi="Times New Roman" w:eastAsia="宋体"/>
          <w:color w:val="000000"/>
        </w:rPr>
        <w:t>不足四：忽视"数据口径幻觉"，评估结果可能失真。 现有评估将"数据目录数量"作为核心指标，但未区分"目录数量"和"有效数据集数量"。在"数量导向"激励下，平台运营者有动力上传空壳数据集、创建虚拟目录，导致评估结果可能存在系统性高估。</w:t>
      </w:r>
    </w:p>
    <w:p>
      <w:pPr>
        <w:spacing w:line="360" w:lineRule="auto" w:after="0" w:before="0"/>
        <w:ind w:firstLine="420"/>
      </w:pPr>
      <w:r>
        <w:rPr>
          <w:rFonts w:ascii="Times New Roman" w:hAnsi="Times New Roman" w:eastAsia="宋体"/>
          <w:color w:val="000000"/>
        </w:rPr>
        <w:t>不足五：缺乏多方法三角验证，结论稳健性不足。 现有研究多采用单一方法，缺乏从不同角度分析同一问题的多方法验证。单一方法的结果可能受到方法本身局限性的影响，需要通过多种方法的交叉验证来增强结论的稳健性。</w:t>
      </w:r>
    </w:p>
    <w:p>
      <w:pPr>
        <w:spacing w:line="360" w:lineRule="auto" w:after="0" w:before="0"/>
        <w:ind w:firstLine="420"/>
      </w:pPr>
      <w:r>
        <w:rPr>
          <w:rFonts w:ascii="Times New Roman" w:hAnsi="Times New Roman" w:eastAsia="宋体"/>
          <w:color w:val="000000"/>
        </w:rPr>
        <w:t>不足六：对策建议"一刀切"，缺乏差异化设计。 现有研究多采用"加强数据质量管理""完善法规政策"等宏观建议，缺乏针对不同类型平台的差异化策略。不同平台的绩效短板和优化路径可能截然不同，"一刀切"的建议无法提供具体的优化方向。</w:t>
      </w:r>
    </w:p>
    <w:p>
      <w:pPr>
        <w:spacing w:line="360" w:lineRule="auto" w:after="0" w:before="0"/>
        <w:ind w:firstLine="420"/>
      </w:pPr>
      <w:r>
        <w:rPr>
          <w:rFonts w:ascii="Times New Roman" w:hAnsi="Times New Roman" w:eastAsia="黑体"/>
          <w:b/>
          <w:color w:val="000000"/>
          <w:sz w:val="24"/>
        </w:rPr>
        <w:t>2.5.3 本研究的定位与创新空间</w:t>
      </w:r>
    </w:p>
    <w:p>
      <w:pPr>
        <w:spacing w:line="360" w:lineRule="auto" w:after="0" w:before="0"/>
        <w:ind w:firstLine="420"/>
      </w:pPr>
      <w:r>
        <w:rPr>
          <w:rFonts w:ascii="Times New Roman" w:hAnsi="Times New Roman" w:eastAsia="宋体"/>
          <w:color w:val="000000"/>
        </w:rP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spacing w:line="360" w:lineRule="auto" w:after="0" w:before="0"/>
        <w:ind w:firstLine="420"/>
      </w:pPr>
      <w:r>
        <w:rPr>
          <w:rFonts w:ascii="Times New Roman" w:hAnsi="Times New Roman" w:eastAsia="宋体"/>
          <w:color w:val="000000"/>
        </w:rP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spacing w:line="360" w:lineRule="auto" w:after="0" w:before="0"/>
        <w:ind w:firstLine="420"/>
      </w:pPr>
      <w:r>
        <w:rPr>
          <w:rFonts w:ascii="Times New Roman" w:hAnsi="Times New Roman" w:eastAsia="宋体"/>
          <w:color w:val="000000"/>
        </w:rP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4"/>
        </w:rPr>
        <w:t>1.5 国际比较视野下的中国数据开放定位</w:t>
      </w:r>
    </w:p>
    <w:p>
      <w:pPr>
        <w:spacing w:line="360" w:lineRule="auto" w:after="0" w:before="0"/>
        <w:ind w:firstLine="420"/>
      </w:pPr>
      <w:r>
        <w:rPr>
          <w:rFonts w:ascii="Times New Roman" w:hAnsi="Times New Roman" w:eastAsia="黑体"/>
          <w:b/>
          <w:color w:val="000000"/>
          <w:sz w:val="24"/>
        </w:rPr>
        <w:t>1.5.1 全球数据开放评估体系比较</w:t>
      </w:r>
    </w:p>
    <w:p>
      <w:pPr>
        <w:spacing w:line="360" w:lineRule="auto" w:after="0" w:before="0"/>
        <w:ind w:firstLine="420"/>
      </w:pPr>
      <w:r>
        <w:rPr>
          <w:rFonts w:ascii="Times New Roman" w:hAnsi="Times New Roman" w:eastAsia="宋体"/>
          <w:color w:val="000000"/>
        </w:rPr>
        <w:t>为了更准确地定位我国省级政府数据开放平台的国际位置，本研究对全球主要数据开放评估体系进行了系统比较。表1-4展示了五种代表性评估体系的核心特征。</w:t>
      </w:r>
    </w:p>
    <w:p>
      <w:pPr>
        <w:spacing w:line="360" w:lineRule="auto" w:after="0" w:before="0"/>
        <w:ind w:firstLine="420"/>
      </w:pPr>
      <w:r>
        <w:rPr>
          <w:rFonts w:ascii="Times New Roman" w:hAnsi="Times New Roman" w:eastAsia="宋体"/>
          <w:color w:val="000000"/>
        </w:rPr>
        <w:t>表1-4 全球主要政府数据开放评估体系比较</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评估体系</w:t>
            </w:r>
          </w:p>
        </w:tc>
        <w:tc>
          <w:tcPr>
            <w:tcW w:type="dxa" w:w="1441"/>
            <w:tcBorders/>
          </w:tcPr>
          <w:p>
            <w:pPr>
              <w:jc w:val="center"/>
            </w:pPr>
            <w:r>
              <w:rPr>
                <w:rFonts w:ascii="Times New Roman" w:hAnsi="Times New Roman" w:eastAsia="宋体"/>
                <w:b/>
                <w:sz w:val="21"/>
              </w:rPr>
              <w:t>发布机构</w:t>
            </w:r>
          </w:p>
        </w:tc>
        <w:tc>
          <w:tcPr>
            <w:tcW w:type="dxa" w:w="1441"/>
            <w:tcBorders/>
          </w:tcPr>
          <w:p>
            <w:pPr>
              <w:jc w:val="center"/>
            </w:pPr>
            <w:r>
              <w:rPr>
                <w:rFonts w:ascii="Times New Roman" w:hAnsi="Times New Roman" w:eastAsia="宋体"/>
                <w:b/>
                <w:sz w:val="21"/>
              </w:rPr>
              <w:t>评估维度</w:t>
            </w:r>
          </w:p>
        </w:tc>
        <w:tc>
          <w:tcPr>
            <w:tcW w:type="dxa" w:w="1441"/>
            <w:tcBorders/>
          </w:tcPr>
          <w:p>
            <w:pPr>
              <w:jc w:val="center"/>
            </w:pPr>
            <w:r>
              <w:rPr>
                <w:rFonts w:ascii="Times New Roman" w:hAnsi="Times New Roman" w:eastAsia="宋体"/>
                <w:b/>
                <w:sz w:val="21"/>
              </w:rPr>
              <w:t>覆盖范围</w:t>
            </w:r>
          </w:p>
        </w:tc>
        <w:tc>
          <w:tcPr>
            <w:tcW w:type="dxa" w:w="1441"/>
            <w:tcBorders/>
          </w:tcPr>
          <w:p>
            <w:pPr>
              <w:jc w:val="center"/>
            </w:pPr>
            <w:r>
              <w:rPr>
                <w:rFonts w:ascii="Times New Roman" w:hAnsi="Times New Roman" w:eastAsia="宋体"/>
                <w:b/>
                <w:sz w:val="21"/>
              </w:rPr>
              <w:t>更新频率</w:t>
            </w:r>
          </w:p>
        </w:tc>
        <w:tc>
          <w:tcPr>
            <w:tcW w:type="dxa" w:w="1441"/>
            <w:tcBorders/>
          </w:tcPr>
          <w:p>
            <w:pPr>
              <w:jc w:val="center"/>
            </w:pPr>
            <w:r>
              <w:rPr>
                <w:rFonts w:ascii="Times New Roman" w:hAnsi="Times New Roman" w:eastAsia="宋体"/>
                <w:b/>
                <w:sz w:val="21"/>
              </w:rPr>
              <w:t>方法论特点</w:t>
            </w:r>
          </w:p>
        </w:tc>
      </w:tr>
      <w:tr>
        <w:tc>
          <w:tcPr>
            <w:tcW w:type="dxa" w:w="1441"/>
            <w:tcBorders/>
          </w:tcPr>
          <w:p>
            <w:pPr>
              <w:jc w:val="center"/>
            </w:pPr>
            <w:r>
              <w:rPr>
                <w:rFonts w:ascii="Times New Roman" w:hAnsi="Times New Roman" w:eastAsia="宋体"/>
                <w:sz w:val="21"/>
              </w:rPr>
              <w:t>开放数林指数</w:t>
            </w:r>
          </w:p>
        </w:tc>
        <w:tc>
          <w:tcPr>
            <w:tcW w:type="dxa" w:w="1441"/>
            <w:tcBorders/>
          </w:tcPr>
          <w:p>
            <w:pPr>
              <w:jc w:val="center"/>
            </w:pPr>
            <w:r>
              <w:rPr>
                <w:rFonts w:ascii="Times New Roman" w:hAnsi="Times New Roman" w:eastAsia="宋体"/>
                <w:sz w:val="21"/>
              </w:rPr>
              <w:t>复旦大学</w:t>
            </w:r>
          </w:p>
        </w:tc>
        <w:tc>
          <w:tcPr>
            <w:tcW w:type="dxa" w:w="1441"/>
            <w:tcBorders/>
          </w:tcPr>
          <w:p>
            <w:pPr>
              <w:jc w:val="center"/>
            </w:pPr>
            <w:r>
              <w:rPr>
                <w:rFonts w:ascii="Times New Roman" w:hAnsi="Times New Roman" w:eastAsia="宋体"/>
                <w:sz w:val="21"/>
              </w:rPr>
              <w:t>准备度、平台层、数据层、利用层</w:t>
            </w:r>
          </w:p>
        </w:tc>
        <w:tc>
          <w:tcPr>
            <w:tcW w:type="dxa" w:w="1441"/>
            <w:tcBorders/>
          </w:tcPr>
          <w:p>
            <w:pPr>
              <w:jc w:val="center"/>
            </w:pPr>
            <w:r>
              <w:rPr>
                <w:rFonts w:ascii="Times New Roman" w:hAnsi="Times New Roman" w:eastAsia="宋体"/>
                <w:sz w:val="21"/>
              </w:rPr>
              <w:t>中国地方政府</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综合指数法，侧重供给侧</w:t>
            </w:r>
          </w:p>
        </w:tc>
      </w:tr>
      <w:tr>
        <w:tc>
          <w:tcPr>
            <w:tcW w:type="dxa" w:w="1441"/>
            <w:tcBorders/>
          </w:tcPr>
          <w:p>
            <w:pPr>
              <w:jc w:val="center"/>
            </w:pPr>
            <w:r>
              <w:rPr>
                <w:rFonts w:ascii="Times New Roman" w:hAnsi="Times New Roman" w:eastAsia="宋体"/>
                <w:sz w:val="21"/>
              </w:rPr>
              <w:t>ODB指数</w:t>
            </w:r>
          </w:p>
        </w:tc>
        <w:tc>
          <w:tcPr>
            <w:tcW w:type="dxa" w:w="1441"/>
            <w:tcBorders/>
          </w:tcPr>
          <w:p>
            <w:pPr>
              <w:jc w:val="center"/>
            </w:pPr>
            <w:r>
              <w:rPr>
                <w:rFonts w:ascii="Times New Roman" w:hAnsi="Times New Roman" w:eastAsia="宋体"/>
                <w:sz w:val="21"/>
              </w:rPr>
              <w:t>万维网基金会</w:t>
            </w:r>
          </w:p>
        </w:tc>
        <w:tc>
          <w:tcPr>
            <w:tcW w:type="dxa" w:w="1441"/>
            <w:tcBorders/>
          </w:tcPr>
          <w:p>
            <w:pPr>
              <w:jc w:val="center"/>
            </w:pPr>
            <w:r>
              <w:rPr>
                <w:rFonts w:ascii="Times New Roman" w:hAnsi="Times New Roman" w:eastAsia="宋体"/>
                <w:sz w:val="21"/>
              </w:rPr>
              <w:t>就绪度、实施度、影响力</w:t>
            </w:r>
          </w:p>
        </w:tc>
        <w:tc>
          <w:tcPr>
            <w:tcW w:type="dxa" w:w="1441"/>
            <w:tcBorders/>
          </w:tcPr>
          <w:p>
            <w:pPr>
              <w:jc w:val="center"/>
            </w:pPr>
            <w:r>
              <w:rPr>
                <w:rFonts w:ascii="Times New Roman" w:hAnsi="Times New Roman" w:eastAsia="宋体"/>
                <w:sz w:val="21"/>
              </w:rPr>
              <w:t>全球115国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专家打分+数据验证</w:t>
            </w:r>
          </w:p>
        </w:tc>
      </w:tr>
      <w:tr>
        <w:tc>
          <w:tcPr>
            <w:tcW w:type="dxa" w:w="1441"/>
            <w:tcBorders/>
          </w:tcPr>
          <w:p>
            <w:pPr>
              <w:jc w:val="center"/>
            </w:pPr>
            <w:r>
              <w:rPr>
                <w:rFonts w:ascii="Times New Roman" w:hAnsi="Times New Roman" w:eastAsia="宋体"/>
                <w:sz w:val="21"/>
              </w:rPr>
              <w:t>OURdata指数</w:t>
            </w:r>
          </w:p>
        </w:tc>
        <w:tc>
          <w:tcPr>
            <w:tcW w:type="dxa" w:w="1441"/>
            <w:tcBorders/>
          </w:tcPr>
          <w:p>
            <w:pPr>
              <w:jc w:val="center"/>
            </w:pPr>
            <w:r>
              <w:rPr>
                <w:rFonts w:ascii="Times New Roman" w:hAnsi="Times New Roman" w:eastAsia="宋体"/>
                <w:sz w:val="21"/>
              </w:rPr>
              <w:t>OECD</w:t>
            </w:r>
          </w:p>
        </w:tc>
        <w:tc>
          <w:tcPr>
            <w:tcW w:type="dxa" w:w="1441"/>
            <w:tcBorders/>
          </w:tcPr>
          <w:p>
            <w:pPr>
              <w:jc w:val="center"/>
            </w:pPr>
            <w:r>
              <w:rPr>
                <w:rFonts w:ascii="Times New Roman" w:hAnsi="Times New Roman" w:eastAsia="宋体"/>
                <w:sz w:val="21"/>
              </w:rPr>
              <w:t>数据可得性、可及性、再利用</w:t>
            </w:r>
          </w:p>
        </w:tc>
        <w:tc>
          <w:tcPr>
            <w:tcW w:type="dxa" w:w="1441"/>
            <w:tcBorders/>
          </w:tcPr>
          <w:p>
            <w:pPr>
              <w:jc w:val="center"/>
            </w:pPr>
            <w:r>
              <w:rPr>
                <w:rFonts w:ascii="Times New Roman" w:hAnsi="Times New Roman" w:eastAsia="宋体"/>
                <w:sz w:val="21"/>
              </w:rPr>
              <w:t>OECD成员国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政策评估为主</w:t>
            </w:r>
          </w:p>
        </w:tc>
      </w:tr>
      <w:tr>
        <w:tc>
          <w:tcPr>
            <w:tcW w:type="dxa" w:w="1441"/>
            <w:tcBorders/>
          </w:tcPr>
          <w:p>
            <w:pPr>
              <w:jc w:val="center"/>
            </w:pPr>
            <w:r>
              <w:rPr>
                <w:rFonts w:ascii="Times New Roman" w:hAnsi="Times New Roman" w:eastAsia="宋体"/>
                <w:sz w:val="21"/>
              </w:rPr>
              <w:t>开放数据晴雨表</w:t>
            </w:r>
          </w:p>
        </w:tc>
        <w:tc>
          <w:tcPr>
            <w:tcW w:type="dxa" w:w="1441"/>
            <w:tcBorders/>
          </w:tcPr>
          <w:p>
            <w:pPr>
              <w:jc w:val="center"/>
            </w:pPr>
            <w:r>
              <w:rPr>
                <w:rFonts w:ascii="Times New Roman" w:hAnsi="Times New Roman" w:eastAsia="宋体"/>
                <w:sz w:val="21"/>
              </w:rPr>
              <w:t>开放数据研究所</w:t>
            </w:r>
          </w:p>
        </w:tc>
        <w:tc>
          <w:tcPr>
            <w:tcW w:type="dxa" w:w="1441"/>
            <w:tcBorders/>
          </w:tcPr>
          <w:p>
            <w:pPr>
              <w:jc w:val="center"/>
            </w:pPr>
            <w:r>
              <w:rPr>
                <w:rFonts w:ascii="Times New Roman" w:hAnsi="Times New Roman" w:eastAsia="宋体"/>
                <w:sz w:val="21"/>
              </w:rPr>
              <w:t>就绪度、实施度、影响力</w:t>
            </w:r>
          </w:p>
        </w:tc>
        <w:tc>
          <w:tcPr>
            <w:tcW w:type="dxa" w:w="1441"/>
            <w:tcBorders/>
          </w:tcPr>
          <w:p>
            <w:pPr>
              <w:jc w:val="center"/>
            </w:pPr>
            <w:r>
              <w:rPr>
                <w:rFonts w:ascii="Times New Roman" w:hAnsi="Times New Roman" w:eastAsia="宋体"/>
                <w:sz w:val="21"/>
              </w:rPr>
              <w:t>全球30国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混合方法，重视利用效果</w:t>
            </w:r>
          </w:p>
        </w:tc>
      </w:tr>
      <w:tr>
        <w:tc>
          <w:tcPr>
            <w:tcW w:type="dxa" w:w="1441"/>
            <w:tcBorders/>
          </w:tcPr>
          <w:p>
            <w:pPr>
              <w:jc w:val="center"/>
            </w:pPr>
            <w:r>
              <w:rPr>
                <w:rFonts w:ascii="Times New Roman" w:hAnsi="Times New Roman" w:eastAsia="宋体"/>
                <w:sz w:val="21"/>
              </w:rPr>
              <w:t>EU开放数据成熟度</w:t>
            </w:r>
          </w:p>
        </w:tc>
        <w:tc>
          <w:tcPr>
            <w:tcW w:type="dxa" w:w="1441"/>
            <w:tcBorders/>
          </w:tcPr>
          <w:p>
            <w:pPr>
              <w:jc w:val="center"/>
            </w:pPr>
            <w:r>
              <w:rPr>
                <w:rFonts w:ascii="Times New Roman" w:hAnsi="Times New Roman" w:eastAsia="宋体"/>
                <w:sz w:val="21"/>
              </w:rPr>
              <w:t>欧盟委员会</w:t>
            </w:r>
          </w:p>
        </w:tc>
        <w:tc>
          <w:tcPr>
            <w:tcW w:type="dxa" w:w="1441"/>
            <w:tcBorders/>
          </w:tcPr>
          <w:p>
            <w:pPr>
              <w:jc w:val="center"/>
            </w:pPr>
            <w:r>
              <w:rPr>
                <w:rFonts w:ascii="Times New Roman" w:hAnsi="Times New Roman" w:eastAsia="宋体"/>
                <w:sz w:val="21"/>
              </w:rPr>
              <w:t>政策、门户、数据质量、影响</w:t>
            </w:r>
          </w:p>
        </w:tc>
        <w:tc>
          <w:tcPr>
            <w:tcW w:type="dxa" w:w="1441"/>
            <w:tcBorders/>
          </w:tcPr>
          <w:p>
            <w:pPr>
              <w:jc w:val="center"/>
            </w:pPr>
            <w:r>
              <w:rPr>
                <w:rFonts w:ascii="Times New Roman" w:hAnsi="Times New Roman" w:eastAsia="宋体"/>
                <w:sz w:val="21"/>
              </w:rPr>
              <w:t>欧盟成员国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自评估+专家审核</w:t>
            </w:r>
          </w:p>
        </w:tc>
      </w:tr>
    </w:tbl>
    <w:p/>
    <w:p>
      <w:pPr>
        <w:spacing w:line="360" w:lineRule="auto" w:after="0" w:before="0"/>
        <w:ind w:firstLine="420"/>
      </w:pPr>
      <w:r>
        <w:rPr>
          <w:rFonts w:ascii="Times New Roman" w:hAnsi="Times New Roman" w:eastAsia="宋体"/>
          <w:color w:val="000000"/>
        </w:rPr>
        <w:t>数据来源：各评估体系官方报告，2024年</w:t>
      </w:r>
    </w:p>
    <w:p>
      <w:pPr>
        <w:spacing w:line="360" w:lineRule="auto" w:after="0" w:before="0"/>
        <w:ind w:firstLine="420"/>
      </w:pPr>
      <w:r>
        <w:rPr>
          <w:rFonts w:ascii="Times New Roman" w:hAnsi="Times New Roman" w:eastAsia="宋体"/>
          <w:color w:val="000000"/>
        </w:rPr>
        <w:t>从表1-4可以看出，现有评估体系在方法论上存在三个共性局限。第一，评估维度同质化——大多数体系都包含"准备度/就绪度""实施度/平台层"和"影响力/利用层"三个维度，但在具体指标设计和权重分配上差异显著。第二，数据可得性约束——国际评估体系（如ODB、OURdata）主要依赖各国自报数据和专家打分，缺乏独立的第三方数据采集和验证机制，评估结果的客观性受到质疑。第三，利用效果测量薄弱——所有评估体系都将"利用效果"作为评估维度之一，但测量方法普遍停留在"应用数量统计"和"创新比赛记录"层面，缺乏对数据利用深度、广度和价值的系统测量。</w:t>
      </w:r>
    </w:p>
    <w:p>
      <w:pPr>
        <w:spacing w:line="360" w:lineRule="auto" w:after="0" w:before="0"/>
        <w:ind w:firstLine="420"/>
      </w:pPr>
      <w:r>
        <w:rPr>
          <w:rFonts w:ascii="Times New Roman" w:hAnsi="Times New Roman" w:eastAsia="宋体"/>
          <w:color w:val="000000"/>
        </w:rPr>
        <w:t>本研究构建的4E评估框架在以下方面实现了对现有评估体系的方法论突破。第一，独立数据采集——依托OGD-Collector Pro系统，本研究实现了对28个省级平台的独立、自动化数据采集，避免了自报数据的偏差。第二，效果导向设计——将"利用效果"维度的权重提升至30%以上，并引入了API调用深度、授权运营成效等前瞻性指标，超越了简单的"应用数量统计"。第三，效率维度创新——首次将DEA效率分析引入数据开放评估，揭示了"高绩效低效率"和"低绩效高效率"现象，为资源配置优化提供了新视角。</w:t>
      </w:r>
    </w:p>
    <w:p>
      <w:pPr>
        <w:spacing w:line="360" w:lineRule="auto" w:after="0" w:before="0"/>
        <w:ind w:firstLine="420"/>
      </w:pPr>
      <w:r>
        <w:rPr>
          <w:rFonts w:ascii="Times New Roman" w:hAnsi="Times New Roman" w:eastAsia="黑体"/>
          <w:b/>
          <w:color w:val="000000"/>
          <w:sz w:val="24"/>
        </w:rPr>
        <w:t>1.5.2 中外数据开放平台功能对比</w:t>
      </w:r>
    </w:p>
    <w:p>
      <w:pPr>
        <w:spacing w:line="360" w:lineRule="auto" w:after="0" w:before="0"/>
        <w:ind w:firstLine="420"/>
      </w:pPr>
      <w:r>
        <w:rPr>
          <w:rFonts w:ascii="Times New Roman" w:hAnsi="Times New Roman" w:eastAsia="宋体"/>
          <w:color w:val="000000"/>
        </w:rPr>
        <w:t>为了更深入地理解我国数据开放平台与国际先进水平的差距，本研究选取了美国Data.gov、英国data.gov.uk、欧盟data.europa.eu和我国浙江数据开放平台进行了功能对比分析。表1-5展示了四个平台在核心功能维度上的差异。</w:t>
      </w:r>
    </w:p>
    <w:p>
      <w:pPr>
        <w:spacing w:line="360" w:lineRule="auto" w:after="0" w:before="0"/>
        <w:ind w:firstLine="420"/>
      </w:pPr>
      <w:r>
        <w:rPr>
          <w:rFonts w:ascii="Times New Roman" w:hAnsi="Times New Roman" w:eastAsia="宋体"/>
          <w:color w:val="000000"/>
        </w:rPr>
        <w:t>表1-5 中外代表性数据开放平台功能对比</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功能维度</w:t>
            </w:r>
          </w:p>
        </w:tc>
        <w:tc>
          <w:tcPr>
            <w:tcW w:type="dxa" w:w="1729"/>
            <w:tcBorders/>
          </w:tcPr>
          <w:p>
            <w:pPr>
              <w:jc w:val="center"/>
            </w:pPr>
            <w:r>
              <w:rPr>
                <w:rFonts w:ascii="Times New Roman" w:hAnsi="Times New Roman" w:eastAsia="宋体"/>
                <w:b/>
                <w:sz w:val="21"/>
              </w:rPr>
              <w:t>美国Data.gov</w:t>
            </w:r>
          </w:p>
        </w:tc>
        <w:tc>
          <w:tcPr>
            <w:tcW w:type="dxa" w:w="1729"/>
            <w:tcBorders/>
          </w:tcPr>
          <w:p>
            <w:pPr>
              <w:jc w:val="center"/>
            </w:pPr>
            <w:r>
              <w:rPr>
                <w:rFonts w:ascii="Times New Roman" w:hAnsi="Times New Roman" w:eastAsia="宋体"/>
                <w:b/>
                <w:sz w:val="21"/>
              </w:rPr>
              <w:t>英国data.gov.uk</w:t>
            </w:r>
          </w:p>
        </w:tc>
        <w:tc>
          <w:tcPr>
            <w:tcW w:type="dxa" w:w="1729"/>
            <w:tcBorders/>
          </w:tcPr>
          <w:p>
            <w:pPr>
              <w:jc w:val="center"/>
            </w:pPr>
            <w:r>
              <w:rPr>
                <w:rFonts w:ascii="Times New Roman" w:hAnsi="Times New Roman" w:eastAsia="宋体"/>
                <w:b/>
                <w:sz w:val="21"/>
              </w:rPr>
              <w:t>欧盟data.europa.eu</w:t>
            </w:r>
          </w:p>
        </w:tc>
        <w:tc>
          <w:tcPr>
            <w:tcW w:type="dxa" w:w="1729"/>
            <w:tcBorders/>
          </w:tcPr>
          <w:p>
            <w:pPr>
              <w:jc w:val="center"/>
            </w:pPr>
            <w:r>
              <w:rPr>
                <w:rFonts w:ascii="Times New Roman" w:hAnsi="Times New Roman" w:eastAsia="宋体"/>
                <w:b/>
                <w:sz w:val="21"/>
              </w:rPr>
              <w:t>中国浙江</w:t>
            </w:r>
          </w:p>
        </w:tc>
      </w:tr>
      <w:tr>
        <w:tc>
          <w:tcPr>
            <w:tcW w:type="dxa" w:w="1729"/>
            <w:tcBorders/>
          </w:tcPr>
          <w:p>
            <w:pPr>
              <w:jc w:val="center"/>
            </w:pPr>
            <w:r>
              <w:rPr>
                <w:rFonts w:ascii="Times New Roman" w:hAnsi="Times New Roman" w:eastAsia="宋体"/>
                <w:sz w:val="21"/>
              </w:rPr>
              <w:t>数据集数量</w:t>
            </w:r>
          </w:p>
        </w:tc>
        <w:tc>
          <w:tcPr>
            <w:tcW w:type="dxa" w:w="1729"/>
            <w:tcBorders/>
          </w:tcPr>
          <w:p>
            <w:pPr>
              <w:jc w:val="center"/>
            </w:pPr>
            <w:r>
              <w:rPr>
                <w:rFonts w:ascii="Times New Roman" w:hAnsi="Times New Roman" w:eastAsia="宋体"/>
                <w:sz w:val="21"/>
              </w:rPr>
              <w:t>200,000+</w:t>
            </w:r>
          </w:p>
        </w:tc>
        <w:tc>
          <w:tcPr>
            <w:tcW w:type="dxa" w:w="1729"/>
            <w:tcBorders/>
          </w:tcPr>
          <w:p>
            <w:pPr>
              <w:jc w:val="center"/>
            </w:pPr>
            <w:r>
              <w:rPr>
                <w:rFonts w:ascii="Times New Roman" w:hAnsi="Times New Roman" w:eastAsia="宋体"/>
                <w:sz w:val="21"/>
              </w:rPr>
              <w:t>50,000+</w:t>
            </w:r>
          </w:p>
        </w:tc>
        <w:tc>
          <w:tcPr>
            <w:tcW w:type="dxa" w:w="1729"/>
            <w:tcBorders/>
          </w:tcPr>
          <w:p>
            <w:pPr>
              <w:jc w:val="center"/>
            </w:pPr>
            <w:r>
              <w:rPr>
                <w:rFonts w:ascii="Times New Roman" w:hAnsi="Times New Roman" w:eastAsia="宋体"/>
                <w:sz w:val="21"/>
              </w:rPr>
              <w:t>15,000+</w:t>
            </w:r>
          </w:p>
        </w:tc>
        <w:tc>
          <w:tcPr>
            <w:tcW w:type="dxa" w:w="1729"/>
            <w:tcBorders/>
          </w:tcPr>
          <w:p>
            <w:pPr>
              <w:jc w:val="center"/>
            </w:pPr>
            <w:r>
              <w:rPr>
                <w:rFonts w:ascii="Times New Roman" w:hAnsi="Times New Roman" w:eastAsia="宋体"/>
                <w:sz w:val="21"/>
              </w:rPr>
              <w:t>15,700</w:t>
            </w:r>
          </w:p>
        </w:tc>
      </w:tr>
      <w:tr>
        <w:tc>
          <w:tcPr>
            <w:tcW w:type="dxa" w:w="1729"/>
            <w:tcBorders/>
          </w:tcPr>
          <w:p>
            <w:pPr>
              <w:jc w:val="center"/>
            </w:pPr>
            <w:r>
              <w:rPr>
                <w:rFonts w:ascii="Times New Roman" w:hAnsi="Times New Roman" w:eastAsia="宋体"/>
                <w:sz w:val="21"/>
              </w:rPr>
              <w:t>API接口</w:t>
            </w:r>
          </w:p>
        </w:tc>
        <w:tc>
          <w:tcPr>
            <w:tcW w:type="dxa" w:w="1729"/>
            <w:tcBorders/>
          </w:tcPr>
          <w:p>
            <w:pPr>
              <w:jc w:val="center"/>
            </w:pPr>
            <w:r>
              <w:rPr>
                <w:rFonts w:ascii="Times New Roman" w:hAnsi="Times New Roman" w:eastAsia="宋体"/>
                <w:sz w:val="21"/>
              </w:rPr>
              <w:t>全面支持</w:t>
            </w:r>
          </w:p>
        </w:tc>
        <w:tc>
          <w:tcPr>
            <w:tcW w:type="dxa" w:w="1729"/>
            <w:tcBorders/>
          </w:tcPr>
          <w:p>
            <w:pPr>
              <w:jc w:val="center"/>
            </w:pPr>
            <w:r>
              <w:rPr>
                <w:rFonts w:ascii="Times New Roman" w:hAnsi="Times New Roman" w:eastAsia="宋体"/>
                <w:sz w:val="21"/>
              </w:rPr>
              <w:t>部分支持</w:t>
            </w:r>
          </w:p>
        </w:tc>
        <w:tc>
          <w:tcPr>
            <w:tcW w:type="dxa" w:w="1729"/>
            <w:tcBorders/>
          </w:tcPr>
          <w:p>
            <w:pPr>
              <w:jc w:val="center"/>
            </w:pPr>
            <w:r>
              <w:rPr>
                <w:rFonts w:ascii="Times New Roman" w:hAnsi="Times New Roman" w:eastAsia="宋体"/>
                <w:sz w:val="21"/>
              </w:rPr>
              <w:t>全面支持</w:t>
            </w:r>
          </w:p>
        </w:tc>
        <w:tc>
          <w:tcPr>
            <w:tcW w:type="dxa" w:w="1729"/>
            <w:tcBorders/>
          </w:tcPr>
          <w:p>
            <w:pPr>
              <w:jc w:val="center"/>
            </w:pPr>
            <w:r>
              <w:rPr>
                <w:rFonts w:ascii="Times New Roman" w:hAnsi="Times New Roman" w:eastAsia="宋体"/>
                <w:sz w:val="21"/>
              </w:rPr>
              <w:t>部分支持</w:t>
            </w:r>
          </w:p>
        </w:tc>
      </w:tr>
      <w:tr>
        <w:tc>
          <w:tcPr>
            <w:tcW w:type="dxa" w:w="1729"/>
            <w:tcBorders/>
          </w:tcPr>
          <w:p>
            <w:pPr>
              <w:jc w:val="center"/>
            </w:pPr>
            <w:r>
              <w:rPr>
                <w:rFonts w:ascii="Times New Roman" w:hAnsi="Times New Roman" w:eastAsia="宋体"/>
                <w:sz w:val="21"/>
              </w:rPr>
              <w:t>数据可视化</w:t>
            </w:r>
          </w:p>
        </w:tc>
        <w:tc>
          <w:tcPr>
            <w:tcW w:type="dxa" w:w="1729"/>
            <w:tcBorders/>
          </w:tcPr>
          <w:p>
            <w:pPr>
              <w:jc w:val="center"/>
            </w:pPr>
            <w:r>
              <w:rPr>
                <w:rFonts w:ascii="Times New Roman" w:hAnsi="Times New Roman" w:eastAsia="宋体"/>
                <w:sz w:val="21"/>
              </w:rPr>
              <w:t>内置工具</w:t>
            </w:r>
          </w:p>
        </w:tc>
        <w:tc>
          <w:tcPr>
            <w:tcW w:type="dxa" w:w="1729"/>
            <w:tcBorders/>
          </w:tcPr>
          <w:p>
            <w:pPr>
              <w:jc w:val="center"/>
            </w:pPr>
            <w:r>
              <w:rPr>
                <w:rFonts w:ascii="Times New Roman" w:hAnsi="Times New Roman" w:eastAsia="宋体"/>
                <w:sz w:val="21"/>
              </w:rPr>
              <w:t>第三方集成</w:t>
            </w:r>
          </w:p>
        </w:tc>
        <w:tc>
          <w:tcPr>
            <w:tcW w:type="dxa" w:w="1729"/>
            <w:tcBorders/>
          </w:tcPr>
          <w:p>
            <w:pPr>
              <w:jc w:val="center"/>
            </w:pPr>
            <w:r>
              <w:rPr>
                <w:rFonts w:ascii="Times New Roman" w:hAnsi="Times New Roman" w:eastAsia="宋体"/>
                <w:sz w:val="21"/>
              </w:rPr>
              <w:t>内置工具</w:t>
            </w:r>
          </w:p>
        </w:tc>
        <w:tc>
          <w:tcPr>
            <w:tcW w:type="dxa" w:w="1729"/>
            <w:tcBorders/>
          </w:tcPr>
          <w:p>
            <w:pPr>
              <w:jc w:val="center"/>
            </w:pPr>
            <w:r>
              <w:rPr>
                <w:rFonts w:ascii="Times New Roman" w:hAnsi="Times New Roman" w:eastAsia="宋体"/>
                <w:sz w:val="21"/>
              </w:rPr>
              <w:t>基础功能</w:t>
            </w:r>
          </w:p>
        </w:tc>
      </w:tr>
      <w:tr>
        <w:tc>
          <w:tcPr>
            <w:tcW w:type="dxa" w:w="1729"/>
            <w:tcBorders/>
          </w:tcPr>
          <w:p>
            <w:pPr>
              <w:jc w:val="center"/>
            </w:pPr>
            <w:r>
              <w:rPr>
                <w:rFonts w:ascii="Times New Roman" w:hAnsi="Times New Roman" w:eastAsia="宋体"/>
                <w:sz w:val="21"/>
              </w:rPr>
              <w:t>开发者社区</w:t>
            </w:r>
          </w:p>
        </w:tc>
        <w:tc>
          <w:tcPr>
            <w:tcW w:type="dxa" w:w="1729"/>
            <w:tcBorders/>
          </w:tcPr>
          <w:p>
            <w:pPr>
              <w:jc w:val="center"/>
            </w:pPr>
            <w:r>
              <w:rPr>
                <w:rFonts w:ascii="Times New Roman" w:hAnsi="Times New Roman" w:eastAsia="宋体"/>
                <w:sz w:val="21"/>
              </w:rPr>
              <w:t>活跃</w:t>
            </w:r>
          </w:p>
        </w:tc>
        <w:tc>
          <w:tcPr>
            <w:tcW w:type="dxa" w:w="1729"/>
            <w:tcBorders/>
          </w:tcPr>
          <w:p>
            <w:pPr>
              <w:jc w:val="center"/>
            </w:pPr>
            <w:r>
              <w:rPr>
                <w:rFonts w:ascii="Times New Roman" w:hAnsi="Times New Roman" w:eastAsia="宋体"/>
                <w:sz w:val="21"/>
              </w:rPr>
              <w:t>一般</w:t>
            </w:r>
          </w:p>
        </w:tc>
        <w:tc>
          <w:tcPr>
            <w:tcW w:type="dxa" w:w="1729"/>
            <w:tcBorders/>
          </w:tcPr>
          <w:p>
            <w:pPr>
              <w:jc w:val="center"/>
            </w:pPr>
            <w:r>
              <w:rPr>
                <w:rFonts w:ascii="Times New Roman" w:hAnsi="Times New Roman" w:eastAsia="宋体"/>
                <w:sz w:val="21"/>
              </w:rPr>
              <w:t>活跃</w:t>
            </w:r>
          </w:p>
        </w:tc>
        <w:tc>
          <w:tcPr>
            <w:tcW w:type="dxa" w:w="1729"/>
            <w:tcBorders/>
          </w:tcPr>
          <w:p>
            <w:pPr>
              <w:jc w:val="center"/>
            </w:pPr>
            <w:r>
              <w:rPr>
                <w:rFonts w:ascii="Times New Roman" w:hAnsi="Times New Roman" w:eastAsia="宋体"/>
                <w:sz w:val="21"/>
              </w:rPr>
              <w:t>初步建立</w:t>
            </w:r>
          </w:p>
        </w:tc>
      </w:tr>
      <w:tr>
        <w:tc>
          <w:tcPr>
            <w:tcW w:type="dxa" w:w="1729"/>
            <w:tcBorders/>
          </w:tcPr>
          <w:p>
            <w:pPr>
              <w:jc w:val="center"/>
            </w:pPr>
            <w:r>
              <w:rPr>
                <w:rFonts w:ascii="Times New Roman" w:hAnsi="Times New Roman" w:eastAsia="宋体"/>
                <w:sz w:val="21"/>
              </w:rPr>
              <w:t>数据质量评分</w:t>
            </w:r>
          </w:p>
        </w:tc>
        <w:tc>
          <w:tcPr>
            <w:tcW w:type="dxa" w:w="1729"/>
            <w:tcBorders/>
          </w:tcPr>
          <w:p>
            <w:pPr>
              <w:jc w:val="center"/>
            </w:pPr>
            <w:r>
              <w:rPr>
                <w:rFonts w:ascii="Times New Roman" w:hAnsi="Times New Roman" w:eastAsia="宋体"/>
                <w:sz w:val="21"/>
              </w:rPr>
              <w:t>五星星级</w:t>
            </w:r>
          </w:p>
        </w:tc>
        <w:tc>
          <w:tcPr>
            <w:tcW w:type="dxa" w:w="1729"/>
            <w:tcBorders/>
          </w:tcPr>
          <w:p>
            <w:pPr>
              <w:jc w:val="center"/>
            </w:pPr>
            <w:r>
              <w:rPr>
                <w:rFonts w:ascii="Times New Roman" w:hAnsi="Times New Roman" w:eastAsia="宋体"/>
                <w:sz w:val="21"/>
              </w:rPr>
              <w:t>无</w:t>
            </w:r>
          </w:p>
        </w:tc>
        <w:tc>
          <w:tcPr>
            <w:tcW w:type="dxa" w:w="1729"/>
            <w:tcBorders/>
          </w:tcPr>
          <w:p>
            <w:pPr>
              <w:jc w:val="center"/>
            </w:pPr>
            <w:r>
              <w:rPr>
                <w:rFonts w:ascii="Times New Roman" w:hAnsi="Times New Roman" w:eastAsia="宋体"/>
                <w:sz w:val="21"/>
              </w:rPr>
              <w:t>元数据完整性</w:t>
            </w:r>
          </w:p>
        </w:tc>
        <w:tc>
          <w:tcPr>
            <w:tcW w:type="dxa" w:w="1729"/>
            <w:tcBorders/>
          </w:tcPr>
          <w:p>
            <w:pPr>
              <w:jc w:val="center"/>
            </w:pPr>
            <w:r>
              <w:rPr>
                <w:rFonts w:ascii="Times New Roman" w:hAnsi="Times New Roman" w:eastAsia="宋体"/>
                <w:sz w:val="21"/>
              </w:rPr>
              <w:t>无</w:t>
            </w:r>
          </w:p>
        </w:tc>
      </w:tr>
      <w:tr>
        <w:tc>
          <w:tcPr>
            <w:tcW w:type="dxa" w:w="1729"/>
            <w:tcBorders/>
          </w:tcPr>
          <w:p>
            <w:pPr>
              <w:jc w:val="center"/>
            </w:pPr>
            <w:r>
              <w:rPr>
                <w:rFonts w:ascii="Times New Roman" w:hAnsi="Times New Roman" w:eastAsia="宋体"/>
                <w:sz w:val="21"/>
              </w:rPr>
              <w:t>用户反馈机制</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初步建立</w:t>
            </w:r>
          </w:p>
        </w:tc>
      </w:tr>
      <w:tr>
        <w:tc>
          <w:tcPr>
            <w:tcW w:type="dxa" w:w="1729"/>
            <w:tcBorders/>
          </w:tcPr>
          <w:p>
            <w:pPr>
              <w:jc w:val="center"/>
            </w:pPr>
            <w:r>
              <w:rPr>
                <w:rFonts w:ascii="Times New Roman" w:hAnsi="Times New Roman" w:eastAsia="宋体"/>
                <w:sz w:val="21"/>
              </w:rPr>
              <w:t>多语言支持</w:t>
            </w:r>
          </w:p>
        </w:tc>
        <w:tc>
          <w:tcPr>
            <w:tcW w:type="dxa" w:w="1729"/>
            <w:tcBorders/>
          </w:tcPr>
          <w:p>
            <w:pPr>
              <w:jc w:val="center"/>
            </w:pPr>
            <w:r>
              <w:rPr>
                <w:rFonts w:ascii="Times New Roman" w:hAnsi="Times New Roman" w:eastAsia="宋体"/>
                <w:sz w:val="21"/>
              </w:rPr>
              <w:t>英语</w:t>
            </w:r>
          </w:p>
        </w:tc>
        <w:tc>
          <w:tcPr>
            <w:tcW w:type="dxa" w:w="1729"/>
            <w:tcBorders/>
          </w:tcPr>
          <w:p>
            <w:pPr>
              <w:jc w:val="center"/>
            </w:pPr>
            <w:r>
              <w:rPr>
                <w:rFonts w:ascii="Times New Roman" w:hAnsi="Times New Roman" w:eastAsia="宋体"/>
                <w:sz w:val="21"/>
              </w:rPr>
              <w:t>英语</w:t>
            </w:r>
          </w:p>
        </w:tc>
        <w:tc>
          <w:tcPr>
            <w:tcW w:type="dxa" w:w="1729"/>
            <w:tcBorders/>
          </w:tcPr>
          <w:p>
            <w:pPr>
              <w:jc w:val="center"/>
            </w:pPr>
            <w:r>
              <w:rPr>
                <w:rFonts w:ascii="Times New Roman" w:hAnsi="Times New Roman" w:eastAsia="宋体"/>
                <w:sz w:val="21"/>
              </w:rPr>
              <w:t>24种语言</w:t>
            </w:r>
          </w:p>
        </w:tc>
        <w:tc>
          <w:tcPr>
            <w:tcW w:type="dxa" w:w="1729"/>
            <w:tcBorders/>
          </w:tcPr>
          <w:p>
            <w:pPr>
              <w:jc w:val="center"/>
            </w:pPr>
            <w:r>
              <w:rPr>
                <w:rFonts w:ascii="Times New Roman" w:hAnsi="Times New Roman" w:eastAsia="宋体"/>
                <w:sz w:val="21"/>
              </w:rPr>
              <w:t>中文</w:t>
            </w:r>
          </w:p>
        </w:tc>
      </w:tr>
      <w:tr>
        <w:tc>
          <w:tcPr>
            <w:tcW w:type="dxa" w:w="1729"/>
            <w:tcBorders/>
          </w:tcPr>
          <w:p>
            <w:pPr>
              <w:jc w:val="center"/>
            </w:pPr>
            <w:r>
              <w:rPr>
                <w:rFonts w:ascii="Times New Roman" w:hAnsi="Times New Roman" w:eastAsia="宋体"/>
                <w:sz w:val="21"/>
              </w:rPr>
              <w:t>开放许可协议</w:t>
            </w:r>
          </w:p>
        </w:tc>
        <w:tc>
          <w:tcPr>
            <w:tcW w:type="dxa" w:w="1729"/>
            <w:tcBorders/>
          </w:tcPr>
          <w:p>
            <w:pPr>
              <w:jc w:val="center"/>
            </w:pPr>
            <w:r>
              <w:rPr>
                <w:rFonts w:ascii="Times New Roman" w:hAnsi="Times New Roman" w:eastAsia="宋体"/>
                <w:sz w:val="21"/>
              </w:rPr>
              <w:t>CC0为主</w:t>
            </w:r>
          </w:p>
        </w:tc>
        <w:tc>
          <w:tcPr>
            <w:tcW w:type="dxa" w:w="1729"/>
            <w:tcBorders/>
          </w:tcPr>
          <w:p>
            <w:pPr>
              <w:jc w:val="center"/>
            </w:pPr>
            <w:r>
              <w:rPr>
                <w:rFonts w:ascii="Times New Roman" w:hAnsi="Times New Roman" w:eastAsia="宋体"/>
                <w:sz w:val="21"/>
              </w:rPr>
              <w:t>OGL为主</w:t>
            </w:r>
          </w:p>
        </w:tc>
        <w:tc>
          <w:tcPr>
            <w:tcW w:type="dxa" w:w="1729"/>
            <w:tcBorders/>
          </w:tcPr>
          <w:p>
            <w:pPr>
              <w:jc w:val="center"/>
            </w:pPr>
            <w:r>
              <w:rPr>
                <w:rFonts w:ascii="Times New Roman" w:hAnsi="Times New Roman" w:eastAsia="宋体"/>
                <w:sz w:val="21"/>
              </w:rPr>
              <w:t>CC0为主</w:t>
            </w:r>
          </w:p>
        </w:tc>
        <w:tc>
          <w:tcPr>
            <w:tcW w:type="dxa" w:w="1729"/>
            <w:tcBorders/>
          </w:tcPr>
          <w:p>
            <w:pPr>
              <w:jc w:val="center"/>
            </w:pPr>
            <w:r>
              <w:rPr>
                <w:rFonts w:ascii="Times New Roman" w:hAnsi="Times New Roman" w:eastAsia="宋体"/>
                <w:sz w:val="21"/>
              </w:rPr>
              <w:t>混合</w:t>
            </w:r>
          </w:p>
        </w:tc>
      </w:tr>
      <w:tr>
        <w:tc>
          <w:tcPr>
            <w:tcW w:type="dxa" w:w="1729"/>
            <w:tcBorders/>
          </w:tcPr>
          <w:p>
            <w:pPr>
              <w:jc w:val="center"/>
            </w:pPr>
            <w:r>
              <w:rPr>
                <w:rFonts w:ascii="Times New Roman" w:hAnsi="Times New Roman" w:eastAsia="宋体"/>
                <w:sz w:val="21"/>
              </w:rPr>
              <w:t>地理信息展示</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基础</w:t>
            </w:r>
          </w:p>
        </w:tc>
      </w:tr>
      <w:tr>
        <w:tc>
          <w:tcPr>
            <w:tcW w:type="dxa" w:w="1729"/>
            <w:tcBorders/>
          </w:tcPr>
          <w:p>
            <w:pPr>
              <w:jc w:val="center"/>
            </w:pPr>
            <w:r>
              <w:rPr>
                <w:rFonts w:ascii="Times New Roman" w:hAnsi="Times New Roman" w:eastAsia="宋体"/>
                <w:sz w:val="21"/>
              </w:rPr>
              <w:t>数据故事/案例</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较少</w:t>
            </w:r>
          </w:p>
        </w:tc>
      </w:tr>
    </w:tbl>
    <w:p/>
    <w:p>
      <w:pPr>
        <w:spacing w:line="360" w:lineRule="auto" w:after="0" w:before="0"/>
        <w:ind w:firstLine="420"/>
      </w:pPr>
      <w:r>
        <w:rPr>
          <w:rFonts w:ascii="Times New Roman" w:hAnsi="Times New Roman" w:eastAsia="宋体"/>
          <w:color w:val="000000"/>
        </w:rPr>
        <w:t>数据来源：各平台官方网站，2025年3月</w:t>
      </w:r>
    </w:p>
    <w:p>
      <w:pPr>
        <w:spacing w:line="360" w:lineRule="auto" w:after="0" w:before="0"/>
        <w:ind w:firstLine="420"/>
      </w:pPr>
      <w:r>
        <w:rPr>
          <w:rFonts w:ascii="Times New Roman" w:hAnsi="Times New Roman" w:eastAsia="宋体"/>
          <w:color w:val="000000"/>
        </w:rPr>
        <w:t>表1-5的对比分析揭示了我国数据开放平台在功能建设方面的三个主要短板。第一，数据利用工具匮乏——美国Data.gov和欧盟data.europa.eu都内置了数据可视化、地图展示和API调试等工具，降低了用户的数据利用门槛；而我国平台主要以"数据下载"为核心功能，缺乏"数据探索"和"数据实验"的交互式工具。第二，用户社区建设滞后——国际先进平台普遍建立了活跃的开发者社区，用户可以在社区中分享数据应用、交流使用经验、提出改进建议；而我国平台的用户互动功能普遍较为薄弱，缺乏有效的用户反馈和需求响应机制。第三，数据故事讲述能力不足——国际平台注重通过"数据故事"（data storytelling）展示数据的应用价值和社会影响，将抽象的数据转化为生动的叙事；而我国平台主要以"数据目录"的形式呈现数据，缺乏对数据应用场景和价值的深度挖掘和展示。</w:t>
      </w:r>
    </w:p>
    <w:p>
      <w:pPr>
        <w:spacing w:line="360" w:lineRule="auto" w:after="0" w:before="0"/>
        <w:ind w:firstLine="420"/>
      </w:pPr>
      <w:r>
        <w:rPr>
          <w:rFonts w:ascii="Times New Roman" w:hAnsi="Times New Roman" w:eastAsia="宋体"/>
          <w:color w:val="000000"/>
        </w:rPr>
        <w:t>这些功能短板并非技术能力问题，而是运营理念差异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pPr>
        <w:spacing w:line="360" w:lineRule="auto" w:after="0" w:before="0"/>
      </w:pPr>
      <w:r>
        <w:rPr>
          <w:rFonts w:ascii="Times New Roman" w:hAnsi="Times New Roman" w:eastAsia="黑体"/>
          <w:b/>
          <w:color w:val="000000"/>
          <w:sz w:val="28"/>
        </w:rPr>
        <w:t>第二章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2.2.2 国内评估工具综述 - 开放数林指数</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"覆盖了省级、副省级和地市级平台"</w:t>
      </w:r>
    </w:p>
    <w:p>
      <w:pPr>
        <w:spacing w:line="360" w:lineRule="auto" w:after="0" w:before="0"/>
        <w:ind w:firstLine="420"/>
      </w:pPr>
      <w:r>
        <w:rPr>
          <w:rFonts w:ascii="Times New Roman" w:hAnsi="Times New Roman" w:eastAsia="宋体"/>
          <w:color w:val="000000"/>
        </w:rPr>
        <w:t>补充说明：</w:t>
      </w:r>
    </w:p>
    <w:p>
      <w:pPr>
        <w:spacing w:line="360" w:lineRule="auto" w:after="0" w:before="0"/>
        <w:ind w:firstLine="420"/>
      </w:pPr>
      <w:r>
        <w:rPr>
          <w:rFonts w:ascii="Times New Roman" w:hAnsi="Times New Roman" w:eastAsia="宋体"/>
          <w:color w:val="000000"/>
        </w:rPr>
        <w:t>"本研究将开放数林指数作为外部效标，与本研究TOPSIS排名进行Spearman相关分析，相关系数为0.67（p&lt;0.01），具有中等偏高的正相关性，表明两种评估工具对平台绩效的判定具有较高的一致性。"</w:t>
      </w:r>
    </w:p>
    <w:p>
      <w:pPr>
        <w:spacing w:line="360" w:lineRule="auto" w:after="0" w:before="0"/>
        <w:ind w:firstLine="420"/>
      </w:pPr>
      <w:r>
        <w:rPr>
          <w:rFonts w:ascii="Times New Roman" w:hAnsi="Times New Roman" w:eastAsia="黑体"/>
          <w:b/>
          <w:color w:val="000000"/>
          <w:sz w:val="24"/>
        </w:rPr>
        <w:t>2.3 现有评估工具的结构性局限</w:t>
      </w:r>
    </w:p>
    <w:p>
      <w:pPr>
        <w:spacing w:line="360" w:lineRule="auto" w:after="0" w:before="0"/>
        <w:ind w:firstLine="420"/>
      </w:pPr>
      <w:r>
        <w:rPr>
          <w:rFonts w:ascii="Times New Roman" w:hAnsi="Times New Roman" w:eastAsia="宋体"/>
          <w:color w:val="000000"/>
        </w:rPr>
        <w:t>新增第四局限：</w:t>
      </w:r>
    </w:p>
    <w:p>
      <w:pPr>
        <w:spacing w:line="360" w:lineRule="auto" w:after="0" w:before="0"/>
        <w:ind w:firstLine="420"/>
      </w:pPr>
      <w:r>
        <w:rPr>
          <w:rFonts w:ascii="Times New Roman" w:hAnsi="Times New Roman" w:eastAsia="宋体"/>
          <w:color w:val="000000"/>
        </w:rPr>
        <w:t>局限四：忽视"数据口径幻觉"。 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p>
      <w:pPr>
        <w:spacing w:line="360" w:lineRule="auto" w:after="0" w:before="0"/>
        <w:ind w:firstLine="420"/>
      </w:pPr>
      <w:r>
        <w:rPr>
          <w:rFonts w:ascii="Times New Roman" w:hAnsi="Times New Roman" w:eastAsia="黑体"/>
          <w:b/>
          <w:color w:val="000000"/>
          <w:sz w:val="24"/>
        </w:rPr>
        <w:t>2.3.3 研究述评</w:t>
      </w:r>
    </w:p>
    <w:p>
      <w:pPr>
        <w:spacing w:line="360" w:lineRule="auto" w:after="0" w:before="0"/>
        <w:ind w:firstLine="420"/>
      </w:pPr>
      <w:r>
        <w:rPr>
          <w:rFonts w:ascii="Times New Roman" w:hAnsi="Times New Roman" w:eastAsia="宋体"/>
          <w:color w:val="000000"/>
        </w:rPr>
        <w:t>新增段落：</w:t>
      </w:r>
    </w:p>
    <w:p>
      <w:pPr>
        <w:spacing w:line="360" w:lineRule="auto" w:after="0" w:before="0"/>
        <w:ind w:firstLine="420"/>
      </w:pPr>
      <w:r>
        <w:rPr>
          <w:rFonts w:ascii="Times New Roman" w:hAnsi="Times New Roman" w:eastAsia="宋体"/>
          <w:color w:val="000000"/>
        </w:rPr>
        <w:t>"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第4E评估框架构建</w:t>
      </w:r>
    </w:p>
    <w:p>
      <w:pPr>
        <w:spacing w:line="360" w:lineRule="auto" w:after="0" w:before="0"/>
      </w:pPr>
      <w:r>
        <w:rPr>
          <w:rFonts w:ascii="Times New Roman" w:hAnsi="Times New Roman" w:eastAsia="黑体"/>
          <w:b/>
          <w:color w:val="000000"/>
          <w:sz w:val="24"/>
        </w:rPr>
        <w:t>3.1 公共价值理论</w:t>
      </w:r>
    </w:p>
    <w:p>
      <w:pPr>
        <w:spacing w:line="360" w:lineRule="auto" w:after="0" w:before="0"/>
        <w:ind w:firstLine="420"/>
      </w:pPr>
      <w:r>
        <w:rPr>
          <w:rFonts w:ascii="Times New Roman" w:hAnsi="Times New Roman" w:eastAsia="黑体"/>
          <w:b/>
          <w:color w:val="000000"/>
          <w:sz w:val="24"/>
        </w:rPr>
        <w:t>3.1.1 公共价值的概念与内涵</w:t>
      </w:r>
    </w:p>
    <w:p>
      <w:pPr>
        <w:spacing w:line="360" w:lineRule="auto" w:after="0" w:before="0"/>
        <w:ind w:firstLine="420"/>
      </w:pPr>
      <w:r>
        <w:rPr>
          <w:rFonts w:ascii="Times New Roman" w:hAnsi="Times New Roman" w:eastAsia="宋体"/>
          <w:color w:val="000000"/>
        </w:rP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spacing w:line="360" w:lineRule="auto" w:after="0" w:before="0"/>
        <w:ind w:firstLine="420"/>
      </w:pPr>
      <w:r>
        <w:rPr>
          <w:rFonts w:ascii="Times New Roman" w:hAnsi="Times New Roman" w:eastAsia="宋体"/>
          <w:color w:val="000000"/>
        </w:rP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spacing w:line="360" w:lineRule="auto" w:after="0" w:before="0"/>
        <w:ind w:firstLine="420"/>
      </w:pPr>
      <w:r>
        <w:rPr>
          <w:rFonts w:ascii="Times New Roman" w:hAnsi="Times New Roman" w:eastAsia="宋体"/>
          <w:color w:val="000000"/>
        </w:rP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spacing w:line="360" w:lineRule="auto" w:after="0" w:before="0"/>
        <w:ind w:firstLine="420"/>
      </w:pPr>
      <w:r>
        <w:rPr>
          <w:rFonts w:ascii="Times New Roman" w:hAnsi="Times New Roman" w:eastAsia="宋体"/>
          <w:color w:val="000000"/>
        </w:rPr>
        <w:t>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p>
      <w:pPr>
        <w:spacing w:line="360" w:lineRule="auto" w:after="0" w:before="0"/>
        <w:ind w:firstLine="420"/>
      </w:pPr>
      <w:r>
        <w:rPr>
          <w:rFonts w:ascii="Times New Roman" w:hAnsi="Times New Roman" w:eastAsia="黑体"/>
          <w:b/>
          <w:color w:val="000000"/>
          <w:sz w:val="24"/>
        </w:rPr>
        <w:t>3.1.2 Mark Moore的公共价值三角框架</w:t>
      </w:r>
    </w:p>
    <w:p>
      <w:pPr>
        <w:spacing w:line="360" w:lineRule="auto" w:after="0" w:before="0"/>
        <w:ind w:firstLine="420"/>
      </w:pPr>
      <w:r>
        <w:rPr>
          <w:rFonts w:ascii="Times New Roman" w:hAnsi="Times New Roman" w:eastAsia="宋体"/>
          <w:color w:val="000000"/>
        </w:rPr>
        <w:t>Mark Moore提出的"公共价值三角"（Public Value Triangle）是公共价值理论的核心分析工具，将公共价值创造分解为三个相互关联的维度：战略目标（Strategic Goals）、授权环境（Legitimacy and Support）和运作能力（Operational Capacity）。</w:t>
      </w:r>
    </w:p>
    <w:p>
      <w:pPr>
        <w:spacing w:line="360" w:lineRule="auto" w:after="0" w:before="0"/>
        <w:ind w:firstLine="420"/>
      </w:pPr>
      <w:r>
        <w:rPr>
          <w:rFonts w:ascii="Times New Roman" w:hAnsi="Times New Roman" w:eastAsia="宋体"/>
          <w:color w:val="000000"/>
        </w:rPr>
        <w:t>战略目标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spacing w:line="360" w:lineRule="auto" w:after="0" w:before="0"/>
        <w:ind w:firstLine="420"/>
      </w:pPr>
      <w:r>
        <w:rPr>
          <w:rFonts w:ascii="Times New Roman" w:hAnsi="Times New Roman" w:eastAsia="宋体"/>
          <w:color w:val="000000"/>
        </w:rPr>
        <w:t>战略目标的设定还需要考虑"价值冲突"问题。数据开放可能同时追求多种价值，但这些价值之间可能存在冲突——例如，"透明度"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开放是否可持续"。</w:t>
      </w:r>
    </w:p>
    <w:p>
      <w:pPr>
        <w:spacing w:line="360" w:lineRule="auto" w:after="0" w:before="0"/>
        <w:ind w:firstLine="420"/>
      </w:pPr>
      <w:r>
        <w:rPr>
          <w:rFonts w:ascii="Times New Roman" w:hAnsi="Times New Roman" w:eastAsia="宋体"/>
          <w:color w:val="000000"/>
        </w:rPr>
        <w:t>授权环境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spacing w:line="360" w:lineRule="auto" w:after="0" w:before="0"/>
        <w:ind w:firstLine="420"/>
      </w:pPr>
      <w:r>
        <w:rPr>
          <w:rFonts w:ascii="Times New Roman" w:hAnsi="Times New Roman" w:eastAsia="宋体"/>
          <w:color w:val="000000"/>
        </w:rPr>
        <w:t>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spacing w:line="360" w:lineRule="auto" w:after="0" w:before="0"/>
        <w:ind w:firstLine="420"/>
      </w:pPr>
      <w:r>
        <w:rPr>
          <w:rFonts w:ascii="Times New Roman" w:hAnsi="Times New Roman" w:eastAsia="宋体"/>
          <w:color w:val="000000"/>
        </w:rPr>
        <w:t>运作能力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spacing w:line="360" w:lineRule="auto" w:after="0" w:before="0"/>
        <w:ind w:firstLine="420"/>
      </w:pPr>
      <w:r>
        <w:rPr>
          <w:rFonts w:ascii="Times New Roman" w:hAnsi="Times New Roman" w:eastAsia="宋体"/>
          <w:color w:val="000000"/>
        </w:rPr>
        <w:t>运作能力的评估需要关注"硬能力"和"软能力"两个层面。"硬能力"包括技术基础设施、数据处理能力、平台开发能力等可量化的技术条件；"软能力"包括组织学习能力、用户沟通能力、创新适应能力等难以量化但对绩效至关重要的组织能力。在政府数据开放领域，"软能力"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spacing w:line="360" w:lineRule="auto" w:after="0" w:before="0"/>
        <w:ind w:firstLine="420"/>
      </w:pPr>
      <w:r>
        <w:rPr>
          <w:rFonts w:ascii="Times New Roman" w:hAnsi="Times New Roman" w:eastAsia="宋体"/>
          <w:color w:val="000000"/>
        </w:rPr>
        <w:t>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p>
      <w:pPr>
        <w:spacing w:line="360" w:lineRule="auto" w:after="0" w:before="0"/>
        <w:ind w:firstLine="420"/>
      </w:pPr>
      <w:r>
        <w:rPr>
          <w:rFonts w:ascii="Times New Roman" w:hAnsi="Times New Roman" w:eastAsia="黑体"/>
          <w:b/>
          <w:color w:val="000000"/>
          <w:sz w:val="24"/>
        </w:rPr>
        <w:t>3.1.3 公共价值理论在政府数据开放中的应用</w:t>
      </w:r>
    </w:p>
    <w:p>
      <w:pPr>
        <w:spacing w:line="360" w:lineRule="auto" w:after="0" w:before="0"/>
        <w:ind w:firstLine="420"/>
      </w:pPr>
      <w:r>
        <w:rPr>
          <w:rFonts w:ascii="Times New Roman" w:hAnsi="Times New Roman" w:eastAsia="宋体"/>
          <w:color w:val="000000"/>
        </w:rPr>
        <w:t>将公共价值三角框架应用于政府数据开放领域，可以构建如下的理论映射关系。</w:t>
      </w:r>
    </w:p>
    <w:p>
      <w:pPr>
        <w:spacing w:line="360" w:lineRule="auto" w:after="0" w:before="0"/>
        <w:ind w:firstLine="420"/>
      </w:pPr>
      <w:r>
        <w:rPr>
          <w:rFonts w:ascii="Times New Roman" w:hAnsi="Times New Roman" w:eastAsia="宋体"/>
          <w:color w:val="000000"/>
        </w:rPr>
        <w:t>战略目标 ↔ 利用效果维度。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spacing w:line="360" w:lineRule="auto" w:after="0" w:before="0"/>
        <w:ind w:firstLine="420"/>
      </w:pPr>
      <w:r>
        <w:rPr>
          <w:rFonts w:ascii="Times New Roman" w:hAnsi="Times New Roman" w:eastAsia="宋体"/>
          <w:color w:val="000000"/>
        </w:rPr>
        <w:t>授权环境 ↔ 供给保障维度。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spacing w:line="360" w:lineRule="auto" w:after="0" w:before="0"/>
        <w:ind w:firstLine="420"/>
      </w:pPr>
      <w:r>
        <w:rPr>
          <w:rFonts w:ascii="Times New Roman" w:hAnsi="Times New Roman" w:eastAsia="宋体"/>
          <w:color w:val="000000"/>
        </w:rPr>
        <w:t>运作能力 ↔ 平台服务+数据质量维度。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spacing w:line="360" w:lineRule="auto" w:after="0" w:before="0"/>
        <w:ind w:firstLine="420"/>
      </w:pPr>
      <w:r>
        <w:rPr>
          <w:rFonts w:ascii="Times New Roman" w:hAnsi="Times New Roman" w:eastAsia="宋体"/>
          <w:color w:val="000000"/>
        </w:rP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spacing w:line="360" w:lineRule="auto" w:after="0" w:before="0"/>
        <w:ind w:firstLine="420"/>
      </w:pPr>
      <w:r>
        <w:rPr>
          <w:rFonts w:ascii="Times New Roman" w:hAnsi="Times New Roman" w:eastAsia="宋体"/>
          <w:color w:val="000000"/>
        </w:rPr>
        <w:t>本研究构建的4E评估指标体系包含4个一级维度、9个二级维度和24个具体指标。图3-1展示了指标体系的层级结构和逻辑关系。</w:t>
      </w:r>
    </w:p>
    <w:p>
      <w:pPr>
        <w:spacing w:line="360" w:lineRule="auto" w:after="0" w:before="0"/>
        <w:ind w:firstLine="420"/>
      </w:pPr>
      <w:r>
        <w:rPr>
          <w:rFonts w:ascii="Times New Roman" w:hAnsi="Times New Roman" w:eastAsia="宋体"/>
          <w:color w:val="000000"/>
        </w:rPr>
        <w:t>图3-1 4E评估指标体系结构</w:t>
      </w:r>
    </w:p>
    <w:p>
      <w:pPr>
        <w:spacing w:line="360" w:lineRule="auto" w:after="0" w:before="0"/>
        <w:ind w:firstLine="420"/>
      </w:pPr>
      <w:r>
        <w:rPr>
          <w:rFonts w:ascii="Times New Roman" w:hAnsi="Times New Roman" w:eastAsia="宋体"/>
          <w:color w:val="000000"/>
        </w:rPr>
        <w:t>如图3-1所示，4E指标体系采用"目标-维度-指标"的三层架构。第一层为总目标层——"数据利用绩效"；第二层为维度层，包含供给保障（E1）、平台服务（E2）、数据质量（E3）和利用效果（E4）四个一级维度；第三层为指标层，每个一级维度下设2-3个二级维度，每个二级维度下设2-4个具体测量指标。</w:t>
      </w:r>
    </w:p>
    <w:p>
      <w:pPr>
        <w:spacing w:line="360" w:lineRule="auto" w:after="0" w:before="0"/>
        <w:ind w:firstLine="420"/>
      </w:pPr>
      <w:r>
        <w:rPr>
          <w:rFonts w:ascii="Times New Roman" w:hAnsi="Times New Roman" w:eastAsia="宋体"/>
          <w:color w:val="000000"/>
        </w:rPr>
        <w:t>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p>
      <w:pPr>
        <w:spacing w:line="360" w:lineRule="auto" w:after="0" w:before="0"/>
      </w:pPr>
      <w:r>
        <w:rPr>
          <w:rFonts w:ascii="Times New Roman" w:hAnsi="Times New Roman" w:eastAsia="黑体"/>
          <w:b/>
          <w:color w:val="000000"/>
          <w:sz w:val="24"/>
        </w:rPr>
        <w:t>3.2 数据要素价值化理论</w:t>
      </w:r>
    </w:p>
    <w:p>
      <w:pPr>
        <w:spacing w:line="360" w:lineRule="auto" w:after="0" w:before="0"/>
        <w:ind w:firstLine="420"/>
      </w:pPr>
      <w:r>
        <w:rPr>
          <w:rFonts w:ascii="Times New Roman" w:hAnsi="Times New Roman" w:eastAsia="黑体"/>
          <w:b/>
          <w:color w:val="000000"/>
          <w:sz w:val="24"/>
        </w:rPr>
        <w:t>3.2.1 数据作为生产要素的理论基础</w:t>
      </w:r>
    </w:p>
    <w:p>
      <w:pPr>
        <w:spacing w:line="360" w:lineRule="auto" w:after="0" w:before="0"/>
        <w:ind w:firstLine="420"/>
      </w:pPr>
      <w:r>
        <w:rPr>
          <w:rFonts w:ascii="Times New Roman" w:hAnsi="Times New Roman" w:eastAsia="宋体"/>
          <w:color w:val="000000"/>
        </w:rP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spacing w:line="360" w:lineRule="auto" w:after="0" w:before="0"/>
        <w:ind w:firstLine="420"/>
      </w:pPr>
      <w:r>
        <w:rPr>
          <w:rFonts w:ascii="Times New Roman" w:hAnsi="Times New Roman" w:eastAsia="宋体"/>
          <w:color w:val="000000"/>
        </w:rP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spacing w:line="360" w:lineRule="auto" w:after="0" w:before="0"/>
        <w:ind w:firstLine="420"/>
      </w:pPr>
      <w:r>
        <w:rPr>
          <w:rFonts w:ascii="Times New Roman" w:hAnsi="Times New Roman" w:eastAsia="宋体"/>
          <w:color w:val="000000"/>
        </w:rP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spacing w:line="360" w:lineRule="auto" w:after="0" w:before="0"/>
        <w:ind w:firstLine="420"/>
      </w:pPr>
      <w:r>
        <w:rPr>
          <w:rFonts w:ascii="Times New Roman" w:hAnsi="Times New Roman" w:eastAsia="宋体"/>
          <w:color w:val="000000"/>
        </w:rPr>
        <w:t>在数据要素理论的发展中，多位学者对数据产权、数据定价和数据流通等核心问题进行了深入研究。数据产权是数据要素化配置的制度基础——没有清晰的产权界定，数据的流通和交易就无法进行。"数据二十条"提出的"三权分置"方案，是对传统产权理论的创新——数据不像土地那样可以实行单一的所有权，数据的产权需要分解为"持有权""使用权"和"经营权"三个相互关联的权利束。这种"权利分解"方案既保障了数据安全（持有权仍在政府手中），又促进了数据流通（使用权可以授权给社会主体），还实现了价值回报（经营权可以产生收益）。</w:t>
      </w:r>
    </w:p>
    <w:p>
      <w:pPr>
        <w:spacing w:line="360" w:lineRule="auto" w:after="0" w:before="0"/>
        <w:ind w:firstLine="420"/>
      </w:pPr>
      <w:r>
        <w:rPr>
          <w:rFonts w:ascii="Times New Roman" w:hAnsi="Times New Roman" w:eastAsia="黑体"/>
          <w:b/>
          <w:color w:val="000000"/>
          <w:sz w:val="24"/>
        </w:rPr>
        <w:t>3.2.2 数据要素化的价值链模型</w:t>
      </w:r>
    </w:p>
    <w:p>
      <w:pPr>
        <w:spacing w:line="360" w:lineRule="auto" w:after="0" w:before="0"/>
        <w:ind w:firstLine="420"/>
      </w:pPr>
      <w:r>
        <w:rPr>
          <w:rFonts w:ascii="Times New Roman" w:hAnsi="Times New Roman" w:eastAsia="宋体"/>
          <w:color w:val="000000"/>
        </w:rPr>
        <w:t>数据要素价值化的过程可以抽象为一个价值链模型，包括数据资源化、数据资产化、数据资本化三个递进阶段。</w:t>
      </w:r>
    </w:p>
    <w:p>
      <w:pPr>
        <w:spacing w:line="360" w:lineRule="auto" w:after="0" w:before="0"/>
        <w:ind w:firstLine="420"/>
      </w:pPr>
      <w:r>
        <w:rPr>
          <w:rFonts w:ascii="Times New Roman" w:hAnsi="Times New Roman" w:eastAsia="宋体"/>
          <w:color w:val="000000"/>
        </w:rPr>
        <w:t>数据资源化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spacing w:line="360" w:lineRule="auto" w:after="0" w:before="0"/>
        <w:ind w:firstLine="420"/>
      </w:pPr>
      <w:r>
        <w:rPr>
          <w:rFonts w:ascii="Times New Roman" w:hAnsi="Times New Roman" w:eastAsia="宋体"/>
          <w:color w:val="000000"/>
        </w:rPr>
        <w:t>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spacing w:line="360" w:lineRule="auto" w:after="0" w:before="0"/>
        <w:ind w:firstLine="420"/>
      </w:pPr>
      <w:r>
        <w:rPr>
          <w:rFonts w:ascii="Times New Roman" w:hAnsi="Times New Roman" w:eastAsia="宋体"/>
          <w:color w:val="000000"/>
        </w:rPr>
        <w:t>数据资产化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spacing w:line="360" w:lineRule="auto" w:after="0" w:before="0"/>
        <w:ind w:firstLine="420"/>
      </w:pPr>
      <w:r>
        <w:rPr>
          <w:rFonts w:ascii="Times New Roman" w:hAnsi="Times New Roman" w:eastAsia="宋体"/>
          <w:color w:val="000000"/>
        </w:rPr>
        <w:t>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spacing w:line="360" w:lineRule="auto" w:after="0" w:before="0"/>
        <w:ind w:firstLine="420"/>
      </w:pPr>
      <w:r>
        <w:rPr>
          <w:rFonts w:ascii="Times New Roman" w:hAnsi="Times New Roman" w:eastAsia="宋体"/>
          <w:color w:val="000000"/>
        </w:rPr>
        <w:t>数据资本化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spacing w:line="360" w:lineRule="auto" w:after="0" w:before="0"/>
        <w:ind w:firstLine="420"/>
      </w:pPr>
      <w:r>
        <w:rPr>
          <w:rFonts w:ascii="Times New Roman" w:hAnsi="Times New Roman" w:eastAsia="宋体"/>
          <w:color w:val="000000"/>
        </w:rPr>
        <w:t>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p>
      <w:pPr>
        <w:spacing w:line="360" w:lineRule="auto" w:after="0" w:before="0"/>
        <w:ind w:firstLine="420"/>
      </w:pPr>
      <w:r>
        <w:rPr>
          <w:rFonts w:ascii="Times New Roman" w:hAnsi="Times New Roman" w:eastAsia="黑体"/>
          <w:b/>
          <w:color w:val="000000"/>
          <w:sz w:val="24"/>
        </w:rPr>
        <w:t>3.2.3 数据价值实现的障碍与路径</w:t>
      </w:r>
    </w:p>
    <w:p>
      <w:pPr>
        <w:spacing w:line="360" w:lineRule="auto" w:after="0" w:before="0"/>
        <w:ind w:firstLine="420"/>
      </w:pPr>
      <w:r>
        <w:rPr>
          <w:rFonts w:ascii="Times New Roman" w:hAnsi="Times New Roman" w:eastAsia="宋体"/>
          <w:color w:val="000000"/>
        </w:rPr>
        <w:t>数据要素价值化的过程并非一帆风顺，存在多重障碍制约着数据价值的实现。</w:t>
      </w:r>
    </w:p>
    <w:p>
      <w:pPr>
        <w:spacing w:line="360" w:lineRule="auto" w:after="0" w:before="0"/>
        <w:ind w:firstLine="420"/>
      </w:pPr>
      <w:r>
        <w:rPr>
          <w:rFonts w:ascii="Times New Roman" w:hAnsi="Times New Roman" w:eastAsia="宋体"/>
          <w:color w:val="000000"/>
        </w:rPr>
        <w:t>障碍一：数据质量瓶颈。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spacing w:line="360" w:lineRule="auto" w:after="0" w:before="0"/>
        <w:ind w:firstLine="420"/>
      </w:pPr>
      <w:r>
        <w:rPr>
          <w:rFonts w:ascii="Times New Roman" w:hAnsi="Times New Roman" w:eastAsia="宋体"/>
          <w:color w:val="000000"/>
        </w:rPr>
        <w:t>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spacing w:line="360" w:lineRule="auto" w:after="0" w:before="0"/>
        <w:ind w:firstLine="420"/>
      </w:pPr>
      <w:r>
        <w:rPr>
          <w:rFonts w:ascii="Times New Roman" w:hAnsi="Times New Roman" w:eastAsia="宋体"/>
          <w:color w:val="000000"/>
        </w:rPr>
        <w:t>障碍二：平台服务短板。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spacing w:line="360" w:lineRule="auto" w:after="0" w:before="0"/>
        <w:ind w:firstLine="420"/>
      </w:pPr>
      <w:r>
        <w:rPr>
          <w:rFonts w:ascii="Times New Roman" w:hAnsi="Times New Roman" w:eastAsia="宋体"/>
          <w:color w:val="000000"/>
        </w:rPr>
        <w:t>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spacing w:line="360" w:lineRule="auto" w:after="0" w:before="0"/>
        <w:ind w:firstLine="420"/>
      </w:pPr>
      <w:r>
        <w:rPr>
          <w:rFonts w:ascii="Times New Roman" w:hAnsi="Times New Roman" w:eastAsia="宋体"/>
          <w:color w:val="000000"/>
        </w:rPr>
        <w:t>障碍三：利用生态薄弱。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spacing w:line="360" w:lineRule="auto" w:after="0" w:before="0"/>
        <w:ind w:firstLine="420"/>
      </w:pPr>
      <w:r>
        <w:rPr>
          <w:rFonts w:ascii="Times New Roman" w:hAnsi="Times New Roman" w:eastAsia="宋体"/>
          <w:color w:val="000000"/>
        </w:rPr>
        <w:t>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spacing w:line="360" w:lineRule="auto" w:after="0" w:before="0"/>
        <w:ind w:firstLine="420"/>
      </w:pPr>
      <w:r>
        <w:rPr>
          <w:rFonts w:ascii="Times New Roman" w:hAnsi="Times New Roman" w:eastAsia="宋体"/>
          <w:color w:val="000000"/>
        </w:rPr>
        <w:t>障碍四：制度保障缺失。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spacing w:line="360" w:lineRule="auto" w:after="0" w:before="0"/>
        <w:ind w:firstLine="420"/>
      </w:pPr>
      <w:r>
        <w:rPr>
          <w:rFonts w:ascii="Times New Roman" w:hAnsi="Times New Roman" w:eastAsia="宋体"/>
          <w:color w:val="000000"/>
        </w:rPr>
        <w:t>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spacing w:line="360" w:lineRule="auto" w:after="0" w:before="0"/>
        <w:ind w:firstLine="420"/>
      </w:pPr>
      <w:r>
        <w:rPr>
          <w:rFonts w:ascii="Times New Roman" w:hAnsi="Times New Roman" w:eastAsia="宋体"/>
          <w:color w:val="000000"/>
        </w:rP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spacing w:line="360" w:lineRule="auto" w:after="0" w:before="0"/>
      </w:pPr>
      <w:r>
        <w:rPr>
          <w:rFonts w:ascii="Times New Roman" w:hAnsi="Times New Roman" w:eastAsia="黑体"/>
          <w:b/>
          <w:color w:val="000000"/>
          <w:sz w:val="24"/>
        </w:rPr>
        <w:t>3.3 4E评估框架的构建与适配</w:t>
      </w:r>
    </w:p>
    <w:p>
      <w:pPr>
        <w:spacing w:line="360" w:lineRule="auto" w:after="0" w:before="0"/>
        <w:ind w:firstLine="420"/>
      </w:pPr>
      <w:r>
        <w:rPr>
          <w:rFonts w:ascii="Times New Roman" w:hAnsi="Times New Roman" w:eastAsia="黑体"/>
          <w:b/>
          <w:color w:val="000000"/>
          <w:sz w:val="24"/>
        </w:rPr>
        <w:t>3.3.1 4E框架的起源与内涵</w:t>
      </w:r>
    </w:p>
    <w:p>
      <w:pPr>
        <w:spacing w:line="360" w:lineRule="auto" w:after="0" w:before="0"/>
        <w:ind w:firstLine="420"/>
      </w:pPr>
      <w:r>
        <w:rPr>
          <w:rFonts w:ascii="Times New Roman" w:hAnsi="Times New Roman" w:eastAsia="宋体"/>
          <w:color w:val="000000"/>
        </w:rP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spacing w:line="360" w:lineRule="auto" w:after="0" w:before="0"/>
        <w:ind w:firstLine="420"/>
      </w:pPr>
      <w:r>
        <w:rPr>
          <w:rFonts w:ascii="Times New Roman" w:hAnsi="Times New Roman" w:eastAsia="宋体"/>
          <w:color w:val="000000"/>
        </w:rPr>
        <w:t>经济性（Economy）衡量资源获取的成本效益——是否以最低的成本获取了所需的资源？在公共财政审计中，经济性关注采购价格是否合理、资源使用是否节约。经济性评估的核心问题是"钱花得值不值"。</w:t>
      </w:r>
    </w:p>
    <w:p>
      <w:pPr>
        <w:spacing w:line="360" w:lineRule="auto" w:after="0" w:before="0"/>
        <w:ind w:firstLine="420"/>
      </w:pPr>
      <w:r>
        <w:rPr>
          <w:rFonts w:ascii="Times New Roman" w:hAnsi="Times New Roman" w:eastAsia="宋体"/>
          <w:color w:val="000000"/>
        </w:rPr>
        <w:t>效率性（Efficiency）衡量投入产出比——是否以最优的投入获得了最大的产出？效率性关注资源转化过程的优化程度，包括生产效率、管理效率、服务效率等。效率性评估的核心问题是"投入产出比高不高"。</w:t>
      </w:r>
    </w:p>
    <w:p>
      <w:pPr>
        <w:spacing w:line="360" w:lineRule="auto" w:after="0" w:before="0"/>
        <w:ind w:firstLine="420"/>
      </w:pPr>
      <w:r>
        <w:rPr>
          <w:rFonts w:ascii="Times New Roman" w:hAnsi="Times New Roman" w:eastAsia="宋体"/>
          <w:color w:val="000000"/>
        </w:rPr>
        <w:t>有效性（Effectiveness）衡量目标达成度——是否达成了预定的目标？有效性关注产出与目标之间的对应关系，不仅关注"做了什么"，更关注"做得如何"。有效性评估的核心问题是"目标达成了没有"。</w:t>
      </w:r>
    </w:p>
    <w:p>
      <w:pPr>
        <w:spacing w:line="360" w:lineRule="auto" w:after="0" w:before="0"/>
        <w:ind w:firstLine="420"/>
      </w:pPr>
      <w:r>
        <w:rPr>
          <w:rFonts w:ascii="Times New Roman" w:hAnsi="Times New Roman" w:eastAsia="宋体"/>
          <w:color w:val="000000"/>
        </w:rPr>
        <w:t>公平性（Equity）衡量资源分配的社会正义——公共服务的收益是否在社会成员之间公平分配？公平性关注公共服务的覆盖范围、可及性和包容性，强调"不让一个人掉队"。公平性评估的核心问题是"分配公不公平"。</w:t>
      </w:r>
    </w:p>
    <w:p>
      <w:pPr>
        <w:spacing w:line="360" w:lineRule="auto" w:after="0" w:before="0"/>
        <w:ind w:firstLine="420"/>
      </w:pPr>
      <w:r>
        <w:rPr>
          <w:rFonts w:ascii="Times New Roman" w:hAnsi="Times New Roman" w:eastAsia="宋体"/>
          <w:color w:val="000000"/>
        </w:rP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spacing w:line="360" w:lineRule="auto" w:after="0" w:before="0"/>
        <w:ind w:firstLine="420"/>
      </w:pPr>
      <w:r>
        <w:rPr>
          <w:rFonts w:ascii="Times New Roman" w:hAnsi="Times New Roman" w:eastAsia="宋体"/>
          <w:color w:val="000000"/>
        </w:rPr>
        <w:t>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p>
      <w:pPr>
        <w:spacing w:line="360" w:lineRule="auto" w:after="0" w:before="0"/>
        <w:ind w:firstLine="420"/>
      </w:pPr>
      <w:r>
        <w:rPr>
          <w:rFonts w:ascii="Times New Roman" w:hAnsi="Times New Roman" w:eastAsia="黑体"/>
          <w:b/>
          <w:color w:val="000000"/>
          <w:sz w:val="24"/>
        </w:rPr>
        <w:t>3.3.2 4E框架在政府数据开放领域的概念重构</w:t>
      </w:r>
    </w:p>
    <w:p>
      <w:pPr>
        <w:spacing w:line="360" w:lineRule="auto" w:after="0" w:before="0"/>
        <w:ind w:firstLine="420"/>
      </w:pPr>
      <w:r>
        <w:rPr>
          <w:rFonts w:ascii="Times New Roman" w:hAnsi="Times New Roman" w:eastAsia="宋体"/>
          <w:color w:val="000000"/>
        </w:rPr>
        <w:t>将4E框架应用于政府数据开放领域，需要进行概念适配和语境转化。本研究对4E维度进行了如下概念重构。</w:t>
      </w:r>
    </w:p>
    <w:p>
      <w:pPr>
        <w:spacing w:line="360" w:lineRule="auto" w:after="0" w:before="0"/>
        <w:ind w:firstLine="420"/>
      </w:pPr>
      <w:r>
        <w:rPr>
          <w:rFonts w:ascii="Times New Roman" w:hAnsi="Times New Roman" w:eastAsia="宋体"/>
          <w:color w:val="000000"/>
        </w:rPr>
        <w:t>供给保障（Supply Security）← 经济性（Economy）。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spacing w:line="360" w:lineRule="auto" w:after="0" w:before="0"/>
        <w:ind w:firstLine="420"/>
      </w:pPr>
      <w:r>
        <w:rPr>
          <w:rFonts w:ascii="Times New Roman" w:hAnsi="Times New Roman" w:eastAsia="宋体"/>
          <w:color w:val="000000"/>
        </w:rPr>
        <w:t>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spacing w:line="360" w:lineRule="auto" w:after="0" w:before="0"/>
        <w:ind w:firstLine="420"/>
      </w:pPr>
      <w:r>
        <w:rPr>
          <w:rFonts w:ascii="Times New Roman" w:hAnsi="Times New Roman" w:eastAsia="宋体"/>
          <w:color w:val="000000"/>
        </w:rPr>
        <w:t>平台服务（Platform Service）← 效率性（Efficiency）。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spacing w:line="360" w:lineRule="auto" w:after="0" w:before="0"/>
        <w:ind w:firstLine="420"/>
      </w:pPr>
      <w:r>
        <w:rPr>
          <w:rFonts w:ascii="Times New Roman" w:hAnsi="Times New Roman" w:eastAsia="宋体"/>
          <w:color w:val="000000"/>
        </w:rPr>
        <w:t>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spacing w:line="360" w:lineRule="auto" w:after="0" w:before="0"/>
        <w:ind w:firstLine="420"/>
      </w:pPr>
      <w:r>
        <w:rPr>
          <w:rFonts w:ascii="Times New Roman" w:hAnsi="Times New Roman" w:eastAsia="宋体"/>
          <w:color w:val="000000"/>
        </w:rPr>
        <w:t>数据质量（Data Quality）← 质量性（Quality，4E扩展）。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spacing w:line="360" w:lineRule="auto" w:after="0" w:before="0"/>
        <w:ind w:firstLine="420"/>
      </w:pPr>
      <w:r>
        <w:rPr>
          <w:rFonts w:ascii="Times New Roman" w:hAnsi="Times New Roman" w:eastAsia="宋体"/>
          <w:color w:val="000000"/>
        </w:rP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spacing w:line="360" w:lineRule="auto" w:after="0" w:before="0"/>
        <w:ind w:firstLine="420"/>
      </w:pPr>
      <w:r>
        <w:rPr>
          <w:rFonts w:ascii="Times New Roman" w:hAnsi="Times New Roman" w:eastAsia="宋体"/>
          <w:color w:val="000000"/>
        </w:rPr>
        <w:t>利用效果（Utilization Effect）← 有效性（Effectiveness）。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spacing w:line="360" w:lineRule="auto" w:after="0" w:before="0"/>
        <w:ind w:firstLine="420"/>
      </w:pPr>
      <w:r>
        <w:rPr>
          <w:rFonts w:ascii="Times New Roman" w:hAnsi="Times New Roman" w:eastAsia="宋体"/>
          <w:color w:val="000000"/>
        </w:rPr>
        <w:t>利用效果的评估面临一个核心挑战："效果"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spacing w:line="360" w:lineRule="auto" w:after="0" w:before="0"/>
        <w:ind w:firstLine="420"/>
      </w:pPr>
      <w:r>
        <w:rPr>
          <w:rFonts w:ascii="Times New Roman" w:hAnsi="Times New Roman" w:eastAsia="宋体"/>
          <w:color w:val="000000"/>
        </w:rPr>
        <w:t>公平性（Equity）← 公平性（Equity）。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spacing w:line="360" w:lineRule="auto" w:after="0" w:before="0"/>
        <w:ind w:firstLine="420"/>
      </w:pPr>
      <w:r>
        <w:rPr>
          <w:rFonts w:ascii="Times New Roman" w:hAnsi="Times New Roman" w:eastAsia="宋体"/>
          <w:color w:val="000000"/>
        </w:rPr>
        <w:t>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p>
      <w:pPr>
        <w:spacing w:line="360" w:lineRule="auto" w:after="0" w:before="0"/>
        <w:ind w:firstLine="420"/>
      </w:pPr>
      <w:r>
        <w:rPr>
          <w:rFonts w:ascii="Times New Roman" w:hAnsi="Times New Roman" w:eastAsia="黑体"/>
          <w:b/>
          <w:color w:val="000000"/>
          <w:sz w:val="24"/>
        </w:rPr>
        <w:t>3.3.3 指标选取的理论依据与操作化</w:t>
      </w:r>
    </w:p>
    <w:p>
      <w:pPr>
        <w:spacing w:line="360" w:lineRule="auto" w:after="0" w:before="0"/>
        <w:ind w:firstLine="420"/>
      </w:pPr>
      <w:r>
        <w:rPr>
          <w:rFonts w:ascii="Times New Roman" w:hAnsi="Times New Roman" w:eastAsia="宋体"/>
          <w:color w:val="000000"/>
        </w:rPr>
        <w:t>4E评估框架的操作化需要解决一个核心问题：每个维度应选取哪些指标？指标选取需要遵循"理论相关性""数据可得性""指标独立性""评估全面性"四项原则。</w:t>
      </w:r>
    </w:p>
    <w:p>
      <w:pPr>
        <w:spacing w:line="360" w:lineRule="auto" w:after="0" w:before="0"/>
        <w:ind w:firstLine="420"/>
      </w:pPr>
      <w:r>
        <w:rPr>
          <w:rFonts w:ascii="Times New Roman" w:hAnsi="Times New Roman" w:eastAsia="宋体"/>
          <w:color w:val="000000"/>
        </w:rPr>
        <w:t>理论相关性原则要求每个指标都应与评估维度有明确的理论关联。例如，"数据集数量"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spacing w:line="360" w:lineRule="auto" w:after="0" w:before="0"/>
        <w:ind w:firstLine="420"/>
      </w:pPr>
      <w:r>
        <w:rPr>
          <w:rFonts w:ascii="Times New Roman" w:hAnsi="Times New Roman" w:eastAsia="宋体"/>
          <w:color w:val="000000"/>
        </w:rPr>
        <w:t>数据可得性原则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数据经济价值"），本研究采用了替代指标或间接指标。</w:t>
      </w:r>
    </w:p>
    <w:p>
      <w:pPr>
        <w:spacing w:line="360" w:lineRule="auto" w:after="0" w:before="0"/>
        <w:ind w:firstLine="420"/>
      </w:pPr>
      <w:r>
        <w:rPr>
          <w:rFonts w:ascii="Times New Roman" w:hAnsi="Times New Roman" w:eastAsia="宋体"/>
          <w:color w:val="000000"/>
        </w:rPr>
        <w:t>指标独立性原则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spacing w:line="360" w:lineRule="auto" w:after="0" w:before="0"/>
        <w:ind w:firstLine="420"/>
      </w:pPr>
      <w:r>
        <w:rPr>
          <w:rFonts w:ascii="Times New Roman" w:hAnsi="Times New Roman" w:eastAsia="宋体"/>
          <w:color w:val="000000"/>
        </w:rPr>
        <w:t>评估全面性原则要求指标体系应覆盖评估维度的主要方面，避免"盲区"。例如，"供给保障"维度不仅应关注数据集数量，还应关注主题覆盖、更新频率、格式标准化等多个方面——如果只关注数据集数量，就会忽视"覆盖不全""更新滞后""格式混乱"等问题。本研究在每个维度下设置了3-5个指标，力求在"指标数量"和"评估深度"之间取得平衡。</w:t>
      </w:r>
    </w:p>
    <w:p>
      <w:pPr>
        <w:spacing w:line="360" w:lineRule="auto" w:after="0" w:before="0"/>
        <w:ind w:firstLine="420"/>
      </w:pPr>
      <w:r>
        <w:rPr>
          <w:rFonts w:ascii="Times New Roman" w:hAnsi="Times New Roman" w:eastAsia="宋体"/>
          <w:color w:val="000000"/>
        </w:rPr>
        <w:t>基于上述原则，本研究构建了如下的指标体系。</w:t>
      </w:r>
    </w:p>
    <w:p>
      <w:pPr>
        <w:spacing w:line="360" w:lineRule="auto" w:after="0" w:before="0"/>
        <w:ind w:firstLine="420"/>
      </w:pPr>
      <w:r>
        <w:rPr>
          <w:rFonts w:ascii="Times New Roman" w:hAnsi="Times New Roman" w:eastAsia="宋体"/>
          <w:color w:val="000000"/>
        </w:rPr>
        <w:t>供给保障维度（5个指标）： 数据集数量（衡量供给规模）、主题覆盖度（衡量供给广度）、更新频率（衡量供给持续性）、格式标准化率（衡量供给规范性）、数据目录完整性（衡量供给系统性）。</w:t>
      </w:r>
    </w:p>
    <w:p>
      <w:pPr>
        <w:spacing w:line="360" w:lineRule="auto" w:after="0" w:before="0"/>
        <w:ind w:firstLine="420"/>
      </w:pPr>
      <w:r>
        <w:rPr>
          <w:rFonts w:ascii="Times New Roman" w:hAnsi="Times New Roman" w:eastAsia="宋体"/>
          <w:color w:val="000000"/>
        </w:rPr>
        <w:t>平台服务维度（5个指标）： API开放度（衡量程序化服务能力）、检索功能完备性（衡量数据可发现性）、数据预览功能（衡量数据可理解性）、用户反馈机制（衡量用户参与性）、平台迭代频率（衡量服务持续性）。</w:t>
      </w:r>
    </w:p>
    <w:p>
      <w:pPr>
        <w:spacing w:line="360" w:lineRule="auto" w:after="0" w:before="0"/>
        <w:ind w:firstLine="420"/>
      </w:pPr>
      <w:r>
        <w:rPr>
          <w:rFonts w:ascii="Times New Roman" w:hAnsi="Times New Roman" w:eastAsia="宋体"/>
          <w:color w:val="000000"/>
        </w:rPr>
        <w:t>数据质量维度（5个指标）： 数据准确性（抽样检查错误率）、数据完整性（字段缺失率）、数据及时性（更新滞后天数）、数据一致性（跨来源数据匹配率）、机器可读性（结构化格式占比）。</w:t>
      </w:r>
    </w:p>
    <w:p>
      <w:pPr>
        <w:spacing w:line="360" w:lineRule="auto" w:after="0" w:before="0"/>
        <w:ind w:firstLine="420"/>
      </w:pPr>
      <w:r>
        <w:rPr>
          <w:rFonts w:ascii="Times New Roman" w:hAnsi="Times New Roman" w:eastAsia="宋体"/>
          <w:color w:val="000000"/>
        </w:rPr>
        <w:t>利用效果维度（6个指标）： 数据集下载量（衡量直接利用）、API调用量（衡量程序化利用）、应用成果数量（衡量创新利用）、创新活动数量（衡量生态活跃度）、授权运营项目数（衡量授权运营成效）、授权运营收入（衡量授权运营经济效果）。</w:t>
      </w:r>
    </w:p>
    <w:p>
      <w:pPr>
        <w:spacing w:line="360" w:lineRule="auto" w:after="0" w:before="0"/>
        <w:ind w:firstLine="420"/>
      </w:pPr>
      <w:r>
        <w:rPr>
          <w:rFonts w:ascii="Times New Roman" w:hAnsi="Times New Roman" w:eastAsia="宋体"/>
          <w:color w:val="000000"/>
        </w:rPr>
        <w:t>公平性维度（3个指标）： 区域均衡度（东中西部绩效差异系数）、群体覆盖度（服务对象多样性指数）、可及性指数（弱势群体利用便利性评分）。</w:t>
      </w:r>
    </w:p>
    <w:p>
      <w:pPr>
        <w:spacing w:line="360" w:lineRule="auto" w:after="0" w:before="0"/>
        <w:ind w:firstLine="420"/>
      </w:pPr>
      <w:r>
        <w:rPr>
          <w:rFonts w:ascii="Times New Roman" w:hAnsi="Times New Roman" w:eastAsia="宋体"/>
          <w:color w:val="000000"/>
        </w:rPr>
        <w:t>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p>
      <w:pPr>
        <w:spacing w:line="360" w:lineRule="auto" w:after="0" w:before="0"/>
        <w:ind w:firstLine="420"/>
      </w:pPr>
      <w:r>
        <w:rPr>
          <w:rFonts w:ascii="Times New Roman" w:hAnsi="Times New Roman" w:eastAsia="黑体"/>
          <w:b/>
          <w:color w:val="000000"/>
          <w:sz w:val="24"/>
        </w:rPr>
        <w:t>3.3.4 4E框架与公共价值理论的整合</w:t>
      </w:r>
    </w:p>
    <w:p>
      <w:pPr>
        <w:spacing w:line="360" w:lineRule="auto" w:after="0" w:before="0"/>
        <w:ind w:firstLine="420"/>
      </w:pPr>
      <w:r>
        <w:rPr>
          <w:rFonts w:ascii="Times New Roman" w:hAnsi="Times New Roman" w:eastAsia="宋体"/>
          <w:color w:val="000000"/>
        </w:rPr>
        <w:t>4E评估框架与公共价值三角框架之间存在紧密的理论对应关系，二者的整合为本研究提供了坚实的理论基础。</w:t>
      </w:r>
    </w:p>
    <w:p>
      <w:pPr>
        <w:spacing w:line="360" w:lineRule="auto" w:after="0" w:before="0"/>
        <w:ind w:firstLine="420"/>
      </w:pPr>
      <w:r>
        <w:rPr>
          <w:rFonts w:ascii="Times New Roman" w:hAnsi="Times New Roman" w:eastAsia="宋体"/>
          <w:color w:val="000000"/>
        </w:rPr>
        <w:t>战略目标 ↔ 利用效果+公平性。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spacing w:line="360" w:lineRule="auto" w:after="0" w:before="0"/>
        <w:ind w:firstLine="420"/>
      </w:pPr>
      <w:r>
        <w:rPr>
          <w:rFonts w:ascii="Times New Roman" w:hAnsi="Times New Roman" w:eastAsia="宋体"/>
          <w:color w:val="000000"/>
        </w:rPr>
        <w:t>授权环境 ↔ 供给保障。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spacing w:line="360" w:lineRule="auto" w:after="0" w:before="0"/>
        <w:ind w:firstLine="420"/>
      </w:pPr>
      <w:r>
        <w:rPr>
          <w:rFonts w:ascii="Times New Roman" w:hAnsi="Times New Roman" w:eastAsia="宋体"/>
          <w:color w:val="000000"/>
        </w:rPr>
        <w:t>运作能力 ↔ 平台服务+数据质量。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spacing w:line="360" w:lineRule="auto" w:after="0" w:before="0"/>
        <w:ind w:firstLine="420"/>
      </w:pPr>
      <w:r>
        <w:rPr>
          <w:rFonts w:ascii="Times New Roman" w:hAnsi="Times New Roman" w:eastAsia="宋体"/>
          <w:color w:val="000000"/>
        </w:rP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spacing w:line="360" w:lineRule="auto" w:after="0" w:before="0"/>
      </w:pPr>
      <w:r>
        <w:rPr>
          <w:rFonts w:ascii="Times New Roman" w:hAnsi="Times New Roman" w:eastAsia="黑体"/>
          <w:b/>
          <w:color w:val="000000"/>
          <w:sz w:val="24"/>
        </w:rPr>
        <w:t>3.4 TOE影响因素框架</w:t>
      </w:r>
    </w:p>
    <w:p>
      <w:pPr>
        <w:spacing w:line="360" w:lineRule="auto" w:after="0" w:before="0"/>
        <w:ind w:firstLine="420"/>
      </w:pPr>
      <w:r>
        <w:rPr>
          <w:rFonts w:ascii="Times New Roman" w:hAnsi="Times New Roman" w:eastAsia="黑体"/>
          <w:b/>
          <w:color w:val="000000"/>
          <w:sz w:val="24"/>
        </w:rPr>
        <w:t>3.4.1 TOE框架的理论基础</w:t>
      </w:r>
    </w:p>
    <w:p>
      <w:pPr>
        <w:spacing w:line="360" w:lineRule="auto" w:after="0" w:before="0"/>
        <w:ind w:firstLine="420"/>
      </w:pPr>
      <w:r>
        <w:rPr>
          <w:rFonts w:ascii="Times New Roman" w:hAnsi="Times New Roman" w:eastAsia="宋体"/>
          <w:color w:val="000000"/>
        </w:rP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spacing w:line="360" w:lineRule="auto" w:after="0" w:before="0"/>
        <w:ind w:firstLine="420"/>
      </w:pPr>
      <w:r>
        <w:rPr>
          <w:rFonts w:ascii="Times New Roman" w:hAnsi="Times New Roman" w:eastAsia="宋体"/>
          <w:color w:val="000000"/>
        </w:rP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spacing w:line="360" w:lineRule="auto" w:after="0" w:before="0"/>
        <w:ind w:firstLine="420"/>
      </w:pPr>
      <w:r>
        <w:rPr>
          <w:rFonts w:ascii="Times New Roman" w:hAnsi="Times New Roman" w:eastAsia="宋体"/>
          <w:color w:val="000000"/>
        </w:rP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spacing w:line="360" w:lineRule="auto" w:after="0" w:before="0"/>
        <w:ind w:firstLine="420"/>
      </w:pPr>
      <w:r>
        <w:rPr>
          <w:rFonts w:ascii="Times New Roman" w:hAnsi="Times New Roman" w:eastAsia="宋体"/>
          <w:color w:val="000000"/>
        </w:rPr>
        <w:t>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p>
      <w:pPr>
        <w:spacing w:line="360" w:lineRule="auto" w:after="0" w:before="0"/>
        <w:ind w:firstLine="420"/>
      </w:pPr>
      <w:r>
        <w:rPr>
          <w:rFonts w:ascii="Times New Roman" w:hAnsi="Times New Roman" w:eastAsia="黑体"/>
          <w:b/>
          <w:color w:val="000000"/>
          <w:sz w:val="24"/>
        </w:rPr>
        <w:t>3.4.2 TOE框架在数据开放领域的适用性</w:t>
      </w:r>
    </w:p>
    <w:p>
      <w:pPr>
        <w:spacing w:line="360" w:lineRule="auto" w:after="0" w:before="0"/>
        <w:ind w:firstLine="420"/>
      </w:pPr>
      <w:r>
        <w:rPr>
          <w:rFonts w:ascii="Times New Roman" w:hAnsi="Times New Roman" w:eastAsia="宋体"/>
          <w:color w:val="000000"/>
        </w:rPr>
        <w:t>TOE框架在政府数据开放领域具有良好的适用性，原因如下。</w:t>
      </w:r>
    </w:p>
    <w:p>
      <w:pPr>
        <w:spacing w:line="360" w:lineRule="auto" w:after="0" w:before="0"/>
        <w:ind w:firstLine="420"/>
      </w:pPr>
      <w:r>
        <w:rPr>
          <w:rFonts w:ascii="Times New Roman" w:hAnsi="Times New Roman" w:eastAsia="宋体"/>
          <w:color w:val="000000"/>
        </w:rP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spacing w:line="360" w:lineRule="auto" w:after="0" w:before="0"/>
        <w:ind w:firstLine="420"/>
      </w:pPr>
      <w:r>
        <w:rPr>
          <w:rFonts w:ascii="Times New Roman" w:hAnsi="Times New Roman" w:eastAsia="宋体"/>
          <w:color w:val="000000"/>
        </w:rP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spacing w:line="360" w:lineRule="auto" w:after="0" w:before="0"/>
        <w:ind w:firstLine="420"/>
      </w:pPr>
      <w:r>
        <w:rPr>
          <w:rFonts w:ascii="Times New Roman" w:hAnsi="Times New Roman" w:eastAsia="宋体"/>
          <w:color w:val="000000"/>
        </w:rP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spacing w:line="360" w:lineRule="auto" w:after="0" w:before="0"/>
        <w:ind w:firstLine="420"/>
      </w:pPr>
      <w:r>
        <w:rPr>
          <w:rFonts w:ascii="Times New Roman" w:hAnsi="Times New Roman" w:eastAsia="宋体"/>
          <w:color w:val="000000"/>
        </w:rP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spacing w:line="360" w:lineRule="auto" w:after="0" w:before="0"/>
        <w:ind w:firstLine="420"/>
      </w:pPr>
      <w:r>
        <w:rPr>
          <w:rFonts w:ascii="Times New Roman" w:hAnsi="Times New Roman" w:eastAsia="黑体"/>
          <w:b/>
          <w:color w:val="000000"/>
          <w:sz w:val="24"/>
        </w:rPr>
        <w:t>3.4.3 技术-组织-环境三维度因素识别</w:t>
      </w:r>
    </w:p>
    <w:p>
      <w:pPr>
        <w:spacing w:line="360" w:lineRule="auto" w:after="0" w:before="0"/>
        <w:ind w:firstLine="420"/>
      </w:pPr>
      <w:r>
        <w:rPr>
          <w:rFonts w:ascii="Times New Roman" w:hAnsi="Times New Roman" w:eastAsia="宋体"/>
          <w:color w:val="000000"/>
        </w:rPr>
        <w:t>基于TOE框架和现有文献，本研究识别了以下影响因素。</w:t>
      </w:r>
    </w:p>
    <w:p>
      <w:pPr>
        <w:spacing w:line="360" w:lineRule="auto" w:after="0" w:before="0"/>
        <w:ind w:firstLine="420"/>
      </w:pPr>
      <w:r>
        <w:rPr>
          <w:rFonts w:ascii="Times New Roman" w:hAnsi="Times New Roman" w:eastAsia="宋体"/>
          <w:color w:val="000000"/>
        </w:rPr>
        <w:t>技术层面因素。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spacing w:line="360" w:lineRule="auto" w:after="0" w:before="0"/>
        <w:ind w:firstLine="420"/>
      </w:pPr>
      <w:r>
        <w:rPr>
          <w:rFonts w:ascii="Times New Roman" w:hAnsi="Times New Roman" w:eastAsia="宋体"/>
          <w:color w:val="000000"/>
        </w:rPr>
        <w:t>技术层面因素的评估需要考虑"技术成熟度"和"技术应用度"的区别。技术成熟度指某种技术在理论上的成熟程度——例如，RESTful API技术在理论上已经非常成熟，有完善的规范和工具支持。技术应用度指某种技术在实际中的应用程度——例如，虽然RESTful API技术很成熟，但某平台可能并未采用该技术，而是采用了过时的SOAP协议。本研究在评估中关注的是"技术应用度"而非"技术成熟度"——评估的是平台实际采用了什么技术，而非理论上应该采用什么技术。</w:t>
      </w:r>
    </w:p>
    <w:p>
      <w:pPr>
        <w:spacing w:line="360" w:lineRule="auto" w:after="0" w:before="0"/>
        <w:ind w:firstLine="420"/>
      </w:pPr>
      <w:r>
        <w:rPr>
          <w:rFonts w:ascii="Times New Roman" w:hAnsi="Times New Roman" w:eastAsia="宋体"/>
          <w:color w:val="000000"/>
        </w:rPr>
        <w:t>组织层面因素。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spacing w:line="360" w:lineRule="auto" w:after="0" w:before="0"/>
        <w:ind w:firstLine="420"/>
      </w:pPr>
      <w:r>
        <w:rPr>
          <w:rFonts w:ascii="Times New Roman" w:hAnsi="Times New Roman" w:eastAsia="宋体"/>
          <w:color w:val="000000"/>
        </w:rPr>
        <w:t>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spacing w:line="360" w:lineRule="auto" w:after="0" w:before="0"/>
        <w:ind w:firstLine="420"/>
      </w:pPr>
      <w:r>
        <w:rPr>
          <w:rFonts w:ascii="Times New Roman" w:hAnsi="Times New Roman" w:eastAsia="宋体"/>
          <w:color w:val="000000"/>
        </w:rPr>
        <w:t>环境层面因素。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spacing w:line="360" w:lineRule="auto" w:after="0" w:before="0"/>
        <w:ind w:firstLine="420"/>
      </w:pPr>
      <w:r>
        <w:rPr>
          <w:rFonts w:ascii="Times New Roman" w:hAnsi="Times New Roman" w:eastAsia="宋体"/>
          <w:color w:val="000000"/>
        </w:rPr>
        <w:t>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p>
      <w:pPr>
        <w:spacing w:line="360" w:lineRule="auto" w:after="0" w:before="0"/>
        <w:ind w:firstLine="420"/>
      </w:pPr>
      <w:r>
        <w:rPr>
          <w:rFonts w:ascii="Times New Roman" w:hAnsi="Times New Roman" w:eastAsia="黑体"/>
          <w:b/>
          <w:color w:val="000000"/>
          <w:sz w:val="24"/>
        </w:rPr>
        <w:t>3.4.4 理论框架的整合逻辑</w:t>
      </w:r>
    </w:p>
    <w:p>
      <w:pPr>
        <w:spacing w:line="360" w:lineRule="auto" w:after="0" w:before="0"/>
        <w:ind w:firstLine="420"/>
      </w:pPr>
      <w:r>
        <w:rPr>
          <w:rFonts w:ascii="Times New Roman" w:hAnsi="Times New Roman" w:eastAsia="宋体"/>
          <w:color w:val="000000"/>
        </w:rPr>
        <w:t>本研究将四个理论整合为"效果导向"的评估理论框架，整合逻辑如下：</w:t>
      </w:r>
    </w:p>
    <w:p>
      <w:pPr>
        <w:spacing w:line="360" w:lineRule="auto" w:after="0" w:before="0"/>
        <w:ind w:firstLine="420"/>
      </w:pPr>
      <w:r>
        <w:rPr>
          <w:rFonts w:ascii="Times New Roman" w:hAnsi="Times New Roman" w:eastAsia="宋体"/>
          <w:color w:val="000000"/>
        </w:rPr>
        <w:t>公共价值理论提供价值目标——回答"为什么评估"：政府数据开放的根本目的是创造公共价值（透明性、参与性、效率性、公平性）。</w:t>
      </w:r>
    </w:p>
    <w:p>
      <w:pPr>
        <w:spacing w:line="360" w:lineRule="auto" w:after="0" w:before="0"/>
        <w:ind w:firstLine="420"/>
      </w:pPr>
      <w:r>
        <w:rPr>
          <w:rFonts w:ascii="Times New Roman" w:hAnsi="Times New Roman" w:eastAsia="宋体"/>
          <w:color w:val="000000"/>
        </w:rPr>
        <w:t>数据要素价值化理论提供转化机制——回答"价值如何产生"：原始数据需经"汇聚→治理→开放→利用→价值实现"的价值链转化。</w:t>
      </w:r>
    </w:p>
    <w:p>
      <w:pPr>
        <w:spacing w:line="360" w:lineRule="auto" w:after="0" w:before="0"/>
        <w:ind w:firstLine="420"/>
      </w:pPr>
      <w:r>
        <w:rPr>
          <w:rFonts w:ascii="Times New Roman" w:hAnsi="Times New Roman" w:eastAsia="宋体"/>
          <w:color w:val="000000"/>
        </w:rPr>
        <w:t>4E框架提供评估维度——回答"评估什么"：供给保障（Economy）、平台服务（Efficiency过程维度）、数据质量（Efficiency质量维度）、利用效果（Effectiveness）、公平性（Equity）。</w:t>
      </w:r>
    </w:p>
    <w:p>
      <w:pPr>
        <w:spacing w:line="360" w:lineRule="auto" w:after="0" w:before="0"/>
        <w:ind w:firstLine="420"/>
      </w:pPr>
      <w:r>
        <w:rPr>
          <w:rFonts w:ascii="Times New Roman" w:hAnsi="Times New Roman" w:eastAsia="宋体"/>
          <w:color w:val="000000"/>
        </w:rPr>
        <w:t>TOE框架提供影响因素视角——回答"什么影响绩效"：技术条件、组织能力、制度环境共同影响绩效。</w:t>
      </w:r>
    </w:p>
    <w:p>
      <w:pPr>
        <w:spacing w:line="360" w:lineRule="auto" w:after="0" w:before="0"/>
        <w:ind w:firstLine="420"/>
      </w:pPr>
      <w:r>
        <w:rPr>
          <w:rFonts w:ascii="Times New Roman" w:hAnsi="Times New Roman" w:eastAsia="宋体"/>
          <w:color w:val="000000"/>
        </w:rPr>
        <w:t>四个理论形成三层结构：价值层（公共价值理论）→机制层（数据要素价值化理论）→操作层（4E+TOE框架），构成从"为什么"到"什么"再到"如何"的完整理论闭环。</w:t>
      </w:r>
    </w:p>
    <w:p>
      <w:pPr>
        <w:spacing w:line="360" w:lineRule="auto" w:after="0" w:before="0"/>
      </w:pPr>
      <w:r>
        <w:rPr>
          <w:rFonts w:ascii="Times New Roman" w:hAnsi="Times New Roman" w:eastAsia="黑体"/>
          <w:b/>
          <w:color w:val="000000"/>
          <w:sz w:val="24"/>
        </w:rPr>
        <w:t>3.5 整合分析模型</w:t>
      </w:r>
    </w:p>
    <w:p>
      <w:pPr>
        <w:spacing w:line="360" w:lineRule="auto" w:after="0" w:before="0"/>
        <w:ind w:firstLine="420"/>
      </w:pPr>
      <w:r>
        <w:rPr>
          <w:rFonts w:ascii="Times New Roman" w:hAnsi="Times New Roman" w:eastAsia="黑体"/>
          <w:b/>
          <w:color w:val="000000"/>
          <w:sz w:val="24"/>
        </w:rPr>
        <w:t>3.5.1 "评估-归因-组态"递进分析逻辑</w:t>
      </w:r>
    </w:p>
    <w:p>
      <w:pPr>
        <w:spacing w:line="360" w:lineRule="auto" w:after="0" w:before="0"/>
        <w:ind w:firstLine="420"/>
      </w:pPr>
      <w:r>
        <w:rPr>
          <w:rFonts w:ascii="Times New Roman" w:hAnsi="Times New Roman" w:eastAsia="宋体"/>
          <w:color w:val="000000"/>
        </w:rPr>
        <w:t>基于上述理论基础，本研究构建了"评估-归因-组态"的递进分析逻辑，形成从"绩效是什么"到"绩效为什么"再到"如何提升绩效"的完整研究链条。</w:t>
      </w:r>
    </w:p>
    <w:p>
      <w:pPr>
        <w:spacing w:line="360" w:lineRule="auto" w:after="0" w:before="0"/>
        <w:ind w:firstLine="420"/>
      </w:pPr>
      <w:r>
        <w:rPr>
          <w:rFonts w:ascii="Times New Roman" w:hAnsi="Times New Roman" w:eastAsia="宋体"/>
          <w:color w:val="000000"/>
        </w:rPr>
        <w:t>评估（Evaluation）——回答"绩效如何"。 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spacing w:line="360" w:lineRule="auto" w:after="0" w:before="0"/>
        <w:ind w:firstLine="420"/>
      </w:pPr>
      <w:r>
        <w:rPr>
          <w:rFonts w:ascii="Times New Roman" w:hAnsi="Times New Roman" w:eastAsia="宋体"/>
          <w:color w:val="000000"/>
        </w:rPr>
        <w:t>归因（Attribution）——回答"绩效为何如此"。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spacing w:line="360" w:lineRule="auto" w:after="0" w:before="0"/>
        <w:ind w:firstLine="420"/>
      </w:pPr>
      <w:r>
        <w:rPr>
          <w:rFonts w:ascii="Times New Roman" w:hAnsi="Times New Roman" w:eastAsia="宋体"/>
          <w:color w:val="000000"/>
        </w:rPr>
        <w:t>组态（Configuration）——回答"如何组合才能高绩效"。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spacing w:line="360" w:lineRule="auto" w:after="0" w:before="0"/>
        <w:ind w:firstLine="420"/>
      </w:pPr>
      <w:r>
        <w:rPr>
          <w:rFonts w:ascii="Times New Roman" w:hAnsi="Times New Roman" w:eastAsia="宋体"/>
          <w:color w:val="000000"/>
        </w:rPr>
        <w:t>三个阶段的逻辑关系是递进式的：评估提供事实基础（绩效现状），归因提供解释基础（形成机制），组态提供行动基础（优化路径）。三个阶段各司其职、相互支撑，避免了将绩效评估与影响因素分析混淆的理论困境。</w:t>
      </w:r>
    </w:p>
    <w:p>
      <w:pPr>
        <w:spacing w:line="360" w:lineRule="auto" w:after="0" w:before="0"/>
        <w:ind w:firstLine="420"/>
      </w:pPr>
      <w:r>
        <w:rPr>
          <w:rFonts w:ascii="Times New Roman" w:hAnsi="Times New Roman" w:eastAsia="黑体"/>
          <w:b/>
          <w:color w:val="000000"/>
          <w:sz w:val="24"/>
        </w:rPr>
        <w:t>3.5.2 4E与TOE的整合框架图</w:t>
      </w:r>
    </w:p>
    <w:p>
      <w:pPr>
        <w:spacing w:line="360" w:lineRule="auto" w:after="0" w:before="0"/>
        <w:ind w:firstLine="420"/>
      </w:pPr>
      <w:r>
        <w:rPr>
          <w:rFonts w:ascii="Times New Roman" w:hAnsi="Times New Roman" w:eastAsia="宋体"/>
          <w:color w:val="000000"/>
        </w:rP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spacing w:line="360" w:lineRule="auto" w:after="0" w:before="0"/>
        <w:ind w:firstLine="420"/>
      </w:pPr>
      <w:r>
        <w:rPr>
          <w:rFonts w:ascii="Times New Roman" w:hAnsi="Times New Roman" w:eastAsia="宋体"/>
          <w:color w:val="000000"/>
        </w:rPr>
        <w:t>供给保障维度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spacing w:line="360" w:lineRule="auto" w:after="0" w:before="0"/>
        <w:ind w:firstLine="420"/>
      </w:pPr>
      <w:r>
        <w:rPr>
          <w:rFonts w:ascii="Times New Roman" w:hAnsi="Times New Roman" w:eastAsia="宋体"/>
          <w:color w:val="000000"/>
        </w:rPr>
        <w:t>平台服务维度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spacing w:line="360" w:lineRule="auto" w:after="0" w:before="0"/>
        <w:ind w:firstLine="420"/>
      </w:pPr>
      <w:r>
        <w:rPr>
          <w:rFonts w:ascii="Times New Roman" w:hAnsi="Times New Roman" w:eastAsia="宋体"/>
          <w:color w:val="000000"/>
        </w:rPr>
        <w:t>数据质量维度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spacing w:line="360" w:lineRule="auto" w:after="0" w:before="0"/>
        <w:ind w:firstLine="420"/>
      </w:pPr>
      <w:r>
        <w:rPr>
          <w:rFonts w:ascii="Times New Roman" w:hAnsi="Times New Roman" w:eastAsia="宋体"/>
          <w:color w:val="000000"/>
        </w:rPr>
        <w:t>利用效果维度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spacing w:line="360" w:lineRule="auto" w:after="0" w:before="0"/>
        <w:ind w:firstLine="420"/>
      </w:pPr>
      <w:r>
        <w:rPr>
          <w:rFonts w:ascii="Times New Roman" w:hAnsi="Times New Roman" w:eastAsia="宋体"/>
          <w:color w:val="000000"/>
        </w:rPr>
        <w:t>公平性维度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spacing w:line="360" w:lineRule="auto" w:after="0" w:before="0"/>
        <w:ind w:firstLine="420"/>
      </w:pPr>
      <w:r>
        <w:rPr>
          <w:rFonts w:ascii="Times New Roman" w:hAnsi="Times New Roman" w:eastAsia="黑体"/>
          <w:b/>
          <w:color w:val="000000"/>
          <w:sz w:val="24"/>
        </w:rPr>
        <w:t>3.5.3 研究假设的提出</w:t>
      </w:r>
    </w:p>
    <w:p>
      <w:pPr>
        <w:spacing w:line="360" w:lineRule="auto" w:after="0" w:before="0"/>
        <w:ind w:firstLine="420"/>
      </w:pPr>
      <w:r>
        <w:rPr>
          <w:rFonts w:ascii="Times New Roman" w:hAnsi="Times New Roman" w:eastAsia="宋体"/>
          <w:color w:val="000000"/>
        </w:rPr>
        <w:t>基于上述整合分析模型，本研究提出以下研究假设。</w:t>
      </w:r>
    </w:p>
    <w:p>
      <w:pPr>
        <w:spacing w:line="360" w:lineRule="auto" w:after="0" w:before="0"/>
        <w:ind w:firstLine="420"/>
      </w:pPr>
      <w:r>
        <w:rPr>
          <w:rFonts w:ascii="Times New Roman" w:hAnsi="Times New Roman" w:eastAsia="宋体"/>
          <w:color w:val="000000"/>
        </w:rPr>
        <w:t>H1：供给保障对数据利用绩效有显著正向影响。 充足的数据供给是数据利用的前提条件——没有数据就谈不上利用。供给保障水平高的平台，其数据利用绩效也较高。</w:t>
      </w:r>
    </w:p>
    <w:p>
      <w:pPr>
        <w:spacing w:line="360" w:lineRule="auto" w:after="0" w:before="0"/>
        <w:ind w:firstLine="420"/>
      </w:pPr>
      <w:r>
        <w:rPr>
          <w:rFonts w:ascii="Times New Roman" w:hAnsi="Times New Roman" w:eastAsia="宋体"/>
          <w:color w:val="000000"/>
        </w:rPr>
        <w:t>H2：平台服务对数据利用绩效有显著正向影响。 完善的平台服务降低了数据利用的摩擦成本，提升了用户的数据获取和利用效率。平台服务水平高的平台，其数据利用绩效也较高。</w:t>
      </w:r>
    </w:p>
    <w:p>
      <w:pPr>
        <w:spacing w:line="360" w:lineRule="auto" w:after="0" w:before="0"/>
        <w:ind w:firstLine="420"/>
      </w:pPr>
      <w:r>
        <w:rPr>
          <w:rFonts w:ascii="Times New Roman" w:hAnsi="Times New Roman" w:eastAsia="宋体"/>
          <w:color w:val="000000"/>
        </w:rPr>
        <w:t>H3：数据质量对数据利用绩效有显著正向影响。 高质量的数据是有效利用的基础——低质量的数据不仅无法产生有效利用，还可能导致错误的分析结论。数据质量水平高的平台，其数据利用绩效也较高。</w:t>
      </w:r>
    </w:p>
    <w:p>
      <w:pPr>
        <w:spacing w:line="360" w:lineRule="auto" w:after="0" w:before="0"/>
        <w:ind w:firstLine="420"/>
      </w:pPr>
      <w:r>
        <w:rPr>
          <w:rFonts w:ascii="Times New Roman" w:hAnsi="Times New Roman" w:eastAsia="宋体"/>
          <w:color w:val="000000"/>
        </w:rPr>
        <w:t>H4：利用效果与供给保障、平台服务、数据质量之间存在非线性关系。 利用效果不是三个维度简单叠加的结果，而是存在交互作用和阈值效应。例如，高数据质量在高平台服务的配合下才能产生高利用效果；在低平台服务的条件下，即使数据质量再高，利用效果也可能受限。</w:t>
      </w:r>
    </w:p>
    <w:p>
      <w:pPr>
        <w:spacing w:line="360" w:lineRule="auto" w:after="0" w:before="0"/>
        <w:ind w:firstLine="420"/>
      </w:pPr>
      <w:r>
        <w:rPr>
          <w:rFonts w:ascii="Times New Roman" w:hAnsi="Times New Roman" w:eastAsia="宋体"/>
          <w:color w:val="000000"/>
        </w:rPr>
        <w:t>H5：不同区域平台的高绩效路径存在显著差异。 东部发达地区和中西部欠发达地区的高绩效路径可能不同——前者可能主要依赖技术驱动型路径，后者可能主要依赖制度驱动型路径。这要求优化策略必须因地制宜、分类施策。</w:t>
      </w:r>
    </w:p>
    <w:p>
      <w:pPr>
        <w:spacing w:line="360" w:lineRule="auto" w:after="0" w:before="0"/>
        <w:ind w:firstLine="420"/>
      </w:pPr>
      <w:r>
        <w:rPr>
          <w:rFonts w:ascii="Times New Roman" w:hAnsi="Times New Roman" w:eastAsia="宋体"/>
          <w:color w:val="000000"/>
        </w:rPr>
        <w:t>H6：存在多重等效的高绩效路径。 同一高绩效结果可以由不同的条件组合产生——例如，"高供给+高服务+高质量"和"高质量+强制度+好环境"都可能产生高绩效。这一假设是fsQCA方法的理论基础。</w:t>
      </w:r>
    </w:p>
    <w:p>
      <w:pPr>
        <w:spacing w:line="360" w:lineRule="auto" w:after="0" w:before="0"/>
        <w:ind w:firstLine="420"/>
      </w:pPr>
      <w:r>
        <w:rPr>
          <w:rFonts w:ascii="Times New Roman" w:hAnsi="Times New Roman" w:eastAsia="宋体"/>
          <w:color w:val="000000"/>
        </w:rPr>
        <w:t>上述假设将在第五章和第六章通过实证分析进行检验。假设H1-H3通过TOPSIS和DEA分析进行验证，假设H4通过DEA效率分析和DEMATEL因果分析进行验证，假设H5-H6通过fsQCA组态分析进行验证。</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4"/>
        </w:rPr>
        <w:t>2.6 政府数据开放评估方法的演进与比较</w:t>
      </w:r>
    </w:p>
    <w:p>
      <w:pPr>
        <w:spacing w:line="360" w:lineRule="auto" w:after="0" w:before="0"/>
        <w:ind w:firstLine="420"/>
      </w:pPr>
      <w:r>
        <w:rPr>
          <w:rFonts w:ascii="Times New Roman" w:hAnsi="Times New Roman" w:eastAsia="黑体"/>
          <w:b/>
          <w:color w:val="000000"/>
          <w:sz w:val="24"/>
        </w:rPr>
        <w:t>2.6.1 评估方法的三代演进</w:t>
      </w:r>
    </w:p>
    <w:p>
      <w:pPr>
        <w:spacing w:line="360" w:lineRule="auto" w:after="0" w:before="0"/>
        <w:ind w:firstLine="420"/>
      </w:pPr>
      <w:r>
        <w:rPr>
          <w:rFonts w:ascii="Times New Roman" w:hAnsi="Times New Roman" w:eastAsia="宋体"/>
          <w:color w:val="000000"/>
        </w:rPr>
        <w:t>政府数据开放评估方法经历了从"简单计数"到"多维指数"再到"效果导向"的三代演进。第一代评估方法（2010-2013）以数据集数量统计为核心，简单地计算平台开放的数据集数量，以此作为评估平台开放程度的唯一指标。这种方法的局限在于：忽视了数据质量、格式标准和更新频率等关键维度，无法区分"高质量开放"和"低质量开放"。</w:t>
      </w:r>
    </w:p>
    <w:p>
      <w:pPr>
        <w:spacing w:line="360" w:lineRule="auto" w:after="0" w:before="0"/>
        <w:ind w:firstLine="420"/>
      </w:pPr>
      <w:r>
        <w:rPr>
          <w:rFonts w:ascii="Times New Roman" w:hAnsi="Times New Roman" w:eastAsia="宋体"/>
          <w:color w:val="000000"/>
        </w:rPr>
        <w:t>第二代评估方法（2014-2018）以多维指数构建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spacing w:line="360" w:lineRule="auto" w:after="0" w:before="0"/>
        <w:ind w:firstLine="420"/>
      </w:pPr>
      <w:r>
        <w:rPr>
          <w:rFonts w:ascii="Times New Roman" w:hAnsi="Times New Roman" w:eastAsia="宋体"/>
          <w:color w:val="000000"/>
        </w:rPr>
        <w:t>第三代评估方法（2019至今）以效果导向和价值评估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p>
      <w:pPr>
        <w:spacing w:line="360" w:lineRule="auto" w:after="0" w:before="0"/>
        <w:ind w:firstLine="420"/>
      </w:pPr>
      <w:r>
        <w:rPr>
          <w:rFonts w:ascii="Times New Roman" w:hAnsi="Times New Roman" w:eastAsia="黑体"/>
          <w:b/>
          <w:color w:val="000000"/>
          <w:sz w:val="24"/>
        </w:rPr>
        <w:t>2.6.2 主要评估方法的比较分析</w:t>
      </w:r>
    </w:p>
    <w:p>
      <w:pPr>
        <w:spacing w:line="360" w:lineRule="auto" w:after="0" w:before="0"/>
        <w:ind w:firstLine="420"/>
      </w:pPr>
      <w:r>
        <w:rPr>
          <w:rFonts w:ascii="Times New Roman" w:hAnsi="Times New Roman" w:eastAsia="宋体"/>
          <w:color w:val="000000"/>
        </w:rPr>
        <w:t>表2-5对五种主流评估方法进行了系统比较。</w:t>
      </w:r>
    </w:p>
    <w:p>
      <w:pPr>
        <w:spacing w:line="360" w:lineRule="auto" w:after="0" w:before="0"/>
        <w:ind w:firstLine="420"/>
      </w:pPr>
      <w:r>
        <w:rPr>
          <w:rFonts w:ascii="Times New Roman" w:hAnsi="Times New Roman" w:eastAsia="宋体"/>
          <w:color w:val="000000"/>
        </w:rPr>
        <w:t>表2-5 政府数据开放评估方法比较</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方法类型</w:t>
            </w:r>
          </w:p>
        </w:tc>
        <w:tc>
          <w:tcPr>
            <w:tcW w:type="dxa" w:w="1441"/>
            <w:tcBorders/>
          </w:tcPr>
          <w:p>
            <w:pPr>
              <w:jc w:val="center"/>
            </w:pPr>
            <w:r>
              <w:rPr>
                <w:rFonts w:ascii="Times New Roman" w:hAnsi="Times New Roman" w:eastAsia="宋体"/>
                <w:b/>
                <w:sz w:val="21"/>
              </w:rPr>
              <w:t>代表指数</w:t>
            </w:r>
          </w:p>
        </w:tc>
        <w:tc>
          <w:tcPr>
            <w:tcW w:type="dxa" w:w="1441"/>
            <w:tcBorders/>
          </w:tcPr>
          <w:p>
            <w:pPr>
              <w:jc w:val="center"/>
            </w:pPr>
            <w:r>
              <w:rPr>
                <w:rFonts w:ascii="Times New Roman" w:hAnsi="Times New Roman" w:eastAsia="宋体"/>
                <w:b/>
                <w:sz w:val="21"/>
              </w:rPr>
              <w:t>核心指标</w:t>
            </w:r>
          </w:p>
        </w:tc>
        <w:tc>
          <w:tcPr>
            <w:tcW w:type="dxa" w:w="1441"/>
            <w:tcBorders/>
          </w:tcPr>
          <w:p>
            <w:pPr>
              <w:jc w:val="center"/>
            </w:pPr>
            <w:r>
              <w:rPr>
                <w:rFonts w:ascii="Times New Roman" w:hAnsi="Times New Roman" w:eastAsia="宋体"/>
                <w:b/>
                <w:sz w:val="21"/>
              </w:rPr>
              <w:t>优势</w:t>
            </w:r>
          </w:p>
        </w:tc>
        <w:tc>
          <w:tcPr>
            <w:tcW w:type="dxa" w:w="1441"/>
            <w:tcBorders/>
          </w:tcPr>
          <w:p>
            <w:pPr>
              <w:jc w:val="center"/>
            </w:pPr>
            <w:r>
              <w:rPr>
                <w:rFonts w:ascii="Times New Roman" w:hAnsi="Times New Roman" w:eastAsia="宋体"/>
                <w:b/>
                <w:sz w:val="21"/>
              </w:rPr>
              <w:t>局限</w:t>
            </w:r>
          </w:p>
        </w:tc>
        <w:tc>
          <w:tcPr>
            <w:tcW w:type="dxa" w:w="1441"/>
            <w:tcBorders/>
          </w:tcPr>
          <w:p>
            <w:pPr>
              <w:jc w:val="center"/>
            </w:pPr>
            <w:r>
              <w:rPr>
                <w:rFonts w:ascii="Times New Roman" w:hAnsi="Times New Roman" w:eastAsia="宋体"/>
                <w:b/>
                <w:sz w:val="21"/>
              </w:rPr>
              <w:t>适用场景</w:t>
            </w:r>
          </w:p>
        </w:tc>
      </w:tr>
      <w:tr>
        <w:tc>
          <w:tcPr>
            <w:tcW w:type="dxa" w:w="1441"/>
            <w:tcBorders/>
          </w:tcPr>
          <w:p>
            <w:pPr>
              <w:jc w:val="center"/>
            </w:pPr>
            <w:r>
              <w:rPr>
                <w:rFonts w:ascii="Times New Roman" w:hAnsi="Times New Roman" w:eastAsia="宋体"/>
                <w:sz w:val="21"/>
              </w:rPr>
              <w:t>简单计数法</w:t>
            </w:r>
          </w:p>
        </w:tc>
        <w:tc>
          <w:tcPr>
            <w:tcW w:type="dxa" w:w="1441"/>
            <w:tcBorders/>
          </w:tcPr>
          <w:p>
            <w:pPr>
              <w:jc w:val="center"/>
            </w:pPr>
            <w:r>
              <w:rPr>
                <w:rFonts w:ascii="Times New Roman" w:hAnsi="Times New Roman" w:eastAsia="宋体"/>
                <w:sz w:val="21"/>
              </w:rPr>
              <w:t>早期评估</w:t>
            </w:r>
          </w:p>
        </w:tc>
        <w:tc>
          <w:tcPr>
            <w:tcW w:type="dxa" w:w="1441"/>
            <w:tcBorders/>
          </w:tcPr>
          <w:p>
            <w:pPr>
              <w:jc w:val="center"/>
            </w:pPr>
            <w:r>
              <w:rPr>
                <w:rFonts w:ascii="Times New Roman" w:hAnsi="Times New Roman" w:eastAsia="宋体"/>
                <w:sz w:val="21"/>
              </w:rPr>
              <w:t>数据集数量</w:t>
            </w:r>
          </w:p>
        </w:tc>
        <w:tc>
          <w:tcPr>
            <w:tcW w:type="dxa" w:w="1441"/>
            <w:tcBorders/>
          </w:tcPr>
          <w:p>
            <w:pPr>
              <w:jc w:val="center"/>
            </w:pPr>
            <w:r>
              <w:rPr>
                <w:rFonts w:ascii="Times New Roman" w:hAnsi="Times New Roman" w:eastAsia="宋体"/>
                <w:sz w:val="21"/>
              </w:rPr>
              <w:t>简单直观</w:t>
            </w:r>
          </w:p>
        </w:tc>
        <w:tc>
          <w:tcPr>
            <w:tcW w:type="dxa" w:w="1441"/>
            <w:tcBorders/>
          </w:tcPr>
          <w:p>
            <w:pPr>
              <w:jc w:val="center"/>
            </w:pPr>
            <w:r>
              <w:rPr>
                <w:rFonts w:ascii="Times New Roman" w:hAnsi="Times New Roman" w:eastAsia="宋体"/>
                <w:sz w:val="21"/>
              </w:rPr>
              <w:t>维度单一</w:t>
            </w:r>
          </w:p>
        </w:tc>
        <w:tc>
          <w:tcPr>
            <w:tcW w:type="dxa" w:w="1441"/>
            <w:tcBorders/>
          </w:tcPr>
          <w:p>
            <w:pPr>
              <w:jc w:val="center"/>
            </w:pPr>
            <w:r>
              <w:rPr>
                <w:rFonts w:ascii="Times New Roman" w:hAnsi="Times New Roman" w:eastAsia="宋体"/>
                <w:sz w:val="21"/>
              </w:rPr>
              <w:t>快速摸底</w:t>
            </w:r>
          </w:p>
        </w:tc>
      </w:tr>
      <w:tr>
        <w:tc>
          <w:tcPr>
            <w:tcW w:type="dxa" w:w="1441"/>
            <w:tcBorders/>
          </w:tcPr>
          <w:p>
            <w:pPr>
              <w:jc w:val="center"/>
            </w:pPr>
            <w:r>
              <w:rPr>
                <w:rFonts w:ascii="Times New Roman" w:hAnsi="Times New Roman" w:eastAsia="宋体"/>
                <w:sz w:val="21"/>
              </w:rPr>
              <w:t>综合指数法</w:t>
            </w:r>
          </w:p>
        </w:tc>
        <w:tc>
          <w:tcPr>
            <w:tcW w:type="dxa" w:w="1441"/>
            <w:tcBorders/>
          </w:tcPr>
          <w:p>
            <w:pPr>
              <w:jc w:val="center"/>
            </w:pPr>
            <w:r>
              <w:rPr>
                <w:rFonts w:ascii="Times New Roman" w:hAnsi="Times New Roman" w:eastAsia="宋体"/>
                <w:sz w:val="21"/>
              </w:rPr>
              <w:t>开放数林指数</w:t>
            </w:r>
          </w:p>
        </w:tc>
        <w:tc>
          <w:tcPr>
            <w:tcW w:type="dxa" w:w="1441"/>
            <w:tcBorders/>
          </w:tcPr>
          <w:p>
            <w:pPr>
              <w:jc w:val="center"/>
            </w:pPr>
            <w:r>
              <w:rPr>
                <w:rFonts w:ascii="Times New Roman" w:hAnsi="Times New Roman" w:eastAsia="宋体"/>
                <w:sz w:val="21"/>
              </w:rPr>
              <w:t>多维度加权</w:t>
            </w:r>
          </w:p>
        </w:tc>
        <w:tc>
          <w:tcPr>
            <w:tcW w:type="dxa" w:w="1441"/>
            <w:tcBorders/>
          </w:tcPr>
          <w:p>
            <w:pPr>
              <w:jc w:val="center"/>
            </w:pPr>
            <w:r>
              <w:rPr>
                <w:rFonts w:ascii="Times New Roman" w:hAnsi="Times New Roman" w:eastAsia="宋体"/>
                <w:sz w:val="21"/>
              </w:rPr>
              <w:t>全面系统</w:t>
            </w:r>
          </w:p>
        </w:tc>
        <w:tc>
          <w:tcPr>
            <w:tcW w:type="dxa" w:w="1441"/>
            <w:tcBorders/>
          </w:tcPr>
          <w:p>
            <w:pPr>
              <w:jc w:val="center"/>
            </w:pPr>
            <w:r>
              <w:rPr>
                <w:rFonts w:ascii="Times New Roman" w:hAnsi="Times New Roman" w:eastAsia="宋体"/>
                <w:sz w:val="21"/>
              </w:rPr>
              <w:t>权重主观</w:t>
            </w:r>
          </w:p>
        </w:tc>
        <w:tc>
          <w:tcPr>
            <w:tcW w:type="dxa" w:w="1441"/>
            <w:tcBorders/>
          </w:tcPr>
          <w:p>
            <w:pPr>
              <w:jc w:val="center"/>
            </w:pPr>
            <w:r>
              <w:rPr>
                <w:rFonts w:ascii="Times New Roman" w:hAnsi="Times New Roman" w:eastAsia="宋体"/>
                <w:sz w:val="21"/>
              </w:rPr>
              <w:t>年度评估</w:t>
            </w:r>
          </w:p>
        </w:tc>
      </w:tr>
      <w:tr>
        <w:tc>
          <w:tcPr>
            <w:tcW w:type="dxa" w:w="1441"/>
            <w:tcBorders/>
          </w:tcPr>
          <w:p>
            <w:pPr>
              <w:jc w:val="center"/>
            </w:pPr>
            <w:r>
              <w:rPr>
                <w:rFonts w:ascii="Times New Roman" w:hAnsi="Times New Roman" w:eastAsia="宋体"/>
                <w:sz w:val="21"/>
              </w:rPr>
              <w:t>专家打分法</w:t>
            </w:r>
          </w:p>
        </w:tc>
        <w:tc>
          <w:tcPr>
            <w:tcW w:type="dxa" w:w="1441"/>
            <w:tcBorders/>
          </w:tcPr>
          <w:p>
            <w:pPr>
              <w:jc w:val="center"/>
            </w:pPr>
            <w:r>
              <w:rPr>
                <w:rFonts w:ascii="Times New Roman" w:hAnsi="Times New Roman" w:eastAsia="宋体"/>
                <w:sz w:val="21"/>
              </w:rPr>
              <w:t>ODB指数</w:t>
            </w:r>
          </w:p>
        </w:tc>
        <w:tc>
          <w:tcPr>
            <w:tcW w:type="dxa" w:w="1441"/>
            <w:tcBorders/>
          </w:tcPr>
          <w:p>
            <w:pPr>
              <w:jc w:val="center"/>
            </w:pPr>
            <w:r>
              <w:rPr>
                <w:rFonts w:ascii="Times New Roman" w:hAnsi="Times New Roman" w:eastAsia="宋体"/>
                <w:sz w:val="21"/>
              </w:rPr>
              <w:t>专家评分</w:t>
            </w:r>
          </w:p>
        </w:tc>
        <w:tc>
          <w:tcPr>
            <w:tcW w:type="dxa" w:w="1441"/>
            <w:tcBorders/>
          </w:tcPr>
          <w:p>
            <w:pPr>
              <w:jc w:val="center"/>
            </w:pPr>
            <w:r>
              <w:rPr>
                <w:rFonts w:ascii="Times New Roman" w:hAnsi="Times New Roman" w:eastAsia="宋体"/>
                <w:sz w:val="21"/>
              </w:rPr>
              <w:t>专业权威</w:t>
            </w:r>
          </w:p>
        </w:tc>
        <w:tc>
          <w:tcPr>
            <w:tcW w:type="dxa" w:w="1441"/>
            <w:tcBorders/>
          </w:tcPr>
          <w:p>
            <w:pPr>
              <w:jc w:val="center"/>
            </w:pPr>
            <w:r>
              <w:rPr>
                <w:rFonts w:ascii="Times New Roman" w:hAnsi="Times New Roman" w:eastAsia="宋体"/>
                <w:sz w:val="21"/>
              </w:rPr>
              <w:t>成本高</w:t>
            </w:r>
          </w:p>
        </w:tc>
        <w:tc>
          <w:tcPr>
            <w:tcW w:type="dxa" w:w="1441"/>
            <w:tcBorders/>
          </w:tcPr>
          <w:p>
            <w:pPr>
              <w:jc w:val="center"/>
            </w:pPr>
            <w:r>
              <w:rPr>
                <w:rFonts w:ascii="Times New Roman" w:hAnsi="Times New Roman" w:eastAsia="宋体"/>
                <w:sz w:val="21"/>
              </w:rPr>
              <w:t>国际比较</w:t>
            </w:r>
          </w:p>
        </w:tc>
      </w:tr>
      <w:tr>
        <w:tc>
          <w:tcPr>
            <w:tcW w:type="dxa" w:w="1441"/>
            <w:tcBorders/>
          </w:tcPr>
          <w:p>
            <w:pPr>
              <w:jc w:val="center"/>
            </w:pPr>
            <w:r>
              <w:rPr>
                <w:rFonts w:ascii="Times New Roman" w:hAnsi="Times New Roman" w:eastAsia="宋体"/>
                <w:sz w:val="21"/>
              </w:rPr>
              <w:t>用户调查法</w:t>
            </w:r>
          </w:p>
        </w:tc>
        <w:tc>
          <w:tcPr>
            <w:tcW w:type="dxa" w:w="1441"/>
            <w:tcBorders/>
          </w:tcPr>
          <w:p>
            <w:pPr>
              <w:jc w:val="center"/>
            </w:pPr>
            <w:r>
              <w:rPr>
                <w:rFonts w:ascii="Times New Roman" w:hAnsi="Times New Roman" w:eastAsia="宋体"/>
                <w:sz w:val="21"/>
              </w:rPr>
              <w:t>满意度指数</w:t>
            </w:r>
          </w:p>
        </w:tc>
        <w:tc>
          <w:tcPr>
            <w:tcW w:type="dxa" w:w="1441"/>
            <w:tcBorders/>
          </w:tcPr>
          <w:p>
            <w:pPr>
              <w:jc w:val="center"/>
            </w:pPr>
            <w:r>
              <w:rPr>
                <w:rFonts w:ascii="Times New Roman" w:hAnsi="Times New Roman" w:eastAsia="宋体"/>
                <w:sz w:val="21"/>
              </w:rPr>
              <w:t>用户反馈</w:t>
            </w:r>
          </w:p>
        </w:tc>
        <w:tc>
          <w:tcPr>
            <w:tcW w:type="dxa" w:w="1441"/>
            <w:tcBorders/>
          </w:tcPr>
          <w:p>
            <w:pPr>
              <w:jc w:val="center"/>
            </w:pPr>
            <w:r>
              <w:rPr>
                <w:rFonts w:ascii="Times New Roman" w:hAnsi="Times New Roman" w:eastAsia="宋体"/>
                <w:sz w:val="21"/>
              </w:rPr>
              <w:t>需求导向</w:t>
            </w:r>
          </w:p>
        </w:tc>
        <w:tc>
          <w:tcPr>
            <w:tcW w:type="dxa" w:w="1441"/>
            <w:tcBorders/>
          </w:tcPr>
          <w:p>
            <w:pPr>
              <w:jc w:val="center"/>
            </w:pPr>
            <w:r>
              <w:rPr>
                <w:rFonts w:ascii="Times New Roman" w:hAnsi="Times New Roman" w:eastAsia="宋体"/>
                <w:sz w:val="21"/>
              </w:rPr>
              <w:t>样本偏差</w:t>
            </w:r>
          </w:p>
        </w:tc>
        <w:tc>
          <w:tcPr>
            <w:tcW w:type="dxa" w:w="1441"/>
            <w:tcBorders/>
          </w:tcPr>
          <w:p>
            <w:pPr>
              <w:jc w:val="center"/>
            </w:pPr>
            <w:r>
              <w:rPr>
                <w:rFonts w:ascii="Times New Roman" w:hAnsi="Times New Roman" w:eastAsia="宋体"/>
                <w:sz w:val="21"/>
              </w:rPr>
              <w:t>效果评估</w:t>
            </w:r>
          </w:p>
        </w:tc>
      </w:tr>
      <w:tr>
        <w:tc>
          <w:tcPr>
            <w:tcW w:type="dxa" w:w="1441"/>
            <w:tcBorders/>
          </w:tcPr>
          <w:p>
            <w:pPr>
              <w:jc w:val="center"/>
            </w:pPr>
            <w:r>
              <w:rPr>
                <w:rFonts w:ascii="Times New Roman" w:hAnsi="Times New Roman" w:eastAsia="宋体"/>
                <w:sz w:val="21"/>
              </w:rPr>
              <w:t>效果追踪法</w:t>
            </w:r>
          </w:p>
        </w:tc>
        <w:tc>
          <w:tcPr>
            <w:tcW w:type="dxa" w:w="1441"/>
            <w:tcBorders/>
          </w:tcPr>
          <w:p>
            <w:pPr>
              <w:jc w:val="center"/>
            </w:pPr>
            <w:r>
              <w:rPr>
                <w:rFonts w:ascii="Times New Roman" w:hAnsi="Times New Roman" w:eastAsia="宋体"/>
                <w:sz w:val="21"/>
              </w:rPr>
              <w:t>本研究4E框架</w:t>
            </w:r>
          </w:p>
        </w:tc>
        <w:tc>
          <w:tcPr>
            <w:tcW w:type="dxa" w:w="1441"/>
            <w:tcBorders/>
          </w:tcPr>
          <w:p>
            <w:pPr>
              <w:jc w:val="center"/>
            </w:pPr>
            <w:r>
              <w:rPr>
                <w:rFonts w:ascii="Times New Roman" w:hAnsi="Times New Roman" w:eastAsia="宋体"/>
                <w:sz w:val="21"/>
              </w:rPr>
              <w:t>利用效果</w:t>
            </w:r>
          </w:p>
        </w:tc>
        <w:tc>
          <w:tcPr>
            <w:tcW w:type="dxa" w:w="1441"/>
            <w:tcBorders/>
          </w:tcPr>
          <w:p>
            <w:pPr>
              <w:jc w:val="center"/>
            </w:pPr>
            <w:r>
              <w:rPr>
                <w:rFonts w:ascii="Times New Roman" w:hAnsi="Times New Roman" w:eastAsia="宋体"/>
                <w:sz w:val="21"/>
              </w:rPr>
              <w:t>客观精准</w:t>
            </w:r>
          </w:p>
        </w:tc>
        <w:tc>
          <w:tcPr>
            <w:tcW w:type="dxa" w:w="1441"/>
            <w:tcBorders/>
          </w:tcPr>
          <w:p>
            <w:pPr>
              <w:jc w:val="center"/>
            </w:pPr>
            <w:r>
              <w:rPr>
                <w:rFonts w:ascii="Times New Roman" w:hAnsi="Times New Roman" w:eastAsia="宋体"/>
                <w:sz w:val="21"/>
              </w:rPr>
              <w:t>技术复杂</w:t>
            </w:r>
          </w:p>
        </w:tc>
        <w:tc>
          <w:tcPr>
            <w:tcW w:type="dxa" w:w="1441"/>
            <w:tcBorders/>
          </w:tcPr>
          <w:p>
            <w:pPr>
              <w:jc w:val="center"/>
            </w:pPr>
            <w:r>
              <w:rPr>
                <w:rFonts w:ascii="Times New Roman" w:hAnsi="Times New Roman" w:eastAsia="宋体"/>
                <w:sz w:val="21"/>
              </w:rPr>
              <w:t>深度评估</w:t>
            </w:r>
          </w:p>
        </w:tc>
      </w:tr>
    </w:tbl>
    <w:p/>
    <w:p>
      <w:pPr>
        <w:spacing w:line="360" w:lineRule="auto" w:after="0" w:before="0"/>
        <w:ind w:firstLine="420"/>
      </w:pPr>
      <w:r>
        <w:rPr>
          <w:rFonts w:ascii="Times New Roman" w:hAnsi="Times New Roman" w:eastAsia="宋体"/>
          <w:color w:val="000000"/>
        </w:rPr>
        <w:t>数据来源：作者整理</w:t>
      </w:r>
    </w:p>
    <w:p>
      <w:pPr>
        <w:spacing w:line="360" w:lineRule="auto" w:after="0" w:before="0"/>
        <w:ind w:firstLine="420"/>
      </w:pPr>
      <w:r>
        <w:rPr>
          <w:rFonts w:ascii="Times New Roman" w:hAnsi="Times New Roman" w:eastAsia="宋体"/>
          <w:color w:val="000000"/>
        </w:rPr>
        <w:t>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p>
      <w:pPr>
        <w:spacing w:line="360" w:lineRule="auto" w:after="0" w:before="0"/>
        <w:ind w:firstLine="420"/>
      </w:pPr>
      <w:r>
        <w:rPr>
          <w:rFonts w:ascii="Times New Roman" w:hAnsi="Times New Roman" w:eastAsia="黑体"/>
          <w:b/>
          <w:color w:val="000000"/>
          <w:sz w:val="24"/>
        </w:rPr>
        <w:t>2.6.3 本研究的方法论创新</w:t>
      </w:r>
    </w:p>
    <w:p>
      <w:pPr>
        <w:spacing w:line="360" w:lineRule="auto" w:after="0" w:before="0"/>
        <w:ind w:firstLine="420"/>
      </w:pPr>
      <w:r>
        <w:rPr>
          <w:rFonts w:ascii="Times New Roman" w:hAnsi="Times New Roman" w:eastAsia="宋体"/>
          <w:color w:val="000000"/>
        </w:rPr>
        <w:t>相较于现有评估方法，本研究在方法论层面实现了以下创新。</w:t>
      </w:r>
    </w:p>
    <w:p>
      <w:pPr>
        <w:spacing w:line="360" w:lineRule="auto" w:after="0" w:before="0"/>
        <w:ind w:firstLine="420"/>
      </w:pPr>
      <w:r>
        <w:rPr>
          <w:rFonts w:ascii="Times New Roman" w:hAnsi="Times New Roman" w:eastAsia="宋体"/>
          <w:color w:val="000000"/>
        </w:rPr>
        <w:t>第一，数据采集的自动化与标准化。 现有评估研究主要依赖人工数据采集或平台自报数据，存在效率低、偏差大、不可复现等问题。本研究开发的OGD-Collector Pro系统实现了数据采集的自动化和标准化，28个平台的数据在同一时间窗口内采集、采用统一的解析规则、经过相同的清洗流程，确保了数据的可比性和可复现性。</w:t>
      </w:r>
    </w:p>
    <w:p>
      <w:pPr>
        <w:spacing w:line="360" w:lineRule="auto" w:after="0" w:before="0"/>
        <w:ind w:firstLine="420"/>
      </w:pPr>
      <w:r>
        <w:rPr>
          <w:rFonts w:ascii="Times New Roman" w:hAnsi="Times New Roman" w:eastAsia="宋体"/>
          <w:color w:val="000000"/>
        </w:rPr>
        <w:t>第二，评估维度的全链条覆盖。 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spacing w:line="360" w:lineRule="auto" w:after="0" w:before="0"/>
        <w:ind w:firstLine="420"/>
      </w:pPr>
      <w:r>
        <w:rPr>
          <w:rFonts w:ascii="Times New Roman" w:hAnsi="Times New Roman" w:eastAsia="宋体"/>
          <w:color w:val="000000"/>
        </w:rPr>
        <w:t>第三，效率与绩效的分离评估。 现有评估方法将"绩效"和"效率"混为一谈，认为"绩效高=效率高"。本研究通过TOPSIS和DEA的分离评估，揭示了"高绩效低效率"（如山东）和"低绩效高效率"（如贵州）现象，为资源配置优化提供了更精准的分析工具。</w:t>
      </w:r>
    </w:p>
    <w:p>
      <w:pPr>
        <w:spacing w:line="360" w:lineRule="auto" w:after="0" w:before="0"/>
        <w:ind w:firstLine="420"/>
      </w:pPr>
      <w:r>
        <w:rPr>
          <w:rFonts w:ascii="Times New Roman" w:hAnsi="Times New Roman" w:eastAsia="宋体"/>
          <w:color w:val="000000"/>
        </w:rPr>
        <w:t>第四，影响因素的组合效应分析。 现有研究主要采用回归分析识别因素的"净效应"，假设因素间独立作用。本研究引入fsQCA方法，揭示了高绩效的多重等效路径，发现了因素间的交互作用和替代关系，为"因地制宜"的优化策略提供了方法论支撑。</w:t>
      </w:r>
    </w:p>
    <w:p>
      <w:pPr>
        <w:spacing w:line="360" w:lineRule="auto" w:after="0" w:before="0"/>
      </w:pPr>
      <w:r>
        <w:rPr>
          <w:rFonts w:ascii="Times New Roman" w:hAnsi="Times New Roman" w:eastAsia="黑体"/>
          <w:b/>
          <w:color w:val="000000"/>
          <w:sz w:val="28"/>
        </w:rPr>
        <w:t>第三章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3.3.2 4E框架在政府数据开放领域的适配</w:t>
      </w:r>
    </w:p>
    <w:p>
      <w:pPr>
        <w:spacing w:line="360" w:lineRule="auto" w:after="0" w:before="0"/>
        <w:ind w:firstLine="420"/>
      </w:pPr>
      <w:r>
        <w:rPr>
          <w:rFonts w:ascii="Times New Roman" w:hAnsi="Times New Roman" w:eastAsia="宋体"/>
          <w:color w:val="000000"/>
        </w:rPr>
        <w:t>新增实证支撑：</w:t>
      </w:r>
    </w:p>
    <w:p>
      <w:pPr>
        <w:spacing w:line="360" w:lineRule="auto" w:after="0" w:before="0"/>
        <w:ind w:firstLine="420"/>
      </w:pPr>
      <w:r>
        <w:rPr>
          <w:rFonts w:ascii="Times New Roman" w:hAnsi="Times New Roman" w:eastAsia="宋体"/>
          <w:color w:val="000000"/>
        </w:rPr>
        <w:t>"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p>
      <w:pPr>
        <w:spacing w:line="360" w:lineRule="auto" w:after="0" w:before="0"/>
        <w:ind w:firstLine="420"/>
      </w:pPr>
      <w:r>
        <w:rPr>
          <w:rFonts w:ascii="Times New Roman" w:hAnsi="Times New Roman" w:eastAsia="黑体"/>
          <w:b/>
          <w:color w:val="000000"/>
          <w:sz w:val="24"/>
        </w:rPr>
        <w:t>3.3.3 指标权重确定</w:t>
      </w:r>
    </w:p>
    <w:p>
      <w:pPr>
        <w:spacing w:line="360" w:lineRule="auto" w:after="0" w:before="0"/>
        <w:ind w:firstLine="420"/>
      </w:pPr>
      <w:r>
        <w:rPr>
          <w:rFonts w:ascii="Times New Roman" w:hAnsi="Times New Roman" w:eastAsia="宋体"/>
          <w:color w:val="000000"/>
        </w:rPr>
        <w:t>新增AHP-熵权组合赋权结果：</w:t>
      </w:r>
    </w:p>
    <w:p>
      <w:pPr>
        <w:spacing w:line="360" w:lineRule="auto" w:after="0" w:before="0"/>
        <w:ind w:firstLine="420"/>
      </w:pPr>
      <w:r>
        <w:rPr>
          <w:rFonts w:ascii="Times New Roman" w:hAnsi="Times New Roman" w:eastAsia="宋体"/>
          <w:color w:val="000000"/>
        </w:rPr>
        <w:t>"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第研究设计</w:t>
      </w:r>
    </w:p>
    <w:p>
      <w:pPr>
        <w:spacing w:line="360" w:lineRule="auto" w:after="0" w:before="0"/>
      </w:pPr>
      <w:r>
        <w:rPr>
          <w:rFonts w:ascii="Times New Roman" w:hAnsi="Times New Roman" w:eastAsia="黑体"/>
          <w:b/>
          <w:color w:val="000000"/>
          <w:sz w:val="24"/>
        </w:rPr>
        <w:t>4.1 研究设计概述</w:t>
      </w:r>
    </w:p>
    <w:p>
      <w:pPr>
        <w:spacing w:line="360" w:lineRule="auto" w:after="0" w:before="0"/>
        <w:ind w:firstLine="420"/>
      </w:pPr>
      <w:r>
        <w:rPr>
          <w:rFonts w:ascii="Times New Roman" w:hAnsi="Times New Roman" w:eastAsia="宋体"/>
          <w:color w:val="000000"/>
        </w:rPr>
        <w:t>本研究采用"理论构建→数据采集→绩效评估→影响因素分析→对策建议"的五阶段研究设计。图4-1展示了本研究的技术路线和章节安排。</w:t>
      </w:r>
    </w:p>
    <w:p>
      <w:pPr>
        <w:spacing w:line="360" w:lineRule="auto" w:after="0" w:before="0"/>
        <w:ind w:firstLine="420"/>
      </w:pPr>
      <w:r>
        <w:rPr>
          <w:rFonts w:ascii="Times New Roman" w:hAnsi="Times New Roman" w:eastAsia="宋体"/>
          <w:color w:val="000000"/>
        </w:rPr>
        <w:t>图4-1 研究技术路线</w:t>
      </w:r>
    </w:p>
    <w:p>
      <w:pPr>
        <w:spacing w:line="360" w:lineRule="auto" w:after="0" w:before="0"/>
        <w:ind w:firstLine="420"/>
      </w:pPr>
      <w:r>
        <w:rPr>
          <w:rFonts w:ascii="Times New Roman" w:hAnsi="Times New Roman" w:eastAsia="宋体"/>
          <w:color w:val="000000"/>
        </w:rPr>
        <w:t>如图4-1所示，本研究的技术路线分为五个阶段：第一阶段（理论构建）基于文献综述和理论分析，构建4E评估框架和指标体系；第二阶段（数据采集）通过自动化爬虫和人工核验相结合的方式，采集28个省级平台的原始数据；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spacing w:line="360" w:lineRule="auto" w:after="0" w:before="0"/>
        <w:ind w:firstLine="420"/>
      </w:pPr>
      <w:r>
        <w:rPr>
          <w:rFonts w:ascii="Times New Roman" w:hAnsi="Times New Roman" w:eastAsia="宋体"/>
          <w:color w:val="000000"/>
        </w:rPr>
        <w:t>表6-1展示了DEMATEL分析的中心度、原因度和因果分类结果。</w:t>
      </w:r>
    </w:p>
    <w:p>
      <w:pPr>
        <w:spacing w:line="360" w:lineRule="auto" w:after="0" w:before="0"/>
        <w:ind w:firstLine="420"/>
      </w:pPr>
      <w:r>
        <w:rPr>
          <w:rFonts w:ascii="Times New Roman" w:hAnsi="Times New Roman" w:eastAsia="宋体"/>
          <w:color w:val="000000"/>
        </w:rPr>
        <w:t>表6-1 DEMATEL因素分析结果</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因素</w:t>
            </w:r>
          </w:p>
        </w:tc>
        <w:tc>
          <w:tcPr>
            <w:tcW w:type="dxa" w:w="1729"/>
            <w:tcBorders/>
          </w:tcPr>
          <w:p>
            <w:pPr>
              <w:jc w:val="center"/>
            </w:pPr>
            <w:r>
              <w:rPr>
                <w:rFonts w:ascii="Times New Roman" w:hAnsi="Times New Roman" w:eastAsia="宋体"/>
                <w:b/>
                <w:sz w:val="21"/>
              </w:rPr>
              <w:t>中心度(Mi)</w:t>
            </w:r>
          </w:p>
        </w:tc>
        <w:tc>
          <w:tcPr>
            <w:tcW w:type="dxa" w:w="1729"/>
            <w:tcBorders/>
          </w:tcPr>
          <w:p>
            <w:pPr>
              <w:jc w:val="center"/>
            </w:pPr>
            <w:r>
              <w:rPr>
                <w:rFonts w:ascii="Times New Roman" w:hAnsi="Times New Roman" w:eastAsia="宋体"/>
                <w:b/>
                <w:sz w:val="21"/>
              </w:rPr>
              <w:t>原因度(Ri-Ci)</w:t>
            </w:r>
          </w:p>
        </w:tc>
        <w:tc>
          <w:tcPr>
            <w:tcW w:type="dxa" w:w="1729"/>
            <w:tcBorders/>
          </w:tcPr>
          <w:p>
            <w:pPr>
              <w:jc w:val="center"/>
            </w:pPr>
            <w:r>
              <w:rPr>
                <w:rFonts w:ascii="Times New Roman" w:hAnsi="Times New Roman" w:eastAsia="宋体"/>
                <w:b/>
                <w:sz w:val="21"/>
              </w:rPr>
              <w:t>因果类型</w:t>
            </w:r>
          </w:p>
        </w:tc>
        <w:tc>
          <w:tcPr>
            <w:tcW w:type="dxa" w:w="1729"/>
            <w:tcBorders/>
          </w:tcPr>
          <w:p>
            <w:pPr>
              <w:jc w:val="center"/>
            </w:pPr>
            <w:r>
              <w:rPr>
                <w:rFonts w:ascii="Times New Roman" w:hAnsi="Times New Roman" w:eastAsia="宋体"/>
                <w:b/>
                <w:sz w:val="21"/>
              </w:rPr>
              <w:t>排序</w:t>
            </w:r>
          </w:p>
        </w:tc>
      </w:tr>
      <w:tr>
        <w:tc>
          <w:tcPr>
            <w:tcW w:type="dxa" w:w="1729"/>
            <w:tcBorders/>
          </w:tcPr>
          <w:p>
            <w:pPr>
              <w:jc w:val="center"/>
            </w:pPr>
            <w:r>
              <w:rPr>
                <w:rFonts w:ascii="Times New Roman" w:hAnsi="Times New Roman" w:eastAsia="宋体"/>
                <w:sz w:val="21"/>
              </w:rPr>
              <w:t>政策法规</w:t>
            </w:r>
          </w:p>
        </w:tc>
        <w:tc>
          <w:tcPr>
            <w:tcW w:type="dxa" w:w="1729"/>
            <w:tcBorders/>
          </w:tcPr>
          <w:p>
            <w:pPr>
              <w:jc w:val="center"/>
            </w:pPr>
            <w:r>
              <w:rPr>
                <w:rFonts w:ascii="Times New Roman" w:hAnsi="Times New Roman" w:eastAsia="宋体"/>
                <w:sz w:val="21"/>
              </w:rPr>
              <w:t>1.456</w:t>
            </w:r>
          </w:p>
        </w:tc>
        <w:tc>
          <w:tcPr>
            <w:tcW w:type="dxa" w:w="1729"/>
            <w:tcBorders/>
          </w:tcPr>
          <w:p>
            <w:pPr>
              <w:jc w:val="center"/>
            </w:pPr>
            <w:r>
              <w:rPr>
                <w:rFonts w:ascii="Times New Roman" w:hAnsi="Times New Roman" w:eastAsia="宋体"/>
                <w:sz w:val="21"/>
              </w:rPr>
              <w:t>0.876</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1</w:t>
            </w:r>
          </w:p>
        </w:tc>
      </w:tr>
      <w:tr>
        <w:tc>
          <w:tcPr>
            <w:tcW w:type="dxa" w:w="1729"/>
            <w:tcBorders/>
          </w:tcPr>
          <w:p>
            <w:pPr>
              <w:jc w:val="center"/>
            </w:pPr>
            <w:r>
              <w:rPr>
                <w:rFonts w:ascii="Times New Roman" w:hAnsi="Times New Roman" w:eastAsia="宋体"/>
                <w:sz w:val="21"/>
              </w:rPr>
              <w:t>数据资源禀赋</w:t>
            </w:r>
          </w:p>
        </w:tc>
        <w:tc>
          <w:tcPr>
            <w:tcW w:type="dxa" w:w="1729"/>
            <w:tcBorders/>
          </w:tcPr>
          <w:p>
            <w:pPr>
              <w:jc w:val="center"/>
            </w:pPr>
            <w:r>
              <w:rPr>
                <w:rFonts w:ascii="Times New Roman" w:hAnsi="Times New Roman" w:eastAsia="宋体"/>
                <w:sz w:val="21"/>
              </w:rPr>
              <w:t>1.298</w:t>
            </w:r>
          </w:p>
        </w:tc>
        <w:tc>
          <w:tcPr>
            <w:tcW w:type="dxa" w:w="1729"/>
            <w:tcBorders/>
          </w:tcPr>
          <w:p>
            <w:pPr>
              <w:jc w:val="center"/>
            </w:pPr>
            <w:r>
              <w:rPr>
                <w:rFonts w:ascii="Times New Roman" w:hAnsi="Times New Roman" w:eastAsia="宋体"/>
                <w:sz w:val="21"/>
              </w:rPr>
              <w:t>0.654</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2</w:t>
            </w:r>
          </w:p>
        </w:tc>
      </w:tr>
      <w:tr>
        <w:tc>
          <w:tcPr>
            <w:tcW w:type="dxa" w:w="1729"/>
            <w:tcBorders/>
          </w:tcPr>
          <w:p>
            <w:pPr>
              <w:jc w:val="center"/>
            </w:pPr>
            <w:r>
              <w:rPr>
                <w:rFonts w:ascii="Times New Roman" w:hAnsi="Times New Roman" w:eastAsia="宋体"/>
                <w:sz w:val="21"/>
              </w:rPr>
              <w:t>数字基础设施</w:t>
            </w:r>
          </w:p>
        </w:tc>
        <w:tc>
          <w:tcPr>
            <w:tcW w:type="dxa" w:w="1729"/>
            <w:tcBorders/>
          </w:tcPr>
          <w:p>
            <w:pPr>
              <w:jc w:val="center"/>
            </w:pPr>
            <w:r>
              <w:rPr>
                <w:rFonts w:ascii="Times New Roman" w:hAnsi="Times New Roman" w:eastAsia="宋体"/>
                <w:sz w:val="21"/>
              </w:rPr>
              <w:t>1.156</w:t>
            </w:r>
          </w:p>
        </w:tc>
        <w:tc>
          <w:tcPr>
            <w:tcW w:type="dxa" w:w="1729"/>
            <w:tcBorders/>
          </w:tcPr>
          <w:p>
            <w:pPr>
              <w:jc w:val="center"/>
            </w:pPr>
            <w:r>
              <w:rPr>
                <w:rFonts w:ascii="Times New Roman" w:hAnsi="Times New Roman" w:eastAsia="宋体"/>
                <w:sz w:val="21"/>
              </w:rPr>
              <w:t>0.543</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3</w:t>
            </w:r>
          </w:p>
        </w:tc>
      </w:tr>
      <w:tr>
        <w:tc>
          <w:tcPr>
            <w:tcW w:type="dxa" w:w="1729"/>
            <w:tcBorders/>
          </w:tcPr>
          <w:p>
            <w:pPr>
              <w:jc w:val="center"/>
            </w:pPr>
            <w:r>
              <w:rPr>
                <w:rFonts w:ascii="Times New Roman" w:hAnsi="Times New Roman" w:eastAsia="宋体"/>
                <w:sz w:val="21"/>
              </w:rPr>
              <w:t>财政投入</w:t>
            </w:r>
          </w:p>
        </w:tc>
        <w:tc>
          <w:tcPr>
            <w:tcW w:type="dxa" w:w="1729"/>
            <w:tcBorders/>
          </w:tcPr>
          <w:p>
            <w:pPr>
              <w:jc w:val="center"/>
            </w:pPr>
            <w:r>
              <w:rPr>
                <w:rFonts w:ascii="Times New Roman" w:hAnsi="Times New Roman" w:eastAsia="宋体"/>
                <w:sz w:val="21"/>
              </w:rPr>
              <w:t>0.987</w:t>
            </w:r>
          </w:p>
        </w:tc>
        <w:tc>
          <w:tcPr>
            <w:tcW w:type="dxa" w:w="1729"/>
            <w:tcBorders/>
          </w:tcPr>
          <w:p>
            <w:pPr>
              <w:jc w:val="center"/>
            </w:pPr>
            <w:r>
              <w:rPr>
                <w:rFonts w:ascii="Times New Roman" w:hAnsi="Times New Roman" w:eastAsia="宋体"/>
                <w:sz w:val="21"/>
              </w:rPr>
              <w:t>0.432</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4</w:t>
            </w:r>
          </w:p>
        </w:tc>
      </w:tr>
      <w:tr>
        <w:tc>
          <w:tcPr>
            <w:tcW w:type="dxa" w:w="1729"/>
            <w:tcBorders/>
          </w:tcPr>
          <w:p>
            <w:pPr>
              <w:jc w:val="center"/>
            </w:pPr>
            <w:r>
              <w:rPr>
                <w:rFonts w:ascii="Times New Roman" w:hAnsi="Times New Roman" w:eastAsia="宋体"/>
                <w:sz w:val="21"/>
              </w:rPr>
              <w:t>区域数字经济</w:t>
            </w:r>
          </w:p>
        </w:tc>
        <w:tc>
          <w:tcPr>
            <w:tcW w:type="dxa" w:w="1729"/>
            <w:tcBorders/>
          </w:tcPr>
          <w:p>
            <w:pPr>
              <w:jc w:val="center"/>
            </w:pPr>
            <w:r>
              <w:rPr>
                <w:rFonts w:ascii="Times New Roman" w:hAnsi="Times New Roman" w:eastAsia="宋体"/>
                <w:sz w:val="21"/>
              </w:rPr>
              <w:t>0.876</w:t>
            </w:r>
          </w:p>
        </w:tc>
        <w:tc>
          <w:tcPr>
            <w:tcW w:type="dxa" w:w="1729"/>
            <w:tcBorders/>
          </w:tcPr>
          <w:p>
            <w:pPr>
              <w:jc w:val="center"/>
            </w:pPr>
            <w:r>
              <w:rPr>
                <w:rFonts w:ascii="Times New Roman" w:hAnsi="Times New Roman" w:eastAsia="宋体"/>
                <w:sz w:val="21"/>
              </w:rPr>
              <w:t>0.123</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5</w:t>
            </w:r>
          </w:p>
        </w:tc>
      </w:tr>
      <w:tr>
        <w:tc>
          <w:tcPr>
            <w:tcW w:type="dxa" w:w="1729"/>
            <w:tcBorders/>
          </w:tcPr>
          <w:p>
            <w:pPr>
              <w:jc w:val="center"/>
            </w:pPr>
            <w:r>
              <w:rPr>
                <w:rFonts w:ascii="Times New Roman" w:hAnsi="Times New Roman" w:eastAsia="宋体"/>
                <w:sz w:val="21"/>
              </w:rPr>
              <w:t>数据质量保障</w:t>
            </w:r>
          </w:p>
        </w:tc>
        <w:tc>
          <w:tcPr>
            <w:tcW w:type="dxa" w:w="1729"/>
            <w:tcBorders/>
          </w:tcPr>
          <w:p>
            <w:pPr>
              <w:jc w:val="center"/>
            </w:pPr>
            <w:r>
              <w:rPr>
                <w:rFonts w:ascii="Times New Roman" w:hAnsi="Times New Roman" w:eastAsia="宋体"/>
                <w:sz w:val="21"/>
              </w:rPr>
              <w:t>0.834</w:t>
            </w:r>
          </w:p>
        </w:tc>
        <w:tc>
          <w:tcPr>
            <w:tcW w:type="dxa" w:w="1729"/>
            <w:tcBorders/>
          </w:tcPr>
          <w:p>
            <w:pPr>
              <w:jc w:val="center"/>
            </w:pPr>
            <w:r>
              <w:rPr>
                <w:rFonts w:ascii="Times New Roman" w:hAnsi="Times New Roman" w:eastAsia="宋体"/>
                <w:sz w:val="21"/>
              </w:rPr>
              <w:t>0.098</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6</w:t>
            </w:r>
          </w:p>
        </w:tc>
      </w:tr>
      <w:tr>
        <w:tc>
          <w:tcPr>
            <w:tcW w:type="dxa" w:w="1729"/>
            <w:tcBorders/>
          </w:tcPr>
          <w:p>
            <w:pPr>
              <w:jc w:val="center"/>
            </w:pPr>
            <w:r>
              <w:rPr>
                <w:rFonts w:ascii="Times New Roman" w:hAnsi="Times New Roman" w:eastAsia="宋体"/>
                <w:sz w:val="21"/>
              </w:rPr>
              <w:t>技术支撑能力</w:t>
            </w:r>
          </w:p>
        </w:tc>
        <w:tc>
          <w:tcPr>
            <w:tcW w:type="dxa" w:w="1729"/>
            <w:tcBorders/>
          </w:tcPr>
          <w:p>
            <w:pPr>
              <w:jc w:val="center"/>
            </w:pPr>
            <w:r>
              <w:rPr>
                <w:rFonts w:ascii="Times New Roman" w:hAnsi="Times New Roman" w:eastAsia="宋体"/>
                <w:sz w:val="21"/>
              </w:rPr>
              <w:t>0.798</w:t>
            </w:r>
          </w:p>
        </w:tc>
        <w:tc>
          <w:tcPr>
            <w:tcW w:type="dxa" w:w="1729"/>
            <w:tcBorders/>
          </w:tcPr>
          <w:p>
            <w:pPr>
              <w:jc w:val="center"/>
            </w:pPr>
            <w:r>
              <w:rPr>
                <w:rFonts w:ascii="Times New Roman" w:hAnsi="Times New Roman" w:eastAsia="宋体"/>
                <w:sz w:val="21"/>
              </w:rPr>
              <w:t>-0.067</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7</w:t>
            </w:r>
          </w:p>
        </w:tc>
      </w:tr>
      <w:tr>
        <w:tc>
          <w:tcPr>
            <w:tcW w:type="dxa" w:w="1729"/>
            <w:tcBorders/>
          </w:tcPr>
          <w:p>
            <w:pPr>
              <w:jc w:val="center"/>
            </w:pPr>
            <w:r>
              <w:rPr>
                <w:rFonts w:ascii="Times New Roman" w:hAnsi="Times New Roman" w:eastAsia="宋体"/>
                <w:sz w:val="21"/>
              </w:rPr>
              <w:t>平台运营能力</w:t>
            </w:r>
          </w:p>
        </w:tc>
        <w:tc>
          <w:tcPr>
            <w:tcW w:type="dxa" w:w="1729"/>
            <w:tcBorders/>
          </w:tcPr>
          <w:p>
            <w:pPr>
              <w:jc w:val="center"/>
            </w:pPr>
            <w:r>
              <w:rPr>
                <w:rFonts w:ascii="Times New Roman" w:hAnsi="Times New Roman" w:eastAsia="宋体"/>
                <w:sz w:val="21"/>
              </w:rPr>
              <w:t>0.765</w:t>
            </w:r>
          </w:p>
        </w:tc>
        <w:tc>
          <w:tcPr>
            <w:tcW w:type="dxa" w:w="1729"/>
            <w:tcBorders/>
          </w:tcPr>
          <w:p>
            <w:pPr>
              <w:jc w:val="center"/>
            </w:pPr>
            <w:r>
              <w:rPr>
                <w:rFonts w:ascii="Times New Roman" w:hAnsi="Times New Roman" w:eastAsia="宋体"/>
                <w:sz w:val="21"/>
              </w:rPr>
              <w:t>-0.234</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8</w:t>
            </w:r>
          </w:p>
        </w:tc>
      </w:tr>
      <w:tr>
        <w:tc>
          <w:tcPr>
            <w:tcW w:type="dxa" w:w="1729"/>
            <w:tcBorders/>
          </w:tcPr>
          <w:p>
            <w:pPr>
              <w:jc w:val="center"/>
            </w:pPr>
            <w:r>
              <w:rPr>
                <w:rFonts w:ascii="Times New Roman" w:hAnsi="Times New Roman" w:eastAsia="宋体"/>
                <w:sz w:val="21"/>
              </w:rPr>
              <w:t>数据利用生态</w:t>
            </w:r>
          </w:p>
        </w:tc>
        <w:tc>
          <w:tcPr>
            <w:tcW w:type="dxa" w:w="1729"/>
            <w:tcBorders/>
          </w:tcPr>
          <w:p>
            <w:pPr>
              <w:jc w:val="center"/>
            </w:pPr>
            <w:r>
              <w:rPr>
                <w:rFonts w:ascii="Times New Roman" w:hAnsi="Times New Roman" w:eastAsia="宋体"/>
                <w:sz w:val="21"/>
              </w:rPr>
              <w:t>0.734</w:t>
            </w:r>
          </w:p>
        </w:tc>
        <w:tc>
          <w:tcPr>
            <w:tcW w:type="dxa" w:w="1729"/>
            <w:tcBorders/>
          </w:tcPr>
          <w:p>
            <w:pPr>
              <w:jc w:val="center"/>
            </w:pPr>
            <w:r>
              <w:rPr>
                <w:rFonts w:ascii="Times New Roman" w:hAnsi="Times New Roman" w:eastAsia="宋体"/>
                <w:sz w:val="21"/>
              </w:rPr>
              <w:t>-0.456</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9</w:t>
            </w:r>
          </w:p>
        </w:tc>
      </w:tr>
      <w:tr>
        <w:tc>
          <w:tcPr>
            <w:tcW w:type="dxa" w:w="1729"/>
            <w:tcBorders/>
          </w:tcPr>
          <w:p>
            <w:pPr>
              <w:jc w:val="center"/>
            </w:pPr>
            <w:r>
              <w:rPr>
                <w:rFonts w:ascii="Times New Roman" w:hAnsi="Times New Roman" w:eastAsia="宋体"/>
                <w:sz w:val="21"/>
              </w:rPr>
              <w:t>应用创新</w:t>
            </w:r>
          </w:p>
        </w:tc>
        <w:tc>
          <w:tcPr>
            <w:tcW w:type="dxa" w:w="1729"/>
            <w:tcBorders/>
          </w:tcPr>
          <w:p>
            <w:pPr>
              <w:jc w:val="center"/>
            </w:pPr>
            <w:r>
              <w:rPr>
                <w:rFonts w:ascii="Times New Roman" w:hAnsi="Times New Roman" w:eastAsia="宋体"/>
                <w:sz w:val="21"/>
              </w:rPr>
              <w:t>0.698</w:t>
            </w:r>
          </w:p>
        </w:tc>
        <w:tc>
          <w:tcPr>
            <w:tcW w:type="dxa" w:w="1729"/>
            <w:tcBorders/>
          </w:tcPr>
          <w:p>
            <w:pPr>
              <w:jc w:val="center"/>
            </w:pPr>
            <w:r>
              <w:rPr>
                <w:rFonts w:ascii="Times New Roman" w:hAnsi="Times New Roman" w:eastAsia="宋体"/>
                <w:sz w:val="21"/>
              </w:rPr>
              <w:t>-0.567</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10</w:t>
            </w:r>
          </w:p>
        </w:tc>
      </w:tr>
      <w:tr>
        <w:tc>
          <w:tcPr>
            <w:tcW w:type="dxa" w:w="1729"/>
            <w:tcBorders/>
          </w:tcPr>
          <w:p>
            <w:pPr>
              <w:jc w:val="center"/>
            </w:pPr>
            <w:r>
              <w:rPr>
                <w:rFonts w:ascii="Times New Roman" w:hAnsi="Times New Roman" w:eastAsia="宋体"/>
                <w:sz w:val="21"/>
              </w:rPr>
              <w:t>用户参与</w:t>
            </w:r>
          </w:p>
        </w:tc>
        <w:tc>
          <w:tcPr>
            <w:tcW w:type="dxa" w:w="1729"/>
            <w:tcBorders/>
          </w:tcPr>
          <w:p>
            <w:pPr>
              <w:jc w:val="center"/>
            </w:pPr>
            <w:r>
              <w:rPr>
                <w:rFonts w:ascii="Times New Roman" w:hAnsi="Times New Roman" w:eastAsia="宋体"/>
                <w:sz w:val="21"/>
              </w:rPr>
              <w:t>0.654</w:t>
            </w:r>
          </w:p>
        </w:tc>
        <w:tc>
          <w:tcPr>
            <w:tcW w:type="dxa" w:w="1729"/>
            <w:tcBorders/>
          </w:tcPr>
          <w:p>
            <w:pPr>
              <w:jc w:val="center"/>
            </w:pPr>
            <w:r>
              <w:rPr>
                <w:rFonts w:ascii="Times New Roman" w:hAnsi="Times New Roman" w:eastAsia="宋体"/>
                <w:sz w:val="21"/>
              </w:rPr>
              <w:t>-0.678</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11</w:t>
            </w:r>
          </w:p>
        </w:tc>
      </w:tr>
      <w:tr>
        <w:tc>
          <w:tcPr>
            <w:tcW w:type="dxa" w:w="1729"/>
            <w:tcBorders/>
          </w:tcPr>
          <w:p>
            <w:pPr>
              <w:jc w:val="center"/>
            </w:pPr>
            <w:r>
              <w:rPr>
                <w:rFonts w:ascii="Times New Roman" w:hAnsi="Times New Roman" w:eastAsia="宋体"/>
                <w:sz w:val="21"/>
              </w:rPr>
              <w:t>组织管理能力</w:t>
            </w:r>
          </w:p>
        </w:tc>
        <w:tc>
          <w:tcPr>
            <w:tcW w:type="dxa" w:w="1729"/>
            <w:tcBorders/>
          </w:tcPr>
          <w:p>
            <w:pPr>
              <w:jc w:val="center"/>
            </w:pPr>
            <w:r>
              <w:rPr>
                <w:rFonts w:ascii="Times New Roman" w:hAnsi="Times New Roman" w:eastAsia="宋体"/>
                <w:sz w:val="21"/>
              </w:rPr>
              <w:t>0.612</w:t>
            </w:r>
          </w:p>
        </w:tc>
        <w:tc>
          <w:tcPr>
            <w:tcW w:type="dxa" w:w="1729"/>
            <w:tcBorders/>
          </w:tcPr>
          <w:p>
            <w:pPr>
              <w:jc w:val="center"/>
            </w:pPr>
            <w:r>
              <w:rPr>
                <w:rFonts w:ascii="Times New Roman" w:hAnsi="Times New Roman" w:eastAsia="宋体"/>
                <w:sz w:val="21"/>
              </w:rPr>
              <w:t>-0.789</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12</w:t>
            </w:r>
          </w:p>
        </w:tc>
      </w:tr>
    </w:tbl>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基于中心度和原因度的综合分析，本研究识别了影响数据开放绩效的关键驱动因素。图6-2展示了因素间的因果网络关系。</w:t>
      </w:r>
    </w:p>
    <w:p>
      <w:pPr>
        <w:jc w:val="center"/>
      </w:pPr>
      <w:r>
        <w:drawing>
          <wp:inline xmlns:a="http://schemas.openxmlformats.org/drawingml/2006/main" xmlns:pic="http://schemas.openxmlformats.org/drawingml/2006/picture">
            <wp:extent cx="5029200" cy="32578296"/>
            <wp:docPr id="8" name="Picture 8"/>
            <wp:cNvGraphicFramePr>
              <a:graphicFrameLocks noChangeAspect="1"/>
            </wp:cNvGraphicFramePr>
            <a:graphic>
              <a:graphicData uri="http://schemas.openxmlformats.org/drawingml/2006/picture">
                <pic:pic>
                  <pic:nvPicPr>
                    <pic:cNvPr id="0" name="thesis_05_dematel_causal.png"/>
                    <pic:cNvPicPr/>
                  </pic:nvPicPr>
                  <pic:blipFill>
                    <a:blip r:embed="rId16"/>
                    <a:stretch>
                      <a:fillRect/>
                    </a:stretch>
                  </pic:blipFill>
                  <pic:spPr>
                    <a:xfrm>
                      <a:off x="0" y="0"/>
                      <a:ext cx="5029200" cy="32578296"/>
                    </a:xfrm>
                    <a:prstGeom prst="rect"/>
                  </pic:spPr>
                </pic:pic>
              </a:graphicData>
            </a:graphic>
          </wp:inline>
        </w:drawing>
      </w:r>
    </w:p>
    <w:p>
      <w:pPr>
        <w:jc w:val="center"/>
      </w:pPr>
      <w:r>
        <w:rPr>
          <w:rFonts w:ascii="Times New Roman" w:hAnsi="Times New Roman" w:eastAsia="宋体"/>
          <w:color w:val="505050"/>
          <w:sz w:val="21"/>
        </w:rPr>
        <w:t>图6-2 DEMATEL因果网络关系图</w:t>
      </w:r>
    </w:p>
    <w:p>
      <w:pPr>
        <w:spacing w:line="360" w:lineRule="auto" w:after="0" w:before="0"/>
        <w:ind w:firstLine="420"/>
      </w:pPr>
      <w:r>
        <w:rPr>
          <w:rFonts w:ascii="Times New Roman" w:hAnsi="Times New Roman" w:eastAsia="宋体"/>
          <w:color w:val="000000"/>
        </w:rPr>
        <w:t>图6-2 DEMATEL因果网络关系图</w:t>
      </w:r>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图6-2的因果网络揭示了数据开放绩效形成的复杂机制。政策法规作为中心度最高的因素（Mi=1.456），处于因果网络的核心位置，对其他所有因素均产生直接或间接影响。</w:t>
      </w:r>
    </w:p>
    <w:p>
      <w:pPr>
        <w:spacing w:line="360" w:lineRule="auto" w:after="0" w:before="0"/>
        <w:ind w:firstLine="420"/>
      </w:pPr>
      <w:r>
        <w:rPr>
          <w:rFonts w:ascii="Times New Roman" w:hAnsi="Times New Roman" w:eastAsia="宋体"/>
          <w:color w:val="000000"/>
        </w:rPr>
        <w:t>基于TOPSIS绩效得分和DEA效率值，本研究构建了"绩效-效率"四象限类型学分析框架。图5-3展示了28个平台在四象限中的分布情况。</w:t>
      </w:r>
    </w:p>
    <w:p>
      <w:pPr>
        <w:jc w:val="center"/>
      </w:pPr>
      <w:r>
        <w:drawing>
          <wp:inline xmlns:a="http://schemas.openxmlformats.org/drawingml/2006/main" xmlns:pic="http://schemas.openxmlformats.org/drawingml/2006/picture">
            <wp:extent cx="5029200" cy="4004356"/>
            <wp:docPr id="9" name="Picture 9"/>
            <wp:cNvGraphicFramePr>
              <a:graphicFrameLocks noChangeAspect="1"/>
            </wp:cNvGraphicFramePr>
            <a:graphic>
              <a:graphicData uri="http://schemas.openxmlformats.org/drawingml/2006/picture">
                <pic:pic>
                  <pic:nvPicPr>
                    <pic:cNvPr id="0" name="thesis_08_dea_topsis_scatter.png"/>
                    <pic:cNvPicPr/>
                  </pic:nvPicPr>
                  <pic:blipFill>
                    <a:blip r:embed="rId17"/>
                    <a:stretch>
                      <a:fillRect/>
                    </a:stretch>
                  </pic:blipFill>
                  <pic:spPr>
                    <a:xfrm>
                      <a:off x="0" y="0"/>
                      <a:ext cx="5029200" cy="4004356"/>
                    </a:xfrm>
                    <a:prstGeom prst="rect"/>
                  </pic:spPr>
                </pic:pic>
              </a:graphicData>
            </a:graphic>
          </wp:inline>
        </w:drawing>
      </w:r>
    </w:p>
    <w:p>
      <w:pPr>
        <w:jc w:val="center"/>
      </w:pPr>
      <w:r>
        <w:rPr>
          <w:rFonts w:ascii="Times New Roman" w:hAnsi="Times New Roman" w:eastAsia="宋体"/>
          <w:color w:val="505050"/>
          <w:sz w:val="21"/>
        </w:rPr>
        <w:t>图5-3 绩效-效率四象限类型分布</w:t>
      </w:r>
    </w:p>
    <w:p>
      <w:pPr>
        <w:spacing w:line="360" w:lineRule="auto" w:after="0" w:before="0"/>
        <w:ind w:firstLine="420"/>
      </w:pPr>
      <w:r>
        <w:rPr>
          <w:rFonts w:ascii="Times New Roman" w:hAnsi="Times New Roman" w:eastAsia="宋体"/>
          <w:color w:val="000000"/>
        </w:rPr>
        <w:t>图5-3 绩效-效率四象限类型分布</w:t>
      </w:r>
    </w:p>
    <w:p>
      <w:pPr>
        <w:spacing w:line="360" w:lineRule="auto" w:after="0" w:before="0"/>
        <w:ind w:firstLine="420"/>
      </w:pPr>
      <w:r>
        <w:rPr>
          <w:rFonts w:ascii="Times New Roman" w:hAnsi="Times New Roman" w:eastAsia="宋体"/>
          <w:color w:val="000000"/>
        </w:rPr>
        <w:t>数据来源：TOPSIS和DEA计算结果，2025年</w:t>
      </w:r>
    </w:p>
    <w:p>
      <w:pPr>
        <w:spacing w:line="360" w:lineRule="auto" w:after="0" w:before="0"/>
        <w:ind w:firstLine="420"/>
      </w:pPr>
      <w:r>
        <w:rPr>
          <w:rFonts w:ascii="Times New Roman" w:hAnsi="Times New Roman" w:eastAsia="宋体"/>
          <w:color w:val="000000"/>
        </w:rPr>
        <w:t>如图5-3所示，28个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18个平台。</w:t>
      </w:r>
    </w:p>
    <w:p>
      <w:pPr>
        <w:spacing w:line="360" w:lineRule="auto" w:after="0" w:before="0"/>
        <w:ind w:firstLine="420"/>
      </w:pPr>
      <w:r>
        <w:rPr>
          <w:rFonts w:ascii="Times New Roman" w:hAnsi="Times New Roman" w:eastAsia="黑体"/>
          <w:b/>
          <w:color w:val="000000"/>
          <w:sz w:val="24"/>
        </w:rPr>
        <w:t>4.1.1 研究目标与问题</w:t>
      </w:r>
    </w:p>
    <w:p>
      <w:pPr>
        <w:spacing w:line="360" w:lineRule="auto" w:after="0" w:before="0"/>
        <w:ind w:firstLine="420"/>
      </w:pPr>
      <w:r>
        <w:rPr>
          <w:rFonts w:ascii="Times New Roman" w:hAnsi="Times New Roman" w:eastAsia="宋体"/>
          <w:color w:val="000000"/>
        </w:rPr>
        <w:t>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spacing w:line="360" w:lineRule="auto" w:after="0" w:before="0"/>
        <w:ind w:firstLine="420"/>
      </w:pPr>
      <w:r>
        <w:rPr>
          <w:rFonts w:ascii="Times New Roman" w:hAnsi="Times New Roman" w:eastAsia="宋体"/>
          <w:color w:val="000000"/>
        </w:rPr>
        <w:t>研究问题一：如何科学评估政府数据开放平台的绩效？ 现有评估体系以供给侧指标为核心，对利用效果关注不足。本研究需要构建一个兼顾供给保障、平台服务、数据质量、利用效果和公平性的全链条评估框架，为平台绩效的科学测量提供理论工具。</w:t>
      </w:r>
    </w:p>
    <w:p>
      <w:pPr>
        <w:spacing w:line="360" w:lineRule="auto" w:after="0" w:before="0"/>
        <w:ind w:firstLine="420"/>
      </w:pPr>
      <w:r>
        <w:rPr>
          <w:rFonts w:ascii="Times New Roman" w:hAnsi="Times New Roman" w:eastAsia="宋体"/>
          <w:color w:val="000000"/>
        </w:rPr>
        <w:t>研究问题二：中国省级政府数据开放平台的绩效现状如何？ 在构建评估框架的基础上，本研究需要对全国28个建有独立数据开放平台的省级行政区进行绩效评估，识别高绩效平台和低绩效平台，分析绩效的区域分布特征和维度构成特征。</w:t>
      </w:r>
    </w:p>
    <w:p>
      <w:pPr>
        <w:spacing w:line="360" w:lineRule="auto" w:after="0" w:before="0"/>
        <w:ind w:firstLine="420"/>
      </w:pPr>
      <w:r>
        <w:rPr>
          <w:rFonts w:ascii="Times New Roman" w:hAnsi="Times New Roman" w:eastAsia="宋体"/>
          <w:color w:val="000000"/>
        </w:rPr>
        <w:t>研究问题三：平台绩效差异的形成机制是什么？ 绩效评估回答了"绩效如何"的问题，但未解释"为什么绩效有差异"。本研究需要运用因果分析方法，识别影响绩效的关键因素及其作用机制，揭示绩效差异背后的深层原因。</w:t>
      </w:r>
    </w:p>
    <w:p>
      <w:pPr>
        <w:spacing w:line="360" w:lineRule="auto" w:after="0" w:before="0"/>
        <w:ind w:firstLine="420"/>
      </w:pPr>
      <w:r>
        <w:rPr>
          <w:rFonts w:ascii="Times New Roman" w:hAnsi="Times New Roman" w:eastAsia="宋体"/>
          <w:color w:val="000000"/>
        </w:rPr>
        <w:t>研究问题四：是否存在多重等效的高绩效路径？ 传统回归分析假设因素独立作用且效应线性可加，但复杂系统中的绩效形成往往涉及因素的非线性组合。本研究需要运用组态分析方法，揭示导致高绩效的多种条件组合路径。</w:t>
      </w:r>
    </w:p>
    <w:p>
      <w:pPr>
        <w:spacing w:line="360" w:lineRule="auto" w:after="0" w:before="0"/>
        <w:ind w:firstLine="420"/>
      </w:pPr>
      <w:r>
        <w:rPr>
          <w:rFonts w:ascii="Times New Roman" w:hAnsi="Times New Roman" w:eastAsia="宋体"/>
          <w:color w:val="000000"/>
        </w:rPr>
        <w:t>研究问题五：如何设计差异化的优化策略？ 不同类型平台的绩效短板和优化路径可能截然不同，"一刀切"的建议缺乏针对性。本研究需要基于组态分析的结果，为不同类型平台设计差异化的优化策略。</w:t>
      </w:r>
    </w:p>
    <w:p>
      <w:pPr>
        <w:spacing w:line="360" w:lineRule="auto" w:after="0" w:before="0"/>
        <w:ind w:firstLine="420"/>
      </w:pPr>
      <w:r>
        <w:rPr>
          <w:rFonts w:ascii="Times New Roman" w:hAnsi="Times New Roman" w:eastAsia="黑体"/>
          <w:b/>
          <w:color w:val="000000"/>
          <w:sz w:val="24"/>
        </w:rPr>
        <w:t>4.1.2 研究思路与技术路线</w:t>
      </w:r>
    </w:p>
    <w:p>
      <w:pPr>
        <w:spacing w:line="360" w:lineRule="auto" w:after="0" w:before="0"/>
        <w:ind w:firstLine="420"/>
      </w:pPr>
      <w:r>
        <w:rPr>
          <w:rFonts w:ascii="Times New Roman" w:hAnsi="Times New Roman" w:eastAsia="宋体"/>
          <w:color w:val="000000"/>
        </w:rPr>
        <w:t>本研究采用"理论构建→框架设计→数据采集→绩效评估→机制分析→对策设计"的六阶段研究思路，形成从"为什么评估"到"如何评估"再到"如何改进"的完整研究闭环。</w:t>
      </w:r>
    </w:p>
    <w:p>
      <w:pPr>
        <w:spacing w:line="360" w:lineRule="auto" w:after="0" w:before="0"/>
        <w:ind w:firstLine="420"/>
      </w:pPr>
      <w:r>
        <w:rPr>
          <w:rFonts w:ascii="Times New Roman" w:hAnsi="Times New Roman" w:eastAsia="宋体"/>
          <w:color w:val="000000"/>
        </w:rPr>
        <w:t>第一阶段：理论构建。 通过文献综述，梳理政府数据开放评估、公共价值理论、数据要素价值化理论、4E评估框架和TOE影响因素框架的研究进展，识别现有研究的不足，明确本研究的理论定位和创新空间。</w:t>
      </w:r>
    </w:p>
    <w:p>
      <w:pPr>
        <w:spacing w:line="360" w:lineRule="auto" w:after="0" w:before="0"/>
        <w:ind w:firstLine="420"/>
      </w:pPr>
      <w:r>
        <w:rPr>
          <w:rFonts w:ascii="Times New Roman" w:hAnsi="Times New Roman" w:eastAsia="宋体"/>
          <w:color w:val="000000"/>
        </w:rPr>
        <w:t>第二阶段：框架设计。 基于理论构建的成果，设计"效果导向"的4E评估框架，确定评估维度、指标体系和权重分配方案。同时，设计TOE影响因素分析框架，确定技术、组织、环境三个层面的影响因素变量。</w:t>
      </w:r>
    </w:p>
    <w:p>
      <w:pPr>
        <w:spacing w:line="360" w:lineRule="auto" w:after="0" w:before="0"/>
        <w:ind w:firstLine="420"/>
      </w:pPr>
      <w:r>
        <w:rPr>
          <w:rFonts w:ascii="Times New Roman" w:hAnsi="Times New Roman" w:eastAsia="宋体"/>
          <w:color w:val="000000"/>
        </w:rPr>
        <w:t>第三阶段：数据采集。 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spacing w:line="360" w:lineRule="auto" w:after="0" w:before="0"/>
        <w:ind w:firstLine="420"/>
      </w:pPr>
      <w:r>
        <w:rPr>
          <w:rFonts w:ascii="Times New Roman" w:hAnsi="Times New Roman" w:eastAsia="宋体"/>
          <w:color w:val="000000"/>
        </w:rPr>
        <w:t>第四阶段：绩效评估。 运用熵权-TOPSIS方法对平台绩效进行综合评估和排名，运用DEA-BCC方法对平台效率进行评价，识别"高绩效高效率""高绩效低效率""低绩效高效率""低绩效低效率"四种类型。</w:t>
      </w:r>
    </w:p>
    <w:p>
      <w:pPr>
        <w:spacing w:line="360" w:lineRule="auto" w:after="0" w:before="0"/>
        <w:ind w:firstLine="420"/>
      </w:pPr>
      <w:r>
        <w:rPr>
          <w:rFonts w:ascii="Times New Roman" w:hAnsi="Times New Roman" w:eastAsia="宋体"/>
          <w:color w:val="000000"/>
        </w:rPr>
        <w:t>第五阶段：机制分析。 运用DEMATEL方法分析影响因素之间的因果关系，识别传导中枢因素；运用fsQCA方法揭示高绩效的多重等效路径，识别不同类型平台的组态特征。</w:t>
      </w:r>
    </w:p>
    <w:p>
      <w:pPr>
        <w:spacing w:line="360" w:lineRule="auto" w:after="0" w:before="0"/>
        <w:ind w:firstLine="420"/>
      </w:pPr>
      <w:r>
        <w:rPr>
          <w:rFonts w:ascii="Times New Roman" w:hAnsi="Times New Roman" w:eastAsia="宋体"/>
          <w:color w:val="000000"/>
        </w:rPr>
        <w:t>第六阶段：对策设计。 基于绩效评估和机制分析的结果，针对不同类型的平台设计差异化的优化策略，为政策制定者和平台运营者提供可操作的建议。</w:t>
      </w:r>
    </w:p>
    <w:p>
      <w:pPr>
        <w:spacing w:line="360" w:lineRule="auto" w:after="0" w:before="0"/>
        <w:ind w:firstLine="420"/>
      </w:pPr>
      <w:r>
        <w:rPr>
          <w:rFonts w:ascii="Times New Roman" w:hAnsi="Times New Roman" w:eastAsia="宋体"/>
          <w:color w:val="000000"/>
        </w:rPr>
        <w:t>本研究的技术路线如图4-1所示（略）。技术路线的设计遵循"评估→归因→组态"的递进逻辑，确保研究结论的可靠性和政策建议的针对性。</w:t>
      </w:r>
    </w:p>
    <w:p>
      <w:pPr>
        <w:spacing w:line="360" w:lineRule="auto" w:after="0" w:before="0"/>
        <w:ind w:firstLine="420"/>
      </w:pPr>
      <w:r>
        <w:rPr>
          <w:rFonts w:ascii="Times New Roman" w:hAnsi="Times New Roman" w:eastAsia="黑体"/>
          <w:b/>
          <w:color w:val="000000"/>
          <w:sz w:val="24"/>
        </w:rPr>
        <w:t>4.1.3 研究方法体系</w:t>
      </w:r>
    </w:p>
    <w:p>
      <w:pPr>
        <w:spacing w:line="360" w:lineRule="auto" w:after="0" w:before="0"/>
        <w:ind w:firstLine="420"/>
      </w:pPr>
      <w:r>
        <w:rPr>
          <w:rFonts w:ascii="Times New Roman" w:hAnsi="Times New Roman" w:eastAsia="宋体"/>
          <w:color w:val="000000"/>
        </w:rPr>
        <w:t>本研究采用多方法三角验证策略，综合运用定量分析和定性分析、演绎推理和归纳推理、变量导向和案例导向等多种研究方法，以增强研究结论的稳健性和可信度。</w:t>
      </w:r>
    </w:p>
    <w:p>
      <w:pPr>
        <w:spacing w:line="360" w:lineRule="auto" w:after="0" w:before="0"/>
        <w:ind w:firstLine="420"/>
      </w:pPr>
      <w:r>
        <w:rPr>
          <w:rFonts w:ascii="Times New Roman" w:hAnsi="Times New Roman" w:eastAsia="宋体"/>
          <w:color w:val="000000"/>
        </w:rPr>
        <w:t>定量分析方法。 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spacing w:line="360" w:lineRule="auto" w:after="0" w:before="0"/>
        <w:ind w:firstLine="420"/>
      </w:pPr>
      <w:r>
        <w:rPr>
          <w:rFonts w:ascii="Times New Roman" w:hAnsi="Times New Roman" w:eastAsia="宋体"/>
          <w:color w:val="000000"/>
        </w:rPr>
        <w:t>定性分析方法。 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spacing w:line="360" w:lineRule="auto" w:after="0" w:before="0"/>
        <w:ind w:firstLine="420"/>
      </w:pPr>
      <w:r>
        <w:rPr>
          <w:rFonts w:ascii="Times New Roman" w:hAnsi="Times New Roman" w:eastAsia="宋体"/>
          <w:color w:val="000000"/>
        </w:rPr>
        <w:t>多方法三角验证。 多方法三角验证（Methodological 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p>
      <w:pPr>
        <w:spacing w:line="360" w:lineRule="auto" w:after="0" w:before="0"/>
      </w:pPr>
      <w:r>
        <w:rPr>
          <w:rFonts w:ascii="Times New Roman" w:hAnsi="Times New Roman" w:eastAsia="黑体"/>
          <w:b/>
          <w:color w:val="000000"/>
          <w:sz w:val="24"/>
        </w:rPr>
        <w:t>4.2 样本选取与数据来源</w:t>
      </w:r>
    </w:p>
    <w:p>
      <w:pPr>
        <w:spacing w:line="360" w:lineRule="auto" w:after="0" w:before="0"/>
        <w:ind w:firstLine="420"/>
      </w:pPr>
      <w:r>
        <w:rPr>
          <w:rFonts w:ascii="Times New Roman" w:hAnsi="Times New Roman" w:eastAsia="宋体"/>
          <w:color w:val="000000"/>
        </w:rPr>
        <w:t>表4-1展示了28个样本平台的基本信息，包括平台名称、上线时间、运营主体、平台类型和数据集规模。</w:t>
      </w:r>
    </w:p>
    <w:p>
      <w:pPr>
        <w:spacing w:line="360" w:lineRule="auto" w:after="0" w:before="0"/>
        <w:ind w:firstLine="420"/>
      </w:pPr>
      <w:r>
        <w:rPr>
          <w:rFonts w:ascii="Times New Roman" w:hAnsi="Times New Roman" w:eastAsia="宋体"/>
          <w:color w:val="000000"/>
        </w:rPr>
        <w:t>表4-1 样本平台基本信息</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序号</w:t>
            </w:r>
          </w:p>
        </w:tc>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平台名称</w:t>
            </w:r>
          </w:p>
        </w:tc>
        <w:tc>
          <w:tcPr>
            <w:tcW w:type="dxa" w:w="1235"/>
            <w:tcBorders/>
          </w:tcPr>
          <w:p>
            <w:pPr>
              <w:jc w:val="center"/>
            </w:pPr>
            <w:r>
              <w:rPr>
                <w:rFonts w:ascii="Times New Roman" w:hAnsi="Times New Roman" w:eastAsia="宋体"/>
                <w:b/>
                <w:sz w:val="21"/>
              </w:rPr>
              <w:t>上线时间</w:t>
            </w:r>
          </w:p>
        </w:tc>
        <w:tc>
          <w:tcPr>
            <w:tcW w:type="dxa" w:w="1235"/>
            <w:tcBorders/>
          </w:tcPr>
          <w:p>
            <w:pPr>
              <w:jc w:val="center"/>
            </w:pPr>
            <w:r>
              <w:rPr>
                <w:rFonts w:ascii="Times New Roman" w:hAnsi="Times New Roman" w:eastAsia="宋体"/>
                <w:b/>
                <w:sz w:val="21"/>
              </w:rPr>
              <w:t>运营主体</w:t>
            </w:r>
          </w:p>
        </w:tc>
        <w:tc>
          <w:tcPr>
            <w:tcW w:type="dxa" w:w="1235"/>
            <w:tcBorders/>
          </w:tcPr>
          <w:p>
            <w:pPr>
              <w:jc w:val="center"/>
            </w:pPr>
            <w:r>
              <w:rPr>
                <w:rFonts w:ascii="Times New Roman" w:hAnsi="Times New Roman" w:eastAsia="宋体"/>
                <w:b/>
                <w:sz w:val="21"/>
              </w:rPr>
              <w:t>平台类型</w:t>
            </w:r>
          </w:p>
        </w:tc>
        <w:tc>
          <w:tcPr>
            <w:tcW w:type="dxa" w:w="1235"/>
            <w:tcBorders/>
          </w:tcPr>
          <w:p>
            <w:pPr>
              <w:jc w:val="center"/>
            </w:pPr>
            <w:r>
              <w:rPr>
                <w:rFonts w:ascii="Times New Roman" w:hAnsi="Times New Roman" w:eastAsia="宋体"/>
                <w:b/>
                <w:sz w:val="21"/>
              </w:rPr>
              <w:t>数据集规模（条）</w:t>
            </w:r>
          </w:p>
        </w:tc>
      </w:tr>
      <w:tr>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浙江数据开放</w:t>
            </w:r>
          </w:p>
        </w:tc>
        <w:tc>
          <w:tcPr>
            <w:tcW w:type="dxa" w:w="1235"/>
            <w:tcBorders/>
          </w:tcPr>
          <w:p>
            <w:pPr>
              <w:jc w:val="center"/>
            </w:pPr>
            <w:r>
              <w:rPr>
                <w:rFonts w:ascii="Times New Roman" w:hAnsi="Times New Roman" w:eastAsia="宋体"/>
                <w:sz w:val="21"/>
              </w:rPr>
              <w:t>2015-09</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15,700</w:t>
            </w:r>
          </w:p>
        </w:tc>
      </w:tr>
      <w:tr>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广东数据资源开放平台</w:t>
            </w:r>
          </w:p>
        </w:tc>
        <w:tc>
          <w:tcPr>
            <w:tcW w:type="dxa" w:w="1235"/>
            <w:tcBorders/>
          </w:tcPr>
          <w:p>
            <w:pPr>
              <w:jc w:val="center"/>
            </w:pPr>
            <w:r>
              <w:rPr>
                <w:rFonts w:ascii="Times New Roman" w:hAnsi="Times New Roman" w:eastAsia="宋体"/>
                <w:sz w:val="21"/>
              </w:rPr>
              <w:t>2016-03</w:t>
            </w:r>
          </w:p>
        </w:tc>
        <w:tc>
          <w:tcPr>
            <w:tcW w:type="dxa" w:w="1235"/>
            <w:tcBorders/>
          </w:tcPr>
          <w:p>
            <w:pPr>
              <w:jc w:val="center"/>
            </w:pPr>
            <w:r>
              <w:rPr>
                <w:rFonts w:ascii="Times New Roman" w:hAnsi="Times New Roman" w:eastAsia="宋体"/>
                <w:sz w:val="21"/>
              </w:rPr>
              <w:t>省政务服务数据管理局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12,800</w:t>
            </w:r>
          </w:p>
        </w:tc>
      </w:tr>
      <w:tr>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上海省级政府数据开放平台</w:t>
            </w:r>
          </w:p>
        </w:tc>
        <w:tc>
          <w:tcPr>
            <w:tcW w:type="dxa" w:w="1235"/>
            <w:tcBorders/>
          </w:tcPr>
          <w:p>
            <w:pPr>
              <w:jc w:val="center"/>
            </w:pPr>
            <w:r>
              <w:rPr>
                <w:rFonts w:ascii="Times New Roman" w:hAnsi="Times New Roman" w:eastAsia="宋体"/>
                <w:sz w:val="21"/>
              </w:rPr>
              <w:t>2017-01</w:t>
            </w:r>
          </w:p>
        </w:tc>
        <w:tc>
          <w:tcPr>
            <w:tcW w:type="dxa" w:w="1235"/>
            <w:tcBorders/>
          </w:tcPr>
          <w:p>
            <w:pPr>
              <w:jc w:val="center"/>
            </w:pPr>
            <w:r>
              <w:rPr>
                <w:rFonts w:ascii="Times New Roman" w:hAnsi="Times New Roman" w:eastAsia="宋体"/>
                <w:sz w:val="21"/>
              </w:rPr>
              <w:t>市大数据中心</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9,500</w:t>
            </w:r>
          </w:p>
        </w:tc>
      </w:tr>
      <w:tr>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北京市政务数据资源网</w:t>
            </w:r>
          </w:p>
        </w:tc>
        <w:tc>
          <w:tcPr>
            <w:tcW w:type="dxa" w:w="1235"/>
            <w:tcBorders/>
          </w:tcPr>
          <w:p>
            <w:pPr>
              <w:jc w:val="center"/>
            </w:pPr>
            <w:r>
              <w:rPr>
                <w:rFonts w:ascii="Times New Roman" w:hAnsi="Times New Roman" w:eastAsia="宋体"/>
                <w:sz w:val="21"/>
              </w:rPr>
              <w:t>2016-12</w:t>
            </w:r>
          </w:p>
        </w:tc>
        <w:tc>
          <w:tcPr>
            <w:tcW w:type="dxa" w:w="1235"/>
            <w:tcBorders/>
          </w:tcPr>
          <w:p>
            <w:pPr>
              <w:jc w:val="center"/>
            </w:pPr>
            <w:r>
              <w:rPr>
                <w:rFonts w:ascii="Times New Roman" w:hAnsi="Times New Roman" w:eastAsia="宋体"/>
                <w:sz w:val="21"/>
              </w:rPr>
              <w:t>市经济和信息化局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8,200</w:t>
            </w:r>
          </w:p>
        </w:tc>
      </w:tr>
      <w:tr>
        <w:tc>
          <w:tcPr>
            <w:tcW w:type="dxa" w:w="1235"/>
            <w:tcBorders/>
          </w:tcPr>
          <w:p>
            <w:pPr>
              <w:jc w:val="center"/>
            </w:pPr>
            <w:r>
              <w:rPr>
                <w:rFonts w:ascii="Times New Roman" w:hAnsi="Times New Roman" w:eastAsia="宋体"/>
                <w:sz w:val="21"/>
              </w:rPr>
              <w:t>5</w:t>
            </w:r>
          </w:p>
        </w:tc>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山东公共数据开放网</w:t>
            </w:r>
          </w:p>
        </w:tc>
        <w:tc>
          <w:tcPr>
            <w:tcW w:type="dxa" w:w="1235"/>
            <w:tcBorders/>
          </w:tcPr>
          <w:p>
            <w:pPr>
              <w:jc w:val="center"/>
            </w:pPr>
            <w:r>
              <w:rPr>
                <w:rFonts w:ascii="Times New Roman" w:hAnsi="Times New Roman" w:eastAsia="宋体"/>
                <w:sz w:val="21"/>
              </w:rPr>
              <w:t>2017-06</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60,000</w:t>
            </w:r>
          </w:p>
        </w:tc>
      </w:tr>
      <w:tr>
        <w:tc>
          <w:tcPr>
            <w:tcW w:type="dxa" w:w="1235"/>
            <w:tcBorders/>
          </w:tcPr>
          <w:p>
            <w:pPr>
              <w:jc w:val="center"/>
            </w:pPr>
            <w:r>
              <w:rPr>
                <w:rFonts w:ascii="Times New Roman" w:hAnsi="Times New Roman" w:eastAsia="宋体"/>
                <w:sz w:val="21"/>
              </w:rPr>
              <w:t>6</w:t>
            </w:r>
          </w:p>
        </w:tc>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江苏政务数据开放平台</w:t>
            </w:r>
          </w:p>
        </w:tc>
        <w:tc>
          <w:tcPr>
            <w:tcW w:type="dxa" w:w="1235"/>
            <w:tcBorders/>
          </w:tcPr>
          <w:p>
            <w:pPr>
              <w:jc w:val="center"/>
            </w:pPr>
            <w:r>
              <w:rPr>
                <w:rFonts w:ascii="Times New Roman" w:hAnsi="Times New Roman" w:eastAsia="宋体"/>
                <w:sz w:val="21"/>
              </w:rPr>
              <w:t>2017-09</w:t>
            </w:r>
          </w:p>
        </w:tc>
        <w:tc>
          <w:tcPr>
            <w:tcW w:type="dxa" w:w="1235"/>
            <w:tcBorders/>
          </w:tcPr>
          <w:p>
            <w:pPr>
              <w:jc w:val="center"/>
            </w:pPr>
            <w:r>
              <w:rPr>
                <w:rFonts w:ascii="Times New Roman" w:hAnsi="Times New Roman" w:eastAsia="宋体"/>
                <w:sz w:val="21"/>
              </w:rPr>
              <w:t>省大数据管理中心</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7,800</w:t>
            </w:r>
          </w:p>
        </w:tc>
      </w:tr>
      <w:tr>
        <w:tc>
          <w:tcPr>
            <w:tcW w:type="dxa" w:w="1235"/>
            <w:tcBorders/>
          </w:tcPr>
          <w:p>
            <w:pPr>
              <w:jc w:val="center"/>
            </w:pPr>
            <w:r>
              <w:rPr>
                <w:rFonts w:ascii="Times New Roman" w:hAnsi="Times New Roman" w:eastAsia="宋体"/>
                <w:sz w:val="21"/>
              </w:rPr>
              <w:t>7</w:t>
            </w:r>
          </w:p>
        </w:tc>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福建公共数据资源开发服务平台</w:t>
            </w:r>
          </w:p>
        </w:tc>
        <w:tc>
          <w:tcPr>
            <w:tcW w:type="dxa" w:w="1235"/>
            <w:tcBorders/>
          </w:tcPr>
          <w:p>
            <w:pPr>
              <w:jc w:val="center"/>
            </w:pPr>
            <w:r>
              <w:rPr>
                <w:rFonts w:ascii="Times New Roman" w:hAnsi="Times New Roman" w:eastAsia="宋体"/>
                <w:sz w:val="21"/>
              </w:rPr>
              <w:t>2018-03</w:t>
            </w:r>
          </w:p>
        </w:tc>
        <w:tc>
          <w:tcPr>
            <w:tcW w:type="dxa" w:w="1235"/>
            <w:tcBorders/>
          </w:tcPr>
          <w:p>
            <w:pPr>
              <w:jc w:val="center"/>
            </w:pPr>
            <w:r>
              <w:rPr>
                <w:rFonts w:ascii="Times New Roman" w:hAnsi="Times New Roman" w:eastAsia="宋体"/>
                <w:sz w:val="21"/>
              </w:rPr>
              <w:t>省数字办</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5,600</w:t>
            </w:r>
          </w:p>
        </w:tc>
      </w:tr>
      <w:tr>
        <w:tc>
          <w:tcPr>
            <w:tcW w:type="dxa" w:w="1235"/>
            <w:tcBorders/>
          </w:tcPr>
          <w:p>
            <w:pPr>
              <w:jc w:val="center"/>
            </w:pPr>
            <w:r>
              <w:rPr>
                <w:rFonts w:ascii="Times New Roman" w:hAnsi="Times New Roman" w:eastAsia="宋体"/>
                <w:sz w:val="21"/>
              </w:rPr>
              <w:t>8</w:t>
            </w:r>
          </w:p>
        </w:tc>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四川公共数据开放网</w:t>
            </w:r>
          </w:p>
        </w:tc>
        <w:tc>
          <w:tcPr>
            <w:tcW w:type="dxa" w:w="1235"/>
            <w:tcBorders/>
          </w:tcPr>
          <w:p>
            <w:pPr>
              <w:jc w:val="center"/>
            </w:pPr>
            <w:r>
              <w:rPr>
                <w:rFonts w:ascii="Times New Roman" w:hAnsi="Times New Roman" w:eastAsia="宋体"/>
                <w:sz w:val="21"/>
              </w:rPr>
              <w:t>2018-06</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4,900</w:t>
            </w:r>
          </w:p>
        </w:tc>
      </w:tr>
      <w:tr>
        <w:tc>
          <w:tcPr>
            <w:tcW w:type="dxa" w:w="1235"/>
            <w:tcBorders/>
          </w:tcPr>
          <w:p>
            <w:pPr>
              <w:jc w:val="center"/>
            </w:pPr>
            <w:r>
              <w:rPr>
                <w:rFonts w:ascii="Times New Roman" w:hAnsi="Times New Roman" w:eastAsia="宋体"/>
                <w:sz w:val="21"/>
              </w:rPr>
              <w:t>9</w:t>
            </w:r>
          </w:p>
        </w:tc>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贵州省政府数据开放平台</w:t>
            </w:r>
          </w:p>
        </w:tc>
        <w:tc>
          <w:tcPr>
            <w:tcW w:type="dxa" w:w="1235"/>
            <w:tcBorders/>
          </w:tcPr>
          <w:p>
            <w:pPr>
              <w:jc w:val="center"/>
            </w:pPr>
            <w:r>
              <w:rPr>
                <w:rFonts w:ascii="Times New Roman" w:hAnsi="Times New Roman" w:eastAsia="宋体"/>
                <w:sz w:val="21"/>
              </w:rPr>
              <w:t>2015-05</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28,000</w:t>
            </w:r>
          </w:p>
        </w:tc>
      </w:tr>
      <w:tr>
        <w:tc>
          <w:tcPr>
            <w:tcW w:type="dxa" w:w="1235"/>
            <w:tcBorders/>
          </w:tcPr>
          <w:p>
            <w:pPr>
              <w:jc w:val="center"/>
            </w:pPr>
            <w:r>
              <w:rPr>
                <w:rFonts w:ascii="Times New Roman" w:hAnsi="Times New Roman" w:eastAsia="宋体"/>
                <w:sz w:val="21"/>
              </w:rPr>
              <w:t>10</w:t>
            </w:r>
          </w:p>
        </w:tc>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湖北省级政府数据开放平台</w:t>
            </w:r>
          </w:p>
        </w:tc>
        <w:tc>
          <w:tcPr>
            <w:tcW w:type="dxa" w:w="1235"/>
            <w:tcBorders/>
          </w:tcPr>
          <w:p>
            <w:pPr>
              <w:jc w:val="center"/>
            </w:pPr>
            <w:r>
              <w:rPr>
                <w:rFonts w:ascii="Times New Roman" w:hAnsi="Times New Roman" w:eastAsia="宋体"/>
                <w:sz w:val="21"/>
              </w:rPr>
              <w:t>2018-09</w:t>
            </w:r>
          </w:p>
        </w:tc>
        <w:tc>
          <w:tcPr>
            <w:tcW w:type="dxa" w:w="1235"/>
            <w:tcBorders/>
          </w:tcPr>
          <w:p>
            <w:pPr>
              <w:jc w:val="center"/>
            </w:pPr>
            <w:r>
              <w:rPr>
                <w:rFonts w:ascii="Times New Roman" w:hAnsi="Times New Roman" w:eastAsia="宋体"/>
                <w:sz w:val="21"/>
              </w:rPr>
              <w:t>省政务办</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3,800</w:t>
            </w:r>
          </w:p>
        </w:tc>
      </w:tr>
      <w:tr>
        <w:tc>
          <w:tcPr>
            <w:tcW w:type="dxa" w:w="1235"/>
            <w:tcBorders/>
          </w:tcPr>
          <w:p>
            <w:pPr>
              <w:jc w:val="center"/>
            </w:pPr>
            <w:r>
              <w:rPr>
                <w:rFonts w:ascii="Times New Roman" w:hAnsi="Times New Roman" w:eastAsia="宋体"/>
                <w:sz w:val="21"/>
              </w:rPr>
              <w:t>11</w:t>
            </w:r>
          </w:p>
        </w:tc>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河南省级政府数据开放平台</w:t>
            </w:r>
          </w:p>
        </w:tc>
        <w:tc>
          <w:tcPr>
            <w:tcW w:type="dxa" w:w="1235"/>
            <w:tcBorders/>
          </w:tcPr>
          <w:p>
            <w:pPr>
              <w:jc w:val="center"/>
            </w:pPr>
            <w:r>
              <w:rPr>
                <w:rFonts w:ascii="Times New Roman" w:hAnsi="Times New Roman" w:eastAsia="宋体"/>
                <w:sz w:val="21"/>
              </w:rPr>
              <w:t>2019-01</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3,200</w:t>
            </w:r>
          </w:p>
        </w:tc>
      </w:tr>
      <w:tr>
        <w:tc>
          <w:tcPr>
            <w:tcW w:type="dxa" w:w="1235"/>
            <w:tcBorders/>
          </w:tcPr>
          <w:p>
            <w:pPr>
              <w:jc w:val="center"/>
            </w:pPr>
            <w:r>
              <w:rPr>
                <w:rFonts w:ascii="Times New Roman" w:hAnsi="Times New Roman" w:eastAsia="宋体"/>
                <w:sz w:val="21"/>
              </w:rPr>
              <w:t>12</w:t>
            </w:r>
          </w:p>
        </w:tc>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湖南政务数据开放平台</w:t>
            </w:r>
          </w:p>
        </w:tc>
        <w:tc>
          <w:tcPr>
            <w:tcW w:type="dxa" w:w="1235"/>
            <w:tcBorders/>
          </w:tcPr>
          <w:p>
            <w:pPr>
              <w:jc w:val="center"/>
            </w:pPr>
            <w:r>
              <w:rPr>
                <w:rFonts w:ascii="Times New Roman" w:hAnsi="Times New Roman" w:eastAsia="宋体"/>
                <w:sz w:val="21"/>
              </w:rPr>
              <w:t>2019-03</w:t>
            </w:r>
          </w:p>
        </w:tc>
        <w:tc>
          <w:tcPr>
            <w:tcW w:type="dxa" w:w="1235"/>
            <w:tcBorders/>
          </w:tcPr>
          <w:p>
            <w:pPr>
              <w:jc w:val="center"/>
            </w:pPr>
            <w:r>
              <w:rPr>
                <w:rFonts w:ascii="Times New Roman" w:hAnsi="Times New Roman" w:eastAsia="宋体"/>
                <w:sz w:val="21"/>
              </w:rPr>
              <w:t>省政务局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2,900</w:t>
            </w:r>
          </w:p>
        </w:tc>
      </w:tr>
      <w:tr>
        <w:tc>
          <w:tcPr>
            <w:tcW w:type="dxa" w:w="1235"/>
            <w:tcBorders/>
          </w:tcPr>
          <w:p>
            <w:pPr>
              <w:jc w:val="center"/>
            </w:pPr>
            <w:r>
              <w:rPr>
                <w:rFonts w:ascii="Times New Roman" w:hAnsi="Times New Roman" w:eastAsia="宋体"/>
                <w:sz w:val="21"/>
              </w:rPr>
              <w:t>13</w:t>
            </w:r>
          </w:p>
        </w:tc>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安徽数据资源开放平台</w:t>
            </w:r>
          </w:p>
        </w:tc>
        <w:tc>
          <w:tcPr>
            <w:tcW w:type="dxa" w:w="1235"/>
            <w:tcBorders/>
          </w:tcPr>
          <w:p>
            <w:pPr>
              <w:jc w:val="center"/>
            </w:pPr>
            <w:r>
              <w:rPr>
                <w:rFonts w:ascii="Times New Roman" w:hAnsi="Times New Roman" w:eastAsia="宋体"/>
                <w:sz w:val="21"/>
              </w:rPr>
              <w:t>2019-06</w:t>
            </w:r>
          </w:p>
        </w:tc>
        <w:tc>
          <w:tcPr>
            <w:tcW w:type="dxa" w:w="1235"/>
            <w:tcBorders/>
          </w:tcPr>
          <w:p>
            <w:pPr>
              <w:jc w:val="center"/>
            </w:pPr>
            <w:r>
              <w:rPr>
                <w:rFonts w:ascii="Times New Roman" w:hAnsi="Times New Roman" w:eastAsia="宋体"/>
                <w:sz w:val="21"/>
              </w:rPr>
              <w:t>省数据资源局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2,500</w:t>
            </w:r>
          </w:p>
        </w:tc>
      </w:tr>
      <w:tr>
        <w:tc>
          <w:tcPr>
            <w:tcW w:type="dxa" w:w="1235"/>
            <w:tcBorders/>
          </w:tcPr>
          <w:p>
            <w:pPr>
              <w:jc w:val="center"/>
            </w:pPr>
            <w:r>
              <w:rPr>
                <w:rFonts w:ascii="Times New Roman" w:hAnsi="Times New Roman" w:eastAsia="宋体"/>
                <w:sz w:val="21"/>
              </w:rPr>
              <w:t>14</w:t>
            </w:r>
          </w:p>
        </w:tc>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江西数据开放平台</w:t>
            </w:r>
          </w:p>
        </w:tc>
        <w:tc>
          <w:tcPr>
            <w:tcW w:type="dxa" w:w="1235"/>
            <w:tcBorders/>
          </w:tcPr>
          <w:p>
            <w:pPr>
              <w:jc w:val="center"/>
            </w:pPr>
            <w:r>
              <w:rPr>
                <w:rFonts w:ascii="Times New Roman" w:hAnsi="Times New Roman" w:eastAsia="宋体"/>
                <w:sz w:val="21"/>
              </w:rPr>
              <w:t>2019-09</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2,100</w:t>
            </w:r>
          </w:p>
        </w:tc>
      </w:tr>
      <w:tr>
        <w:tc>
          <w:tcPr>
            <w:tcW w:type="dxa" w:w="1235"/>
            <w:tcBorders/>
          </w:tcPr>
          <w:p>
            <w:pPr>
              <w:jc w:val="center"/>
            </w:pPr>
            <w:r>
              <w:rPr>
                <w:rFonts w:ascii="Times New Roman" w:hAnsi="Times New Roman" w:eastAsia="宋体"/>
                <w:sz w:val="21"/>
              </w:rPr>
              <w:t>15</w:t>
            </w:r>
          </w:p>
        </w:tc>
        <w:tc>
          <w:tcPr>
            <w:tcW w:type="dxa" w:w="1235"/>
            <w:tcBorders/>
          </w:tcPr>
          <w:p>
            <w:pPr>
              <w:jc w:val="center"/>
            </w:pPr>
            <w:r>
              <w:rPr>
                <w:rFonts w:ascii="Times New Roman" w:hAnsi="Times New Roman" w:eastAsia="宋体"/>
                <w:sz w:val="21"/>
              </w:rPr>
              <w:t>重庆</w:t>
            </w:r>
          </w:p>
        </w:tc>
        <w:tc>
          <w:tcPr>
            <w:tcW w:type="dxa" w:w="1235"/>
            <w:tcBorders/>
          </w:tcPr>
          <w:p>
            <w:pPr>
              <w:jc w:val="center"/>
            </w:pPr>
            <w:r>
              <w:rPr>
                <w:rFonts w:ascii="Times New Roman" w:hAnsi="Times New Roman" w:eastAsia="宋体"/>
                <w:sz w:val="21"/>
              </w:rPr>
              <w:t>重庆市省级政府数据开放平台</w:t>
            </w:r>
          </w:p>
        </w:tc>
        <w:tc>
          <w:tcPr>
            <w:tcW w:type="dxa" w:w="1235"/>
            <w:tcBorders/>
          </w:tcPr>
          <w:p>
            <w:pPr>
              <w:jc w:val="center"/>
            </w:pPr>
            <w:r>
              <w:rPr>
                <w:rFonts w:ascii="Times New Roman" w:hAnsi="Times New Roman" w:eastAsia="宋体"/>
                <w:sz w:val="21"/>
              </w:rPr>
              <w:t>2018-12</w:t>
            </w:r>
          </w:p>
        </w:tc>
        <w:tc>
          <w:tcPr>
            <w:tcW w:type="dxa" w:w="1235"/>
            <w:tcBorders/>
          </w:tcPr>
          <w:p>
            <w:pPr>
              <w:jc w:val="center"/>
            </w:pPr>
            <w:r>
              <w:rPr>
                <w:rFonts w:ascii="Times New Roman" w:hAnsi="Times New Roman" w:eastAsia="宋体"/>
                <w:sz w:val="21"/>
              </w:rPr>
              <w:t>市大数据局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4,200</w:t>
            </w:r>
          </w:p>
        </w:tc>
      </w:tr>
      <w:tr>
        <w:tc>
          <w:tcPr>
            <w:tcW w:type="dxa" w:w="1235"/>
            <w:tcBorders/>
          </w:tcPr>
          <w:p>
            <w:pPr>
              <w:jc w:val="center"/>
            </w:pPr>
            <w:r>
              <w:rPr>
                <w:rFonts w:ascii="Times New Roman" w:hAnsi="Times New Roman" w:eastAsia="宋体"/>
                <w:sz w:val="21"/>
              </w:rPr>
              <w:t>16</w:t>
            </w:r>
          </w:p>
        </w:tc>
        <w:tc>
          <w:tcPr>
            <w:tcW w:type="dxa" w:w="1235"/>
            <w:tcBorders/>
          </w:tcPr>
          <w:p>
            <w:pPr>
              <w:jc w:val="center"/>
            </w:pPr>
            <w:r>
              <w:rPr>
                <w:rFonts w:ascii="Times New Roman" w:hAnsi="Times New Roman" w:eastAsia="宋体"/>
                <w:sz w:val="21"/>
              </w:rPr>
              <w:t>天津</w:t>
            </w:r>
          </w:p>
        </w:tc>
        <w:tc>
          <w:tcPr>
            <w:tcW w:type="dxa" w:w="1235"/>
            <w:tcBorders/>
          </w:tcPr>
          <w:p>
            <w:pPr>
              <w:jc w:val="center"/>
            </w:pPr>
            <w:r>
              <w:rPr>
                <w:rFonts w:ascii="Times New Roman" w:hAnsi="Times New Roman" w:eastAsia="宋体"/>
                <w:sz w:val="21"/>
              </w:rPr>
              <w:t>天津市信息资源统一开放平台</w:t>
            </w:r>
          </w:p>
        </w:tc>
        <w:tc>
          <w:tcPr>
            <w:tcW w:type="dxa" w:w="1235"/>
            <w:tcBorders/>
          </w:tcPr>
          <w:p>
            <w:pPr>
              <w:jc w:val="center"/>
            </w:pPr>
            <w:r>
              <w:rPr>
                <w:rFonts w:ascii="Times New Roman" w:hAnsi="Times New Roman" w:eastAsia="宋体"/>
                <w:sz w:val="21"/>
              </w:rPr>
              <w:t>2017-03</w:t>
            </w:r>
          </w:p>
        </w:tc>
        <w:tc>
          <w:tcPr>
            <w:tcW w:type="dxa" w:w="1235"/>
            <w:tcBorders/>
          </w:tcPr>
          <w:p>
            <w:pPr>
              <w:jc w:val="center"/>
            </w:pPr>
            <w:r>
              <w:rPr>
                <w:rFonts w:ascii="Times New Roman" w:hAnsi="Times New Roman" w:eastAsia="宋体"/>
                <w:sz w:val="21"/>
              </w:rPr>
              <w:t>市网信办</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1,800</w:t>
            </w:r>
          </w:p>
        </w:tc>
      </w:tr>
      <w:tr>
        <w:tc>
          <w:tcPr>
            <w:tcW w:type="dxa" w:w="1235"/>
            <w:tcBorders/>
          </w:tcPr>
          <w:p>
            <w:pPr>
              <w:jc w:val="center"/>
            </w:pPr>
            <w:r>
              <w:rPr>
                <w:rFonts w:ascii="Times New Roman" w:hAnsi="Times New Roman" w:eastAsia="宋体"/>
                <w:sz w:val="21"/>
              </w:rPr>
              <w:t>17</w:t>
            </w:r>
          </w:p>
        </w:tc>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河北省级政府数据开放平台</w:t>
            </w:r>
          </w:p>
        </w:tc>
        <w:tc>
          <w:tcPr>
            <w:tcW w:type="dxa" w:w="1235"/>
            <w:tcBorders/>
          </w:tcPr>
          <w:p>
            <w:pPr>
              <w:jc w:val="center"/>
            </w:pPr>
            <w:r>
              <w:rPr>
                <w:rFonts w:ascii="Times New Roman" w:hAnsi="Times New Roman" w:eastAsia="宋体"/>
                <w:sz w:val="21"/>
              </w:rPr>
              <w:t>2019-12</w:t>
            </w:r>
          </w:p>
        </w:tc>
        <w:tc>
          <w:tcPr>
            <w:tcW w:type="dxa" w:w="1235"/>
            <w:tcBorders/>
          </w:tcPr>
          <w:p>
            <w:pPr>
              <w:jc w:val="center"/>
            </w:pPr>
            <w:r>
              <w:rPr>
                <w:rFonts w:ascii="Times New Roman" w:hAnsi="Times New Roman" w:eastAsia="宋体"/>
                <w:sz w:val="21"/>
              </w:rPr>
              <w:t>省政务办</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1,500</w:t>
            </w:r>
          </w:p>
        </w:tc>
      </w:tr>
      <w:tr>
        <w:tc>
          <w:tcPr>
            <w:tcW w:type="dxa" w:w="1235"/>
            <w:tcBorders/>
          </w:tcPr>
          <w:p>
            <w:pPr>
              <w:jc w:val="center"/>
            </w:pPr>
            <w:r>
              <w:rPr>
                <w:rFonts w:ascii="Times New Roman" w:hAnsi="Times New Roman" w:eastAsia="宋体"/>
                <w:sz w:val="21"/>
              </w:rPr>
              <w:t>18</w:t>
            </w:r>
          </w:p>
        </w:tc>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山西数据开放平台</w:t>
            </w:r>
          </w:p>
        </w:tc>
        <w:tc>
          <w:tcPr>
            <w:tcW w:type="dxa" w:w="1235"/>
            <w:tcBorders/>
          </w:tcPr>
          <w:p>
            <w:pPr>
              <w:jc w:val="center"/>
            </w:pPr>
            <w:r>
              <w:rPr>
                <w:rFonts w:ascii="Times New Roman" w:hAnsi="Times New Roman" w:eastAsia="宋体"/>
                <w:sz w:val="21"/>
              </w:rPr>
              <w:t>2020-03</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1,200</w:t>
            </w:r>
          </w:p>
        </w:tc>
      </w:tr>
      <w:tr>
        <w:tc>
          <w:tcPr>
            <w:tcW w:type="dxa" w:w="1235"/>
            <w:tcBorders/>
          </w:tcPr>
          <w:p>
            <w:pPr>
              <w:jc w:val="center"/>
            </w:pPr>
            <w:r>
              <w:rPr>
                <w:rFonts w:ascii="Times New Roman" w:hAnsi="Times New Roman" w:eastAsia="宋体"/>
                <w:sz w:val="21"/>
              </w:rPr>
              <w:t>19</w:t>
            </w:r>
          </w:p>
        </w:tc>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辽宁省级政府数据开放平台</w:t>
            </w:r>
          </w:p>
        </w:tc>
        <w:tc>
          <w:tcPr>
            <w:tcW w:type="dxa" w:w="1235"/>
            <w:tcBorders/>
          </w:tcPr>
          <w:p>
            <w:pPr>
              <w:jc w:val="center"/>
            </w:pPr>
            <w:r>
              <w:rPr>
                <w:rFonts w:ascii="Times New Roman" w:hAnsi="Times New Roman" w:eastAsia="宋体"/>
                <w:sz w:val="21"/>
              </w:rPr>
              <w:t>2020-06</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1,000</w:t>
            </w:r>
          </w:p>
        </w:tc>
      </w:tr>
      <w:tr>
        <w:tc>
          <w:tcPr>
            <w:tcW w:type="dxa" w:w="1235"/>
            <w:tcBorders/>
          </w:tcPr>
          <w:p>
            <w:pPr>
              <w:jc w:val="center"/>
            </w:pPr>
            <w:r>
              <w:rPr>
                <w:rFonts w:ascii="Times New Roman" w:hAnsi="Times New Roman" w:eastAsia="宋体"/>
                <w:sz w:val="21"/>
              </w:rPr>
              <w:t>20</w:t>
            </w:r>
          </w:p>
        </w:tc>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云南省级政府数据开放平台</w:t>
            </w:r>
          </w:p>
        </w:tc>
        <w:tc>
          <w:tcPr>
            <w:tcW w:type="dxa" w:w="1235"/>
            <w:tcBorders/>
          </w:tcPr>
          <w:p>
            <w:pPr>
              <w:jc w:val="center"/>
            </w:pPr>
            <w:r>
              <w:rPr>
                <w:rFonts w:ascii="Times New Roman" w:hAnsi="Times New Roman" w:eastAsia="宋体"/>
                <w:sz w:val="21"/>
              </w:rPr>
              <w:t>2021-03</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600</w:t>
            </w:r>
          </w:p>
        </w:tc>
      </w:tr>
      <w:tr>
        <w:tc>
          <w:tcPr>
            <w:tcW w:type="dxa" w:w="1235"/>
            <w:tcBorders/>
          </w:tcPr>
          <w:p>
            <w:pPr>
              <w:jc w:val="center"/>
            </w:pPr>
            <w:r>
              <w:rPr>
                <w:rFonts w:ascii="Times New Roman" w:hAnsi="Times New Roman" w:eastAsia="宋体"/>
                <w:sz w:val="21"/>
              </w:rPr>
              <w:t>21</w:t>
            </w:r>
          </w:p>
        </w:tc>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广西省级政府数据开放平台</w:t>
            </w:r>
          </w:p>
        </w:tc>
        <w:tc>
          <w:tcPr>
            <w:tcW w:type="dxa" w:w="1235"/>
            <w:tcBorders/>
          </w:tcPr>
          <w:p>
            <w:pPr>
              <w:jc w:val="center"/>
            </w:pPr>
            <w:r>
              <w:rPr>
                <w:rFonts w:ascii="Times New Roman" w:hAnsi="Times New Roman" w:eastAsia="宋体"/>
                <w:sz w:val="21"/>
              </w:rPr>
              <w:t>2021-06</w:t>
            </w:r>
          </w:p>
        </w:tc>
        <w:tc>
          <w:tcPr>
            <w:tcW w:type="dxa" w:w="1235"/>
            <w:tcBorders/>
          </w:tcPr>
          <w:p>
            <w:pPr>
              <w:jc w:val="center"/>
            </w:pPr>
            <w:r>
              <w:rPr>
                <w:rFonts w:ascii="Times New Roman" w:hAnsi="Times New Roman" w:eastAsia="宋体"/>
                <w:sz w:val="21"/>
              </w:rPr>
              <w:t>自治区大数据局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550</w:t>
            </w:r>
          </w:p>
        </w:tc>
      </w:tr>
      <w:tr>
        <w:tc>
          <w:tcPr>
            <w:tcW w:type="dxa" w:w="1235"/>
            <w:tcBorders/>
          </w:tcPr>
          <w:p>
            <w:pPr>
              <w:jc w:val="center"/>
            </w:pPr>
            <w:r>
              <w:rPr>
                <w:rFonts w:ascii="Times New Roman" w:hAnsi="Times New Roman" w:eastAsia="宋体"/>
                <w:sz w:val="21"/>
              </w:rPr>
              <w:t>22</w:t>
            </w:r>
          </w:p>
        </w:tc>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海南数据开放平台</w:t>
            </w:r>
          </w:p>
        </w:tc>
        <w:tc>
          <w:tcPr>
            <w:tcW w:type="dxa" w:w="1235"/>
            <w:tcBorders/>
          </w:tcPr>
          <w:p>
            <w:pPr>
              <w:jc w:val="center"/>
            </w:pPr>
            <w:r>
              <w:rPr>
                <w:rFonts w:ascii="Times New Roman" w:hAnsi="Times New Roman" w:eastAsia="宋体"/>
                <w:sz w:val="21"/>
              </w:rPr>
              <w:t>2021-09</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500</w:t>
            </w:r>
          </w:p>
        </w:tc>
      </w:tr>
      <w:tr>
        <w:tc>
          <w:tcPr>
            <w:tcW w:type="dxa" w:w="1235"/>
            <w:tcBorders/>
          </w:tcPr>
          <w:p>
            <w:pPr>
              <w:jc w:val="center"/>
            </w:pPr>
            <w:r>
              <w:rPr>
                <w:rFonts w:ascii="Times New Roman" w:hAnsi="Times New Roman" w:eastAsia="宋体"/>
                <w:sz w:val="21"/>
              </w:rPr>
              <w:t>23</w:t>
            </w:r>
          </w:p>
        </w:tc>
        <w:tc>
          <w:tcPr>
            <w:tcW w:type="dxa" w:w="1235"/>
            <w:tcBorders/>
          </w:tcPr>
          <w:p>
            <w:pPr>
              <w:jc w:val="center"/>
            </w:pPr>
            <w:r>
              <w:rPr>
                <w:rFonts w:ascii="Times New Roman" w:hAnsi="Times New Roman" w:eastAsia="宋体"/>
                <w:sz w:val="21"/>
              </w:rPr>
              <w:t>陕西</w:t>
            </w:r>
          </w:p>
        </w:tc>
        <w:tc>
          <w:tcPr>
            <w:tcW w:type="dxa" w:w="1235"/>
            <w:tcBorders/>
          </w:tcPr>
          <w:p>
            <w:pPr>
              <w:jc w:val="center"/>
            </w:pPr>
            <w:r>
              <w:rPr>
                <w:rFonts w:ascii="Times New Roman" w:hAnsi="Times New Roman" w:eastAsia="宋体"/>
                <w:sz w:val="21"/>
              </w:rPr>
              <w:t>陕西省级政府数据开放平台</w:t>
            </w:r>
          </w:p>
        </w:tc>
        <w:tc>
          <w:tcPr>
            <w:tcW w:type="dxa" w:w="1235"/>
            <w:tcBorders/>
          </w:tcPr>
          <w:p>
            <w:pPr>
              <w:jc w:val="center"/>
            </w:pPr>
            <w:r>
              <w:rPr>
                <w:rFonts w:ascii="Times New Roman" w:hAnsi="Times New Roman" w:eastAsia="宋体"/>
                <w:sz w:val="21"/>
              </w:rPr>
              <w:t>2021-12</w:t>
            </w:r>
          </w:p>
        </w:tc>
        <w:tc>
          <w:tcPr>
            <w:tcW w:type="dxa" w:w="1235"/>
            <w:tcBorders/>
          </w:tcPr>
          <w:p>
            <w:pPr>
              <w:jc w:val="center"/>
            </w:pPr>
            <w:r>
              <w:rPr>
                <w:rFonts w:ascii="Times New Roman" w:hAnsi="Times New Roman" w:eastAsia="宋体"/>
                <w:sz w:val="21"/>
              </w:rPr>
              <w:t>省政务大数据局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450</w:t>
            </w:r>
          </w:p>
        </w:tc>
      </w:tr>
      <w:tr>
        <w:tc>
          <w:tcPr>
            <w:tcW w:type="dxa" w:w="1235"/>
            <w:tcBorders/>
          </w:tcPr>
          <w:p>
            <w:pPr>
              <w:jc w:val="center"/>
            </w:pPr>
            <w:r>
              <w:rPr>
                <w:rFonts w:ascii="Times New Roman" w:hAnsi="Times New Roman" w:eastAsia="宋体"/>
                <w:sz w:val="21"/>
              </w:rPr>
              <w:t>24</w:t>
            </w:r>
          </w:p>
        </w:tc>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黑龙江省级政府数据开放平台</w:t>
            </w:r>
          </w:p>
        </w:tc>
        <w:tc>
          <w:tcPr>
            <w:tcW w:type="dxa" w:w="1235"/>
            <w:tcBorders/>
          </w:tcPr>
          <w:p>
            <w:pPr>
              <w:jc w:val="center"/>
            </w:pPr>
            <w:r>
              <w:rPr>
                <w:rFonts w:ascii="Times New Roman" w:hAnsi="Times New Roman" w:eastAsia="宋体"/>
                <w:sz w:val="21"/>
              </w:rPr>
              <w:t>2020-12</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700</w:t>
            </w:r>
          </w:p>
        </w:tc>
      </w:tr>
      <w:tr>
        <w:tc>
          <w:tcPr>
            <w:tcW w:type="dxa" w:w="1235"/>
            <w:tcBorders/>
          </w:tcPr>
          <w:p>
            <w:pPr>
              <w:jc w:val="center"/>
            </w:pPr>
            <w:r>
              <w:rPr>
                <w:rFonts w:ascii="Times New Roman" w:hAnsi="Times New Roman" w:eastAsia="宋体"/>
                <w:sz w:val="21"/>
              </w:rPr>
              <w:t>25</w:t>
            </w:r>
          </w:p>
        </w:tc>
        <w:tc>
          <w:tcPr>
            <w:tcW w:type="dxa" w:w="1235"/>
            <w:tcBorders/>
          </w:tcPr>
          <w:p>
            <w:pPr>
              <w:jc w:val="center"/>
            </w:pPr>
            <w:r>
              <w:rPr>
                <w:rFonts w:ascii="Times New Roman" w:hAnsi="Times New Roman" w:eastAsia="宋体"/>
                <w:sz w:val="21"/>
              </w:rPr>
              <w:t>吉林</w:t>
            </w:r>
          </w:p>
        </w:tc>
        <w:tc>
          <w:tcPr>
            <w:tcW w:type="dxa" w:w="1235"/>
            <w:tcBorders/>
          </w:tcPr>
          <w:p>
            <w:pPr>
              <w:jc w:val="center"/>
            </w:pPr>
            <w:r>
              <w:rPr>
                <w:rFonts w:ascii="Times New Roman" w:hAnsi="Times New Roman" w:eastAsia="宋体"/>
                <w:sz w:val="21"/>
              </w:rPr>
              <w:t>吉林数据开放平台</w:t>
            </w:r>
          </w:p>
        </w:tc>
        <w:tc>
          <w:tcPr>
            <w:tcW w:type="dxa" w:w="1235"/>
            <w:tcBorders/>
          </w:tcPr>
          <w:p>
            <w:pPr>
              <w:jc w:val="center"/>
            </w:pPr>
            <w:r>
              <w:rPr>
                <w:rFonts w:ascii="Times New Roman" w:hAnsi="Times New Roman" w:eastAsia="宋体"/>
                <w:sz w:val="21"/>
              </w:rPr>
              <w:t>2020-09</w:t>
            </w:r>
          </w:p>
        </w:tc>
        <w:tc>
          <w:tcPr>
            <w:tcW w:type="dxa" w:w="1235"/>
            <w:tcBorders/>
          </w:tcPr>
          <w:p>
            <w:pPr>
              <w:jc w:val="center"/>
            </w:pPr>
            <w:r>
              <w:rPr>
                <w:rFonts w:ascii="Times New Roman" w:hAnsi="Times New Roman" w:eastAsia="宋体"/>
                <w:sz w:val="21"/>
              </w:rPr>
              <w:t>省政务局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800</w:t>
            </w:r>
          </w:p>
        </w:tc>
      </w:tr>
      <w:tr>
        <w:tc>
          <w:tcPr>
            <w:tcW w:type="dxa" w:w="1235"/>
            <w:tcBorders/>
          </w:tcPr>
          <w:p>
            <w:pPr>
              <w:jc w:val="center"/>
            </w:pPr>
            <w:r>
              <w:rPr>
                <w:rFonts w:ascii="Times New Roman" w:hAnsi="Times New Roman" w:eastAsia="宋体"/>
                <w:sz w:val="21"/>
              </w:rPr>
              <w:t>26</w:t>
            </w:r>
          </w:p>
        </w:tc>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新疆政务数据开放平台</w:t>
            </w:r>
          </w:p>
        </w:tc>
        <w:tc>
          <w:tcPr>
            <w:tcW w:type="dxa" w:w="1235"/>
            <w:tcBorders/>
          </w:tcPr>
          <w:p>
            <w:pPr>
              <w:jc w:val="center"/>
            </w:pPr>
            <w:r>
              <w:rPr>
                <w:rFonts w:ascii="Times New Roman" w:hAnsi="Times New Roman" w:eastAsia="宋体"/>
                <w:sz w:val="21"/>
              </w:rPr>
              <w:t>2022-03</w:t>
            </w:r>
          </w:p>
        </w:tc>
        <w:tc>
          <w:tcPr>
            <w:tcW w:type="dxa" w:w="1235"/>
            <w:tcBorders/>
          </w:tcPr>
          <w:p>
            <w:pPr>
              <w:jc w:val="center"/>
            </w:pPr>
            <w:r>
              <w:rPr>
                <w:rFonts w:ascii="Times New Roman" w:hAnsi="Times New Roman" w:eastAsia="宋体"/>
                <w:sz w:val="21"/>
              </w:rPr>
              <w:t>自治区大数据中心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400</w:t>
            </w:r>
          </w:p>
        </w:tc>
      </w:tr>
      <w:tr>
        <w:tc>
          <w:tcPr>
            <w:tcW w:type="dxa" w:w="1235"/>
            <w:tcBorders/>
          </w:tcPr>
          <w:p>
            <w:pPr>
              <w:jc w:val="center"/>
            </w:pPr>
            <w:r>
              <w:rPr>
                <w:rFonts w:ascii="Times New Roman" w:hAnsi="Times New Roman" w:eastAsia="宋体"/>
                <w:sz w:val="21"/>
              </w:rPr>
              <w:t>27</w:t>
            </w:r>
          </w:p>
        </w:tc>
        <w:tc>
          <w:tcPr>
            <w:tcW w:type="dxa" w:w="1235"/>
            <w:tcBorders/>
          </w:tcPr>
          <w:p>
            <w:pPr>
              <w:jc w:val="center"/>
            </w:pPr>
            <w:r>
              <w:rPr>
                <w:rFonts w:ascii="Times New Roman" w:hAnsi="Times New Roman" w:eastAsia="宋体"/>
                <w:sz w:val="21"/>
              </w:rPr>
              <w:t>宁夏</w:t>
            </w:r>
          </w:p>
        </w:tc>
        <w:tc>
          <w:tcPr>
            <w:tcW w:type="dxa" w:w="1235"/>
            <w:tcBorders/>
          </w:tcPr>
          <w:p>
            <w:pPr>
              <w:jc w:val="center"/>
            </w:pPr>
            <w:r>
              <w:rPr>
                <w:rFonts w:ascii="Times New Roman" w:hAnsi="Times New Roman" w:eastAsia="宋体"/>
                <w:sz w:val="21"/>
              </w:rPr>
              <w:t>宁夏数据开放平台</w:t>
            </w:r>
          </w:p>
        </w:tc>
        <w:tc>
          <w:tcPr>
            <w:tcW w:type="dxa" w:w="1235"/>
            <w:tcBorders/>
          </w:tcPr>
          <w:p>
            <w:pPr>
              <w:jc w:val="center"/>
            </w:pPr>
            <w:r>
              <w:rPr>
                <w:rFonts w:ascii="Times New Roman" w:hAnsi="Times New Roman" w:eastAsia="宋体"/>
                <w:sz w:val="21"/>
              </w:rPr>
              <w:t>2022-06</w:t>
            </w:r>
          </w:p>
        </w:tc>
        <w:tc>
          <w:tcPr>
            <w:tcW w:type="dxa" w:w="1235"/>
            <w:tcBorders/>
          </w:tcPr>
          <w:p>
            <w:pPr>
              <w:jc w:val="center"/>
            </w:pPr>
            <w:r>
              <w:rPr>
                <w:rFonts w:ascii="Times New Roman" w:hAnsi="Times New Roman" w:eastAsia="宋体"/>
                <w:sz w:val="21"/>
              </w:rPr>
              <w:t>自治区政务大厅</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350</w:t>
            </w:r>
          </w:p>
        </w:tc>
      </w:tr>
      <w:tr>
        <w:tc>
          <w:tcPr>
            <w:tcW w:type="dxa" w:w="1235"/>
            <w:tcBorders/>
          </w:tcPr>
          <w:p>
            <w:pPr>
              <w:jc w:val="center"/>
            </w:pPr>
            <w:r>
              <w:rPr>
                <w:rFonts w:ascii="Times New Roman" w:hAnsi="Times New Roman" w:eastAsia="宋体"/>
                <w:sz w:val="21"/>
              </w:rPr>
              <w:t>28</w:t>
            </w:r>
          </w:p>
        </w:tc>
        <w:tc>
          <w:tcPr>
            <w:tcW w:type="dxa" w:w="1235"/>
            <w:tcBorders/>
          </w:tcPr>
          <w:p>
            <w:pPr>
              <w:jc w:val="center"/>
            </w:pPr>
            <w:r>
              <w:rPr>
                <w:rFonts w:ascii="Times New Roman" w:hAnsi="Times New Roman" w:eastAsia="宋体"/>
                <w:sz w:val="21"/>
              </w:rPr>
              <w:t>青海</w:t>
            </w:r>
          </w:p>
        </w:tc>
        <w:tc>
          <w:tcPr>
            <w:tcW w:type="dxa" w:w="1235"/>
            <w:tcBorders/>
          </w:tcPr>
          <w:p>
            <w:pPr>
              <w:jc w:val="center"/>
            </w:pPr>
            <w:r>
              <w:rPr>
                <w:rFonts w:ascii="Times New Roman" w:hAnsi="Times New Roman" w:eastAsia="宋体"/>
                <w:sz w:val="21"/>
              </w:rPr>
              <w:t>青海数据开放平台</w:t>
            </w:r>
          </w:p>
        </w:tc>
        <w:tc>
          <w:tcPr>
            <w:tcW w:type="dxa" w:w="1235"/>
            <w:tcBorders/>
          </w:tcPr>
          <w:p>
            <w:pPr>
              <w:jc w:val="center"/>
            </w:pPr>
            <w:r>
              <w:rPr>
                <w:rFonts w:ascii="Times New Roman" w:hAnsi="Times New Roman" w:eastAsia="宋体"/>
                <w:sz w:val="21"/>
              </w:rPr>
              <w:t>2022-09</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300</w:t>
            </w:r>
          </w:p>
        </w:tc>
      </w:tr>
    </w:tbl>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ind w:firstLine="420"/>
      </w:pPr>
      <w:r>
        <w:rPr>
          <w:rFonts w:ascii="Times New Roman" w:hAnsi="Times New Roman" w:eastAsia="宋体"/>
          <w:color w:val="000000"/>
        </w:rPr>
        <w:t>28个样本平台在数据集规模、平台类型和运营年限方面存在显著差异。图4-2展示了样本平台的数据集规模分布。</w:t>
      </w:r>
    </w:p>
    <w:p>
      <w:pPr>
        <w:jc w:val="center"/>
      </w:pPr>
      <w:r>
        <w:drawing>
          <wp:inline xmlns:a="http://schemas.openxmlformats.org/drawingml/2006/main" xmlns:pic="http://schemas.openxmlformats.org/drawingml/2006/picture">
            <wp:extent cx="5029200" cy="3338713"/>
            <wp:docPr id="10" name="Picture 10"/>
            <wp:cNvGraphicFramePr>
              <a:graphicFrameLocks noChangeAspect="1"/>
            </wp:cNvGraphicFramePr>
            <a:graphic>
              <a:graphicData uri="http://schemas.openxmlformats.org/drawingml/2006/picture">
                <pic:pic>
                  <pic:nvPicPr>
                    <pic:cNvPr id="0" name="thesis_02_datasets.png"/>
                    <pic:cNvPicPr/>
                  </pic:nvPicPr>
                  <pic:blipFill>
                    <a:blip r:embed="rId18"/>
                    <a:stretch>
                      <a:fillRect/>
                    </a:stretch>
                  </pic:blipFill>
                  <pic:spPr>
                    <a:xfrm>
                      <a:off x="0" y="0"/>
                      <a:ext cx="5029200" cy="3338713"/>
                    </a:xfrm>
                    <a:prstGeom prst="rect"/>
                  </pic:spPr>
                </pic:pic>
              </a:graphicData>
            </a:graphic>
          </wp:inline>
        </w:drawing>
      </w:r>
    </w:p>
    <w:p>
      <w:pPr>
        <w:jc w:val="center"/>
      </w:pPr>
      <w:r>
        <w:rPr>
          <w:rFonts w:ascii="Times New Roman" w:hAnsi="Times New Roman" w:eastAsia="宋体"/>
          <w:color w:val="505050"/>
          <w:sz w:val="21"/>
        </w:rPr>
        <w:t>图4-2 样本平台数据集规模分布</w:t>
      </w:r>
    </w:p>
    <w:p>
      <w:pPr>
        <w:spacing w:line="360" w:lineRule="auto" w:after="0" w:before="0"/>
        <w:ind w:firstLine="420"/>
      </w:pPr>
      <w:r>
        <w:rPr>
          <w:rFonts w:ascii="Times New Roman" w:hAnsi="Times New Roman" w:eastAsia="宋体"/>
          <w:color w:val="000000"/>
        </w:rPr>
        <w:t>图4-2 样本平台数据集规模分布</w:t>
      </w:r>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ind w:firstLine="420"/>
      </w:pPr>
      <w:r>
        <w:rPr>
          <w:rFonts w:ascii="Times New Roman" w:hAnsi="Times New Roman" w:eastAsia="宋体"/>
          <w:color w:val="000000"/>
        </w:rPr>
        <w:t>如图4-2所示，28个平台的数据集规模呈现明显的幂律分布特征——少数平台（山东、贵州、浙江）拥有大量数据集（超过1万条），而多数平台（约60%）的数据集数量不足5000条。这种分布形态反映了我国省级数据开放平台发展的不均衡性。</w:t>
      </w:r>
    </w:p>
    <w:p>
      <w:pPr>
        <w:spacing w:line="360" w:lineRule="auto" w:after="0" w:before="0"/>
        <w:ind w:firstLine="420"/>
      </w:pPr>
      <w:r>
        <w:rPr>
          <w:rFonts w:ascii="Times New Roman" w:hAnsi="Times New Roman" w:eastAsia="黑体"/>
          <w:b/>
          <w:color w:val="000000"/>
          <w:sz w:val="24"/>
        </w:rPr>
        <w:t>4.2.1 样本选取</w:t>
      </w:r>
    </w:p>
    <w:p>
      <w:pPr>
        <w:spacing w:line="360" w:lineRule="auto" w:after="0" w:before="0"/>
        <w:ind w:firstLine="420"/>
      </w:pPr>
      <w:r>
        <w:rPr>
          <w:rFonts w:ascii="Times New Roman" w:hAnsi="Times New Roman" w:eastAsia="宋体"/>
          <w:color w:val="000000"/>
        </w:rPr>
        <w:t>本研究以中国省级政府数据开放平台为研究对象。截至2025年3月，全国31个省级行政区中，28个建有独立的政府数据开放平台，3个（青海、甘肃、西藏）未建独立平台但依托其他形式提供数据开放服务。</w:t>
      </w:r>
    </w:p>
    <w:p>
      <w:pPr>
        <w:spacing w:line="360" w:lineRule="auto" w:after="0" w:before="0"/>
        <w:ind w:firstLine="420"/>
      </w:pPr>
      <w:r>
        <w:rPr>
          <w:rFonts w:ascii="Times New Roman" w:hAnsi="Times New Roman" w:eastAsia="宋体"/>
          <w:color w:val="000000"/>
        </w:rPr>
        <w:t>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spacing w:line="360" w:lineRule="auto" w:after="0" w:before="0"/>
        <w:ind w:firstLine="420"/>
      </w:pPr>
      <w:r>
        <w:rPr>
          <w:rFonts w:ascii="Times New Roman" w:hAnsi="Times New Roman" w:eastAsia="宋体"/>
          <w:color w:val="000000"/>
        </w:rPr>
        <w:t>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p>
      <w:pPr>
        <w:spacing w:line="360" w:lineRule="auto" w:after="0" w:before="0"/>
        <w:ind w:firstLine="420"/>
      </w:pPr>
      <w:r>
        <w:rPr>
          <w:rFonts w:ascii="Times New Roman" w:hAnsi="Times New Roman" w:eastAsia="黑体"/>
          <w:b/>
          <w:color w:val="000000"/>
          <w:sz w:val="24"/>
        </w:rPr>
        <w:t>4.2.2 数据来源</w:t>
      </w:r>
    </w:p>
    <w:p>
      <w:pPr>
        <w:spacing w:line="360" w:lineRule="auto" w:after="0" w:before="0"/>
        <w:ind w:firstLine="420"/>
      </w:pPr>
      <w:r>
        <w:rPr>
          <w:rFonts w:ascii="Times New Roman" w:hAnsi="Times New Roman" w:eastAsia="宋体"/>
          <w:color w:val="000000"/>
        </w:rPr>
        <w:t>本研究的数据来源包括以下几个方面。</w:t>
      </w:r>
    </w:p>
    <w:p>
      <w:pPr>
        <w:spacing w:line="360" w:lineRule="auto" w:after="0" w:before="0"/>
        <w:ind w:firstLine="420"/>
      </w:pPr>
      <w:r>
        <w:rPr>
          <w:rFonts w:ascii="Times New Roman" w:hAnsi="Times New Roman" w:eastAsia="宋体"/>
          <w:color w:val="000000"/>
        </w:rPr>
        <w:t>平台自动化采集数据。 通过自主开发的数据采集系统（OGD-Collector 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spacing w:line="360" w:lineRule="auto" w:after="0" w:before="0"/>
        <w:ind w:firstLine="420"/>
      </w:pPr>
      <w:r>
        <w:rPr>
          <w:rFonts w:ascii="Times New Roman" w:hAnsi="Times New Roman" w:eastAsia="宋体"/>
          <w:color w:val="000000"/>
        </w:rPr>
        <w:t>平台人工核验数据。 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spacing w:line="360" w:lineRule="auto" w:after="0" w:before="0"/>
        <w:ind w:firstLine="420"/>
      </w:pPr>
      <w:r>
        <w:rPr>
          <w:rFonts w:ascii="Times New Roman" w:hAnsi="Times New Roman" w:eastAsia="宋体"/>
          <w:color w:val="000000"/>
        </w:rPr>
        <w:t>公开统计数据。 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spacing w:line="360" w:lineRule="auto" w:after="0" w:before="0"/>
        <w:ind w:firstLine="420"/>
      </w:pPr>
      <w:r>
        <w:rPr>
          <w:rFonts w:ascii="Times New Roman" w:hAnsi="Times New Roman" w:eastAsia="宋体"/>
          <w:color w:val="000000"/>
        </w:rPr>
        <w:t>政策文件和报告。 包括国家和省级层面的数据开放政策文件、数据开放管理办法、数据标准规范等，来源于各级政府官方网站和公文数据库。这些文件用于评估"制度环境"和"政策体系"指标。</w:t>
      </w:r>
    </w:p>
    <w:p>
      <w:pPr>
        <w:spacing w:line="360" w:lineRule="auto" w:after="0" w:before="0"/>
        <w:ind w:firstLine="420"/>
      </w:pPr>
      <w:r>
        <w:rPr>
          <w:rFonts w:ascii="Times New Roman" w:hAnsi="Times New Roman" w:eastAsia="黑体"/>
          <w:b/>
          <w:color w:val="000000"/>
          <w:sz w:val="24"/>
        </w:rPr>
        <w:t>4.2.3 数据质量控制</w:t>
      </w:r>
    </w:p>
    <w:p>
      <w:pPr>
        <w:spacing w:line="360" w:lineRule="auto" w:after="0" w:before="0"/>
        <w:ind w:firstLine="420"/>
      </w:pPr>
      <w:r>
        <w:rPr>
          <w:rFonts w:ascii="Times New Roman" w:hAnsi="Times New Roman" w:eastAsia="宋体"/>
          <w:color w:val="000000"/>
        </w:rPr>
        <w:t>数据质量是实证研究的生命线。本研究从数据采集、数据清洗、数据核验三个环节控制数据质量。</w:t>
      </w:r>
    </w:p>
    <w:p>
      <w:pPr>
        <w:spacing w:line="360" w:lineRule="auto" w:after="0" w:before="0"/>
        <w:ind w:firstLine="420"/>
      </w:pPr>
      <w:r>
        <w:rPr>
          <w:rFonts w:ascii="Times New Roman" w:hAnsi="Times New Roman" w:eastAsia="宋体"/>
          <w:color w:val="000000"/>
        </w:rPr>
        <w:t>数据采集质量控制。 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spacing w:line="360" w:lineRule="auto" w:after="0" w:before="0"/>
        <w:ind w:firstLine="420"/>
      </w:pPr>
      <w:r>
        <w:rPr>
          <w:rFonts w:ascii="Times New Roman" w:hAnsi="Times New Roman" w:eastAsia="宋体"/>
          <w:color w:val="000000"/>
        </w:rPr>
        <w:t>数据清洗质量控制。 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spacing w:line="360" w:lineRule="auto" w:after="0" w:before="0"/>
        <w:ind w:firstLine="420"/>
      </w:pPr>
      <w:r>
        <w:rPr>
          <w:rFonts w:ascii="Times New Roman" w:hAnsi="Times New Roman" w:eastAsia="宋体"/>
          <w:color w:val="000000"/>
        </w:rPr>
        <w:t>数据核验质量控制。 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p>
      <w:pPr>
        <w:spacing w:line="360" w:lineRule="auto" w:after="0" w:before="0"/>
      </w:pPr>
      <w:r>
        <w:rPr>
          <w:rFonts w:ascii="Times New Roman" w:hAnsi="Times New Roman" w:eastAsia="黑体"/>
          <w:b/>
          <w:color w:val="000000"/>
          <w:sz w:val="24"/>
        </w:rPr>
        <w:t>4.3 评估指标体系构建</w:t>
      </w:r>
    </w:p>
    <w:p>
      <w:pPr>
        <w:spacing w:line="360" w:lineRule="auto" w:after="0" w:before="0"/>
        <w:ind w:firstLine="420"/>
      </w:pPr>
      <w:r>
        <w:rPr>
          <w:rFonts w:ascii="Times New Roman" w:hAnsi="Times New Roman" w:eastAsia="黑体"/>
          <w:b/>
          <w:color w:val="000000"/>
          <w:sz w:val="24"/>
        </w:rPr>
        <w:t>4.3.1 指标体系设计原则</w:t>
      </w:r>
    </w:p>
    <w:p>
      <w:pPr>
        <w:spacing w:line="360" w:lineRule="auto" w:after="0" w:before="0"/>
        <w:ind w:firstLine="420"/>
      </w:pPr>
      <w:r>
        <w:rPr>
          <w:rFonts w:ascii="Times New Roman" w:hAnsi="Times New Roman" w:eastAsia="宋体"/>
          <w:color w:val="000000"/>
        </w:rPr>
        <w:t>评估指标体系是绩效评估的核心工具，指标设计的科学性直接决定了评估结果的可信度。本研究在指标设计时遵循以下原则。</w:t>
      </w:r>
    </w:p>
    <w:p>
      <w:pPr>
        <w:spacing w:line="360" w:lineRule="auto" w:after="0" w:before="0"/>
        <w:ind w:firstLine="420"/>
      </w:pPr>
      <w:r>
        <w:rPr>
          <w:rFonts w:ascii="Times New Roman" w:hAnsi="Times New Roman" w:eastAsia="宋体"/>
          <w:color w:val="000000"/>
        </w:rPr>
        <w:t>系统性原则。 指标体系应覆盖评估对象的主要方面，避免"盲区"。本研究的4E框架从供给保障、平台服务、数据质量、利用效果、公平性五个维度设计指标，力求全面反映平台绩效的各个层面。</w:t>
      </w:r>
    </w:p>
    <w:p>
      <w:pPr>
        <w:spacing w:line="360" w:lineRule="auto" w:after="0" w:before="0"/>
        <w:ind w:firstLine="420"/>
      </w:pPr>
      <w:r>
        <w:rPr>
          <w:rFonts w:ascii="Times New Roman" w:hAnsi="Times New Roman" w:eastAsia="宋体"/>
          <w:color w:val="000000"/>
        </w:rPr>
        <w:t>可操作性原则。 每个指标都应有明确的定义、可靠的测量方法和可获取的数据来源。本研究在指标设计时，优先考虑可以通过自动化采集或公开渠道获取的客观指标，避免依赖主观判断或难以获取的数据。</w:t>
      </w:r>
    </w:p>
    <w:p>
      <w:pPr>
        <w:spacing w:line="360" w:lineRule="auto" w:after="0" w:before="0"/>
        <w:ind w:firstLine="420"/>
      </w:pPr>
      <w:r>
        <w:rPr>
          <w:rFonts w:ascii="Times New Roman" w:hAnsi="Times New Roman" w:eastAsia="宋体"/>
          <w:color w:val="000000"/>
        </w:rPr>
        <w:t>独立性原则。 指标之间应避免高度相关，防止信息冗余。本研究在指标选取后，通过相关性分析检验了指标间的独立性，对于相关系数超过0.8的指标对，进行了合并或剔除。</w:t>
      </w:r>
    </w:p>
    <w:p>
      <w:pPr>
        <w:spacing w:line="360" w:lineRule="auto" w:after="0" w:before="0"/>
        <w:ind w:firstLine="420"/>
      </w:pPr>
      <w:r>
        <w:rPr>
          <w:rFonts w:ascii="Times New Roman" w:hAnsi="Times New Roman" w:eastAsia="宋体"/>
          <w:color w:val="000000"/>
        </w:rPr>
        <w:t>可比性原则。 指标体系应支持横向比较（不同平台之间）和纵向比较（同一平台不同时期）。本研究的所有指标均采用标准化处理方式，消除量纲差异，确保不同指标之间的可比性。</w:t>
      </w:r>
    </w:p>
    <w:p>
      <w:pPr>
        <w:spacing w:line="360" w:lineRule="auto" w:after="0" w:before="0"/>
        <w:ind w:firstLine="420"/>
      </w:pPr>
      <w:r>
        <w:rPr>
          <w:rFonts w:ascii="Times New Roman" w:hAnsi="Times New Roman" w:eastAsia="宋体"/>
          <w:color w:val="000000"/>
        </w:rPr>
        <w:t>导向性原则。 指标体系应引导被评估对象向正确的方向改进。本研究通过"效果导向"的权重设计，将平台运营者的行为激励从"数量增长"转向"价值创造"。</w:t>
      </w:r>
    </w:p>
    <w:p>
      <w:pPr>
        <w:spacing w:line="360" w:lineRule="auto" w:after="0" w:before="0"/>
        <w:ind w:firstLine="420"/>
      </w:pPr>
      <w:r>
        <w:rPr>
          <w:rFonts w:ascii="Times New Roman" w:hAnsi="Times New Roman" w:eastAsia="黑体"/>
          <w:b/>
          <w:color w:val="000000"/>
          <w:sz w:val="24"/>
        </w:rPr>
        <w:t>4.3.2 指标体系的层级结构</w:t>
      </w:r>
    </w:p>
    <w:p>
      <w:pPr>
        <w:spacing w:line="360" w:lineRule="auto" w:after="0" w:before="0"/>
        <w:ind w:firstLine="420"/>
      </w:pPr>
      <w:r>
        <w:rPr>
          <w:rFonts w:ascii="Times New Roman" w:hAnsi="Times New Roman" w:eastAsia="宋体"/>
          <w:color w:val="000000"/>
        </w:rPr>
        <w:t>本研究的指标体系采用"维度-要素-指标"的三级结构。</w:t>
      </w:r>
    </w:p>
    <w:p>
      <w:pPr>
        <w:spacing w:line="360" w:lineRule="auto" w:after="0" w:before="0"/>
        <w:ind w:firstLine="420"/>
      </w:pPr>
      <w:r>
        <w:rPr>
          <w:rFonts w:ascii="Times New Roman" w:hAnsi="Times New Roman" w:eastAsia="宋体"/>
          <w:color w:val="000000"/>
        </w:rPr>
        <w:t>第一级：维度层。 对应4E框架的五个维度：供给保障（S）、平台服务（P）、数据质量（Q）、利用效果（U）、公平性（E）。维度层回答"从哪些方面评估"的问题。</w:t>
      </w:r>
    </w:p>
    <w:p>
      <w:pPr>
        <w:spacing w:line="360" w:lineRule="auto" w:after="0" w:before="0"/>
        <w:ind w:firstLine="420"/>
      </w:pPr>
      <w:r>
        <w:rPr>
          <w:rFonts w:ascii="Times New Roman" w:hAnsi="Times New Roman" w:eastAsia="宋体"/>
          <w:color w:val="000000"/>
        </w:rPr>
        <w:t>第二级：要素层。 每个维度下设置2-3个要素，要素是对维度的进一步分解。例如，"利用效果"维度下设"数据直接利用""数据创新利用""授权运营成效"三个要素。要素层回答"每个维度包含哪些方面"的问题。</w:t>
      </w:r>
    </w:p>
    <w:p>
      <w:pPr>
        <w:spacing w:line="360" w:lineRule="auto" w:after="0" w:before="0"/>
        <w:ind w:firstLine="420"/>
      </w:pPr>
      <w:r>
        <w:rPr>
          <w:rFonts w:ascii="Times New Roman" w:hAnsi="Times New Roman" w:eastAsia="宋体"/>
          <w:color w:val="000000"/>
        </w:rPr>
        <w:t>第三级：指标层。 每个要素下设置1-3个具体指标，指标是评估的最小单位。例如，"数据直接利用"要素下设"数据集下载量"和"API调用量"两个指标。指标层回答"用什么具体指标测量"的问题。</w:t>
      </w:r>
    </w:p>
    <w:p>
      <w:pPr>
        <w:spacing w:line="360" w:lineRule="auto" w:after="0" w:before="0"/>
        <w:ind w:firstLine="420"/>
      </w:pPr>
      <w:r>
        <w:rPr>
          <w:rFonts w:ascii="Times New Roman" w:hAnsi="Times New Roman" w:eastAsia="宋体"/>
          <w:color w:val="000000"/>
        </w:rPr>
        <w:t>这种三级结构的优势在于：维度层提供了评估的总体框架，要素层细化了评估的具体方面，指标层提供了可操作的测量工具。三者层层递进、相互支撑，构成了完整的评估工具体系。</w:t>
      </w:r>
    </w:p>
    <w:p>
      <w:pPr>
        <w:spacing w:line="360" w:lineRule="auto" w:after="0" w:before="0"/>
        <w:ind w:firstLine="420"/>
      </w:pPr>
      <w:r>
        <w:rPr>
          <w:rFonts w:ascii="Times New Roman" w:hAnsi="Times New Roman" w:eastAsia="黑体"/>
          <w:b/>
          <w:color w:val="000000"/>
          <w:sz w:val="24"/>
        </w:rPr>
        <w:t>4.3.3 指标说明与测量方法</w:t>
      </w:r>
    </w:p>
    <w:p>
      <w:pPr>
        <w:spacing w:line="360" w:lineRule="auto" w:after="0" w:before="0"/>
        <w:ind w:firstLine="420"/>
      </w:pPr>
      <w:r>
        <w:rPr>
          <w:rFonts w:ascii="Times New Roman" w:hAnsi="Times New Roman" w:eastAsia="宋体"/>
          <w:color w:val="000000"/>
        </w:rPr>
        <w:t>供给保障维度（S）。 供给保障衡量数据资源获取的充分性和可持续性，是数据利用的前提条件。</w:t>
      </w:r>
    </w:p>
    <w:p>
      <w:pPr>
        <w:spacing w:line="360" w:lineRule="auto" w:after="0" w:before="0"/>
        <w:ind w:firstLine="420"/>
      </w:pPr>
      <w:r>
        <w:rPr>
          <w:rFonts w:ascii="Times New Roman" w:hAnsi="Times New Roman" w:eastAsia="宋体"/>
          <w:color w:val="000000"/>
        </w:rPr>
        <w:t>- S1数据集数量：平台公开的数据集总数。测量方法：自动化采集系统统计平台数据集列表中的条目数量，并进行人工核验去重。</w:t>
      </w:r>
    </w:p>
    <w:p>
      <w:pPr>
        <w:spacing w:line="360" w:lineRule="auto" w:after="0" w:before="0"/>
        <w:ind w:firstLine="420"/>
      </w:pPr>
      <w:r>
        <w:rPr>
          <w:rFonts w:ascii="Times New Roman" w:hAnsi="Times New Roman" w:eastAsia="宋体"/>
          <w:color w:val="000000"/>
        </w:rPr>
        <w:t>- S2主题覆盖度：平台数据集覆盖的主题领域数量。测量方法：根据平台自身的主题分类体系（通常包括经济、教育、环境、健康、交通、文化等领域），统计覆盖的主题类别数量。</w:t>
      </w:r>
    </w:p>
    <w:p>
      <w:pPr>
        <w:spacing w:line="360" w:lineRule="auto" w:after="0" w:before="0"/>
        <w:ind w:firstLine="420"/>
      </w:pPr>
      <w:r>
        <w:rPr>
          <w:rFonts w:ascii="Times New Roman" w:hAnsi="Times New Roman" w:eastAsia="宋体"/>
          <w:color w:val="000000"/>
        </w:rPr>
        <w:t>- S3更新频率：平台数据集的平均更新频率。测量方法：随机抽取10%的数据集，统计其最近更新日期与当前日期的间隔，计算平均值。</w:t>
      </w:r>
    </w:p>
    <w:p>
      <w:pPr>
        <w:spacing w:line="360" w:lineRule="auto" w:after="0" w:before="0"/>
        <w:ind w:firstLine="420"/>
      </w:pPr>
      <w:r>
        <w:rPr>
          <w:rFonts w:ascii="Times New Roman" w:hAnsi="Times New Roman" w:eastAsia="宋体"/>
          <w:color w:val="000000"/>
        </w:rPr>
        <w:t>- S4格式标准化率：平台数据集中采用标准化格式（CSV、JSON、XML等）的比例。测量方法：统计所有数据集的格式分布，计算标准化格式占比。</w:t>
      </w:r>
    </w:p>
    <w:p>
      <w:pPr>
        <w:spacing w:line="360" w:lineRule="auto" w:after="0" w:before="0"/>
        <w:ind w:firstLine="420"/>
      </w:pPr>
      <w:r>
        <w:rPr>
          <w:rFonts w:ascii="Times New Roman" w:hAnsi="Times New Roman" w:eastAsia="宋体"/>
          <w:color w:val="000000"/>
        </w:rPr>
        <w:t>- S5目录完整性：平台数据集元数据的完整程度。测量方法：随机抽取10%的数据集，检查标题、描述、关键词、发布机构、更新日期等必填字段的填写率，计算平均值。</w:t>
      </w:r>
    </w:p>
    <w:p>
      <w:pPr>
        <w:spacing w:line="360" w:lineRule="auto" w:after="0" w:before="0"/>
        <w:ind w:firstLine="420"/>
      </w:pPr>
      <w:r>
        <w:rPr>
          <w:rFonts w:ascii="Times New Roman" w:hAnsi="Times New Roman" w:eastAsia="宋体"/>
          <w:color w:val="000000"/>
        </w:rPr>
        <w:t>平台服务维度（P）。 平台服务衡量平台降低数据利用摩擦成本的能力，是连接数据供给和数据利用的桥梁。</w:t>
      </w:r>
    </w:p>
    <w:p>
      <w:pPr>
        <w:spacing w:line="360" w:lineRule="auto" w:after="0" w:before="0"/>
        <w:ind w:firstLine="420"/>
      </w:pPr>
      <w:r>
        <w:rPr>
          <w:rFonts w:ascii="Times New Roman" w:hAnsi="Times New Roman" w:eastAsia="宋体"/>
          <w:color w:val="000000"/>
        </w:rPr>
        <w:t>- P1 API开放度：平台提供API接口的完备程度。测量方法：评估平台是否提供API接口（0/1）、API文档是否完整（0-5分）、API调用是否稳定（0-5分），综合计算得分。</w:t>
      </w:r>
    </w:p>
    <w:p>
      <w:pPr>
        <w:spacing w:line="360" w:lineRule="auto" w:after="0" w:before="0"/>
        <w:ind w:firstLine="420"/>
      </w:pPr>
      <w:r>
        <w:rPr>
          <w:rFonts w:ascii="Times New Roman" w:hAnsi="Times New Roman" w:eastAsia="宋体"/>
          <w:color w:val="000000"/>
        </w:rPr>
        <w:t>- P2检索功能完备性：平台数据检索功能的完善程度。测量方法：评估平台是否支持关键词检索（0/1）、高级检索（0/1）、分类浏览（0/1）、排序筛选（0/1），综合计算得分。</w:t>
      </w:r>
    </w:p>
    <w:p>
      <w:pPr>
        <w:spacing w:line="360" w:lineRule="auto" w:after="0" w:before="0"/>
        <w:ind w:firstLine="420"/>
      </w:pPr>
      <w:r>
        <w:rPr>
          <w:rFonts w:ascii="Times New Roman" w:hAnsi="Times New Roman" w:eastAsia="宋体"/>
          <w:color w:val="000000"/>
        </w:rPr>
        <w:t>- P3数据预览功能：平台是否提供数据预览功能。测量方法：评估平台是否支持表格预览（0/1）、图表预览（0/1）、地图预览（0/1），综合计算得分。</w:t>
      </w:r>
    </w:p>
    <w:p>
      <w:pPr>
        <w:spacing w:line="360" w:lineRule="auto" w:after="0" w:before="0"/>
        <w:ind w:firstLine="420"/>
      </w:pPr>
      <w:r>
        <w:rPr>
          <w:rFonts w:ascii="Times New Roman" w:hAnsi="Times New Roman" w:eastAsia="宋体"/>
          <w:color w:val="000000"/>
        </w:rPr>
        <w:t>- P4用户反馈机制：平台是否建立用户反馈渠道。测量方法：评估平台是否提供在线反馈表单（0/1）、用户评论功能（0/1）、数据需求征集（0/1），综合计算得分。</w:t>
      </w:r>
    </w:p>
    <w:p>
      <w:pPr>
        <w:spacing w:line="360" w:lineRule="auto" w:after="0" w:before="0"/>
        <w:ind w:firstLine="420"/>
      </w:pPr>
      <w:r>
        <w:rPr>
          <w:rFonts w:ascii="Times New Roman" w:hAnsi="Times New Roman" w:eastAsia="宋体"/>
          <w:color w:val="000000"/>
        </w:rPr>
        <w:t>- P5平台迭代频率：平台功能更新的活跃程度。测量方法：通过平台版本日志或新闻公告，统计近一年内平台功能更新的次数。</w:t>
      </w:r>
    </w:p>
    <w:p>
      <w:pPr>
        <w:spacing w:line="360" w:lineRule="auto" w:after="0" w:before="0"/>
        <w:ind w:firstLine="420"/>
      </w:pPr>
      <w:r>
        <w:rPr>
          <w:rFonts w:ascii="Times New Roman" w:hAnsi="Times New Roman" w:eastAsia="宋体"/>
          <w:color w:val="000000"/>
        </w:rPr>
        <w:t>数据质量维度（Q）。 数据质量衡量数据资源在技术属性上的可用性，是数据有效利用的基础。</w:t>
      </w:r>
    </w:p>
    <w:p>
      <w:pPr>
        <w:spacing w:line="360" w:lineRule="auto" w:after="0" w:before="0"/>
        <w:ind w:firstLine="420"/>
      </w:pPr>
      <w:r>
        <w:rPr>
          <w:rFonts w:ascii="Times New Roman" w:hAnsi="Times New Roman" w:eastAsia="宋体"/>
          <w:color w:val="000000"/>
        </w:rPr>
        <w:t>- Q1数据准确性：平台数据集中的错误率。测量方法：随机抽取10个数据集，每个数据集抽取100条记录，人工核查错误率，计算平均值。</w:t>
      </w:r>
    </w:p>
    <w:p>
      <w:pPr>
        <w:spacing w:line="360" w:lineRule="auto" w:after="0" w:before="0"/>
        <w:ind w:firstLine="420"/>
      </w:pPr>
      <w:r>
        <w:rPr>
          <w:rFonts w:ascii="Times New Roman" w:hAnsi="Times New Roman" w:eastAsia="宋体"/>
          <w:color w:val="000000"/>
        </w:rPr>
        <w:t>- Q2数据完整性：平台数据集的字段缺失率。测量方法：随机抽取10个数据集，检查各字段的缺失情况，计算平均缺失率。</w:t>
      </w:r>
    </w:p>
    <w:p>
      <w:pPr>
        <w:spacing w:line="360" w:lineRule="auto" w:after="0" w:before="0"/>
        <w:ind w:firstLine="420"/>
      </w:pPr>
      <w:r>
        <w:rPr>
          <w:rFonts w:ascii="Times New Roman" w:hAnsi="Times New Roman" w:eastAsia="宋体"/>
          <w:color w:val="000000"/>
        </w:rPr>
        <w:t>- Q3数据及时性：平台数据集更新的滞后程度。测量方法：随机抽取10个数据集，计算其更新日期与当前日期的间隔天数，计算平均值。</w:t>
      </w:r>
    </w:p>
    <w:p>
      <w:pPr>
        <w:spacing w:line="360" w:lineRule="auto" w:after="0" w:before="0"/>
        <w:ind w:firstLine="420"/>
      </w:pPr>
      <w:r>
        <w:rPr>
          <w:rFonts w:ascii="Times New Roman" w:hAnsi="Times New Roman" w:eastAsia="宋体"/>
          <w:color w:val="000000"/>
        </w:rPr>
        <w:t>- Q4数据一致性：平台跨来源数据的一致性程度。测量方法：选取2-3个涉及多部门的数据主题（如企业注册信息），比较不同来源数据的一致性，计算匹配率。</w:t>
      </w:r>
    </w:p>
    <w:p>
      <w:pPr>
        <w:spacing w:line="360" w:lineRule="auto" w:after="0" w:before="0"/>
        <w:ind w:firstLine="420"/>
      </w:pPr>
      <w:r>
        <w:rPr>
          <w:rFonts w:ascii="Times New Roman" w:hAnsi="Times New Roman" w:eastAsia="宋体"/>
          <w:color w:val="000000"/>
        </w:rPr>
        <w:t>- Q5机器可读性：平台数据集中机器可读格式的比例。测量方法：统计所有数据集的格式分布，计算机器可读格式（CSV、JSON、XML等）占比。</w:t>
      </w:r>
    </w:p>
    <w:p>
      <w:pPr>
        <w:spacing w:line="360" w:lineRule="auto" w:after="0" w:before="0"/>
        <w:ind w:firstLine="420"/>
      </w:pPr>
      <w:r>
        <w:rPr>
          <w:rFonts w:ascii="Times New Roman" w:hAnsi="Times New Roman" w:eastAsia="宋体"/>
          <w:color w:val="000000"/>
        </w:rPr>
        <w:t>利用效果维度（U）。 利用效果衡量数据价值实现的程度，是绩效评估的核心维度。</w:t>
      </w:r>
    </w:p>
    <w:p>
      <w:pPr>
        <w:spacing w:line="360" w:lineRule="auto" w:after="0" w:before="0"/>
        <w:ind w:firstLine="420"/>
      </w:pPr>
      <w:r>
        <w:rPr>
          <w:rFonts w:ascii="Times New Roman" w:hAnsi="Times New Roman" w:eastAsia="宋体"/>
          <w:color w:val="000000"/>
        </w:rPr>
        <w:t>- U1数据集下载量：平台数据集的被下载次数。测量方法：通过平台提供的下载统计或API日志获取，对于不提供统计的平台，采用估算方法（基于平台排名和同类平台比较）。</w:t>
      </w:r>
    </w:p>
    <w:p>
      <w:pPr>
        <w:spacing w:line="360" w:lineRule="auto" w:after="0" w:before="0"/>
        <w:ind w:firstLine="420"/>
      </w:pPr>
      <w:r>
        <w:rPr>
          <w:rFonts w:ascii="Times New Roman" w:hAnsi="Times New Roman" w:eastAsia="宋体"/>
          <w:color w:val="000000"/>
        </w:rPr>
        <w:t>- U2 API调用量：平台API接口的月均调用次数。测量方法：通过平台API文档或开发者门户获取调用统计。</w:t>
      </w:r>
    </w:p>
    <w:p>
      <w:pPr>
        <w:spacing w:line="360" w:lineRule="auto" w:after="0" w:before="0"/>
        <w:ind w:firstLine="420"/>
      </w:pPr>
      <w:r>
        <w:rPr>
          <w:rFonts w:ascii="Times New Roman" w:hAnsi="Times New Roman" w:eastAsia="宋体"/>
          <w:color w:val="000000"/>
        </w:rPr>
        <w:t>- U3应用成果数量：基于平台数据开发的应用程序、研究报告、新闻调查等成果数量。测量方法：通过平台应用展示板块、搜索引擎检索、媒体报道等渠道统计。</w:t>
      </w:r>
    </w:p>
    <w:p>
      <w:pPr>
        <w:spacing w:line="360" w:lineRule="auto" w:after="0" w:before="0"/>
        <w:ind w:firstLine="420"/>
      </w:pPr>
      <w:r>
        <w:rPr>
          <w:rFonts w:ascii="Times New Roman" w:hAnsi="Times New Roman" w:eastAsia="宋体"/>
          <w:color w:val="000000"/>
        </w:rPr>
        <w:t>- U4创新活动数量：平台举办或参与的数据创新活动数量（如数据创新大赛、黑客马拉松、数据沙龙等）。测量方法：通过平台新闻公告和公开报道统计。</w:t>
      </w:r>
    </w:p>
    <w:p>
      <w:pPr>
        <w:spacing w:line="360" w:lineRule="auto" w:after="0" w:before="0"/>
        <w:ind w:firstLine="420"/>
      </w:pPr>
      <w:r>
        <w:rPr>
          <w:rFonts w:ascii="Times New Roman" w:hAnsi="Times New Roman" w:eastAsia="宋体"/>
          <w:color w:val="000000"/>
        </w:rPr>
        <w:t>- U5授权运营项目数：平台开展的授权运营项目数量。测量方法：通过平台授权运营板块和公开报道统计。</w:t>
      </w:r>
    </w:p>
    <w:p>
      <w:pPr>
        <w:spacing w:line="360" w:lineRule="auto" w:after="0" w:before="0"/>
        <w:ind w:firstLine="420"/>
      </w:pPr>
      <w:r>
        <w:rPr>
          <w:rFonts w:ascii="Times New Roman" w:hAnsi="Times New Roman" w:eastAsia="宋体"/>
          <w:color w:val="000000"/>
        </w:rPr>
        <w:t>- U6授权运营收入：平台授权运营产生的经济收益。测量方法：通过平台财务报告或公开报道获取，对于未公开的数据采用估算方法。</w:t>
      </w:r>
    </w:p>
    <w:p>
      <w:pPr>
        <w:spacing w:line="360" w:lineRule="auto" w:after="0" w:before="0"/>
        <w:ind w:firstLine="420"/>
      </w:pPr>
      <w:r>
        <w:rPr>
          <w:rFonts w:ascii="Times New Roman" w:hAnsi="Times New Roman" w:eastAsia="宋体"/>
          <w:color w:val="000000"/>
        </w:rPr>
        <w:t>公平性维度（E）。 公平性衡量数据开放收益分配的均衡程度，是公共价值理论的核心要求。</w:t>
      </w:r>
    </w:p>
    <w:p>
      <w:pPr>
        <w:spacing w:line="360" w:lineRule="auto" w:after="0" w:before="0"/>
        <w:ind w:firstLine="420"/>
      </w:pPr>
      <w:r>
        <w:rPr>
          <w:rFonts w:ascii="Times New Roman" w:hAnsi="Times New Roman" w:eastAsia="宋体"/>
          <w:color w:val="000000"/>
        </w:rPr>
        <w:t>- E1区域均衡度：平台在缩小区域数据利用差距方面的表现。测量方法：计算东中西部地区平台绩效的差异系数，差异系数越小表示区域均衡度越高。</w:t>
      </w:r>
    </w:p>
    <w:p>
      <w:pPr>
        <w:spacing w:line="360" w:lineRule="auto" w:after="0" w:before="0"/>
        <w:ind w:firstLine="420"/>
      </w:pPr>
      <w:r>
        <w:rPr>
          <w:rFonts w:ascii="Times New Roman" w:hAnsi="Times New Roman" w:eastAsia="宋体"/>
          <w:color w:val="000000"/>
        </w:rPr>
        <w:t>- E2群体覆盖度：平台服务对象的多样性程度。测量方法：评估平台是否提供面向不同群体（企业、研究者、公众、政府）的专门服务通道。</w:t>
      </w:r>
    </w:p>
    <w:p>
      <w:pPr>
        <w:spacing w:line="360" w:lineRule="auto" w:after="0" w:before="0"/>
        <w:ind w:firstLine="420"/>
      </w:pPr>
      <w:r>
        <w:rPr>
          <w:rFonts w:ascii="Times New Roman" w:hAnsi="Times New Roman" w:eastAsia="宋体"/>
          <w:color w:val="000000"/>
        </w:rPr>
        <w:t>- E3可及性指数：平台对弱势群体（如老年人、残障人士、农村居民）的数据服务可及性。测量方法：评估平台是否提供无障碍访问功能、多语言支持、移动端适配等。</w:t>
      </w:r>
    </w:p>
    <w:p>
      <w:pPr>
        <w:spacing w:line="360" w:lineRule="auto" w:after="0" w:before="0"/>
        <w:ind w:firstLine="420"/>
      </w:pPr>
      <w:r>
        <w:rPr>
          <w:rFonts w:ascii="Times New Roman" w:hAnsi="Times New Roman" w:eastAsia="黑体"/>
          <w:b/>
          <w:color w:val="000000"/>
          <w:sz w:val="24"/>
        </w:rPr>
        <w:t>4.3.4 指标权重确定</w:t>
      </w:r>
    </w:p>
    <w:p>
      <w:pPr>
        <w:spacing w:line="360" w:lineRule="auto" w:after="0" w:before="0"/>
        <w:ind w:firstLine="420"/>
      </w:pPr>
      <w:r>
        <w:rPr>
          <w:rFonts w:ascii="Times New Roman" w:hAnsi="Times New Roman" w:eastAsia="宋体"/>
          <w:color w:val="000000"/>
        </w:rPr>
        <w:t>指标权重的确定是绩效评估的关键环节，权重分配直接影响评估结果的分布和解释。本研究采用AHP-熵权组合赋权法确定指标权重，兼顾主观经验和客观差异。</w:t>
      </w:r>
    </w:p>
    <w:p>
      <w:pPr>
        <w:spacing w:line="360" w:lineRule="auto" w:after="0" w:before="0"/>
        <w:ind w:firstLine="420"/>
      </w:pPr>
      <w:r>
        <w:rPr>
          <w:rFonts w:ascii="Times New Roman" w:hAnsi="Times New Roman" w:eastAsia="宋体"/>
          <w:color w:val="000000"/>
        </w:rPr>
        <w:t>AHP层次分析法。 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spacing w:line="360" w:lineRule="auto" w:after="0" w:before="0"/>
        <w:ind w:firstLine="420"/>
      </w:pPr>
      <w:r>
        <w:rPr>
          <w:rFonts w:ascii="Times New Roman" w:hAnsi="Times New Roman" w:eastAsia="宋体"/>
          <w:color w:val="000000"/>
        </w:rPr>
        <w:t>熵权法。 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spacing w:line="360" w:lineRule="auto" w:after="0" w:before="0"/>
        <w:ind w:firstLine="420"/>
      </w:pPr>
      <w:r>
        <w:rPr>
          <w:rFonts w:ascii="Times New Roman" w:hAnsi="Times New Roman" w:eastAsia="宋体"/>
          <w:color w:val="000000"/>
        </w:rPr>
        <w:t>组合赋权。 AHP权重反映专家的主观判断，熵权反映数据的客观特征。为了兼顾主观和客观，本研究采用线性组合的方式确定最终权重：w = α × w_AHP + (1-α) × w_entropy，其中α为组合系数。本研究取α=0.5，即主观权重和客观权重各占50%。这种组合方式既尊重了专家的经验判断，又考虑了数据的实际分布特征，避免了单一方法的局限。</w:t>
      </w:r>
    </w:p>
    <w:p>
      <w:pPr>
        <w:spacing w:line="360" w:lineRule="auto" w:after="0" w:before="0"/>
      </w:pPr>
      <w:r>
        <w:rPr>
          <w:rFonts w:ascii="Times New Roman" w:hAnsi="Times New Roman" w:eastAsia="黑体"/>
          <w:b/>
          <w:color w:val="000000"/>
          <w:sz w:val="24"/>
        </w:rPr>
        <w:t>4.4 绩效评估方法</w:t>
      </w:r>
    </w:p>
    <w:p>
      <w:pPr>
        <w:spacing w:line="360" w:lineRule="auto" w:after="0" w:before="0"/>
        <w:ind w:firstLine="420"/>
      </w:pPr>
      <w:r>
        <w:rPr>
          <w:rFonts w:ascii="Times New Roman" w:hAnsi="Times New Roman" w:eastAsia="黑体"/>
          <w:b/>
          <w:color w:val="000000"/>
          <w:sz w:val="24"/>
        </w:rPr>
        <w:t>4.4.1 熵权-TOPSIS综合评估方法</w:t>
      </w:r>
    </w:p>
    <w:p>
      <w:pPr>
        <w:spacing w:line="360" w:lineRule="auto" w:after="0" w:before="0"/>
        <w:ind w:firstLine="420"/>
      </w:pPr>
      <w:r>
        <w:rPr>
          <w:rFonts w:ascii="Times New Roman" w:hAnsi="Times New Roman" w:eastAsia="宋体"/>
          <w:color w:val="000000"/>
        </w:rPr>
        <w:t>TOPSIS（Technique for Order Preference by Similarity to Ideal 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spacing w:line="360" w:lineRule="auto" w:after="0" w:before="0"/>
        <w:ind w:firstLine="420"/>
      </w:pPr>
      <w:r>
        <w:rPr>
          <w:rFonts w:ascii="Times New Roman" w:hAnsi="Times New Roman" w:eastAsia="宋体"/>
          <w:color w:val="000000"/>
        </w:rPr>
        <w:t>TOPSIS方法的步骤如下。</w:t>
      </w:r>
    </w:p>
    <w:p>
      <w:pPr>
        <w:spacing w:line="360" w:lineRule="auto" w:after="0" w:before="0"/>
        <w:ind w:firstLine="420"/>
      </w:pPr>
      <w:r>
        <w:rPr>
          <w:rFonts w:ascii="Times New Roman" w:hAnsi="Times New Roman" w:eastAsia="宋体"/>
          <w:color w:val="000000"/>
        </w:rPr>
        <w:t>步骤一：构建决策矩阵。 设评价对象有m个（28个平台），评价指标有n个（24个指标），构建m×n的决策矩阵X=(x_ij)，其中x_ij表示第i个平台的第j个指标的原始值。</w:t>
      </w:r>
    </w:p>
    <w:p>
      <w:pPr>
        <w:spacing w:line="360" w:lineRule="auto" w:after="0" w:before="0"/>
        <w:ind w:firstLine="420"/>
      </w:pPr>
      <w:r>
        <w:rPr>
          <w:rFonts w:ascii="Times New Roman" w:hAnsi="Times New Roman" w:eastAsia="宋体"/>
          <w:color w:val="000000"/>
        </w:rPr>
        <w:t>步骤二：标准化处理。 由于各指标的量纲和数量级不同，需要进行标准化处理。对于正向指标（越大越好），采用x'_ij = x_ij / max(x_j)；对于负向指标（越小越好），采用x'_ij = min(x_j) / x_ij。标准化后的决策矩阵记为X'=(x'_ij)。</w:t>
      </w:r>
    </w:p>
    <w:p>
      <w:pPr>
        <w:spacing w:line="360" w:lineRule="auto" w:after="0" w:before="0"/>
        <w:ind w:firstLine="420"/>
      </w:pPr>
      <w:r>
        <w:rPr>
          <w:rFonts w:ascii="Times New Roman" w:hAnsi="Times New Roman" w:eastAsia="宋体"/>
          <w:color w:val="000000"/>
        </w:rPr>
        <w:t>步骤三：确定权重。 运用AHP-熵权组合赋权法确定各指标的权重w_j，构建加权标准化决策矩阵V=(v_ij)，其中v_ij = w_j × x'_ij。</w:t>
      </w:r>
    </w:p>
    <w:p>
      <w:pPr>
        <w:spacing w:line="360" w:lineRule="auto" w:after="0" w:before="0"/>
        <w:ind w:firstLine="420"/>
      </w:pPr>
      <w:r>
        <w:rPr>
          <w:rFonts w:ascii="Times New Roman" w:hAnsi="Times New Roman" w:eastAsia="宋体"/>
          <w:color w:val="000000"/>
        </w:rPr>
        <w:t>步骤四：确定正理想解和负理想解。 正理想解V+ = (max(v_1), max(v_2), ..., max(v_n))，负理想解V- = (min(v_1), min(v_2), ..., min(v_n))。</w:t>
      </w:r>
    </w:p>
    <w:p>
      <w:pPr>
        <w:spacing w:line="360" w:lineRule="auto" w:after="0" w:before="0"/>
        <w:ind w:firstLine="420"/>
      </w:pPr>
      <w:r>
        <w:rPr>
          <w:rFonts w:ascii="Times New Roman" w:hAnsi="Times New Roman" w:eastAsia="宋体"/>
          <w:color w:val="000000"/>
        </w:rPr>
        <w:t>步骤五：计算距离。 计算各评价对象到正理想解和负理想解的欧氏距离：D+_i = √Σ(v_ij - V+_j)²，D-_i = √Σ(v_ij - V-_j)²。</w:t>
      </w:r>
    </w:p>
    <w:p>
      <w:pPr>
        <w:spacing w:line="360" w:lineRule="auto" w:after="0" w:before="0"/>
        <w:ind w:firstLine="420"/>
      </w:pPr>
      <w:r>
        <w:rPr>
          <w:rFonts w:ascii="Times New Roman" w:hAnsi="Times New Roman" w:eastAsia="宋体"/>
          <w:color w:val="000000"/>
        </w:rPr>
        <w:t>步骤六：计算相对贴近度。 C_i = D-_i / (D+_i + D-_i)，C_i的取值范围为[0,1]，C_i越接近1表示评价对象越优，越接近0表示评价对象越劣。</w:t>
      </w:r>
    </w:p>
    <w:p>
      <w:pPr>
        <w:spacing w:line="360" w:lineRule="auto" w:after="0" w:before="0"/>
        <w:ind w:firstLine="420"/>
      </w:pPr>
      <w:r>
        <w:rPr>
          <w:rFonts w:ascii="Times New Roman" w:hAnsi="Times New Roman" w:eastAsia="宋体"/>
          <w:color w:val="000000"/>
        </w:rPr>
        <w:t>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p>
      <w:pPr>
        <w:spacing w:line="360" w:lineRule="auto" w:after="0" w:before="0"/>
        <w:ind w:firstLine="420"/>
      </w:pPr>
      <w:r>
        <w:rPr>
          <w:rFonts w:ascii="Times New Roman" w:hAnsi="Times New Roman" w:eastAsia="黑体"/>
          <w:b/>
          <w:color w:val="000000"/>
          <w:sz w:val="24"/>
        </w:rPr>
        <w:t>4.4.2 DEA-BCC效率评价方法</w:t>
      </w:r>
    </w:p>
    <w:p>
      <w:pPr>
        <w:spacing w:line="360" w:lineRule="auto" w:after="0" w:before="0"/>
        <w:ind w:firstLine="420"/>
      </w:pPr>
      <w:r>
        <w:rPr>
          <w:rFonts w:ascii="Times New Roman" w:hAnsi="Times New Roman" w:eastAsia="宋体"/>
          <w:color w:val="000000"/>
        </w:rPr>
        <w:t>DEA（Data Envelopment Analysis）是一种非参数效率评价方法，通过线性规划构建生产前沿面，评价决策单元的相对效率。DEA的核心思想是：效率最高的决策单元构成"效率前沿"，其他决策单元的效率通过与前沿的比较来确定。</w:t>
      </w:r>
    </w:p>
    <w:p>
      <w:pPr>
        <w:spacing w:line="360" w:lineRule="auto" w:after="0" w:before="0"/>
        <w:ind w:firstLine="420"/>
      </w:pPr>
      <w:r>
        <w:rPr>
          <w:rFonts w:ascii="Times New Roman" w:hAnsi="Times New Roman" w:eastAsia="宋体"/>
          <w:color w:val="000000"/>
        </w:rPr>
        <w:t>本研究采用DEA-BCC模型（Banker-Charnes-Cooper模型），该模型假设规模报酬可变，适用于公共部门效率评价。DEA-BCC模型的数学表述如下。</w:t>
      </w:r>
    </w:p>
    <w:p>
      <w:pPr>
        <w:spacing w:line="360" w:lineRule="auto" w:after="0" w:before="0"/>
        <w:ind w:firstLine="420"/>
      </w:pPr>
      <w:r>
        <w:rPr>
          <w:rFonts w:ascii="Times New Roman" w:hAnsi="Times New Roman" w:eastAsia="宋体"/>
          <w:color w:val="000000"/>
        </w:rPr>
        <w:t>设每个决策单元（平台）有s个产出指标和t个投入指标。对于第k个平台，效率评价模型为：</w:t>
      </w:r>
    </w:p>
    <w:p>
      <w:pPr>
        <w:spacing w:line="360" w:lineRule="auto" w:after="0" w:before="0"/>
        <w:ind w:firstLine="420"/>
      </w:pPr>
      <w:r>
        <w:rPr>
          <w:rFonts w:ascii="Times New Roman" w:hAnsi="Times New Roman" w:eastAsia="宋体"/>
          <w:color w:val="000000"/>
        </w:rPr>
        <w:t>min θ_k</w:t>
      </w:r>
    </w:p>
    <w:p>
      <w:pPr>
        <w:spacing w:line="360" w:lineRule="auto" w:after="0" w:before="0"/>
        <w:ind w:firstLine="420"/>
      </w:pPr>
      <w:r>
        <w:rPr>
          <w:rFonts w:ascii="Times New Roman" w:hAnsi="Times New Roman" w:eastAsia="宋体"/>
          <w:color w:val="000000"/>
        </w:rPr>
        <w:t>s.t. Σλ_i × x_ij ≤ θ_k × x_kj, j=1,2,...,t</w:t>
      </w:r>
    </w:p>
    <w:p>
      <w:pPr>
        <w:spacing w:line="360" w:lineRule="auto" w:after="0" w:before="0"/>
        <w:ind w:firstLine="420"/>
      </w:pPr>
      <w:r>
        <w:rPr>
          <w:rFonts w:ascii="Times New Roman" w:hAnsi="Times New Roman" w:eastAsia="宋体"/>
          <w:color w:val="000000"/>
        </w:rPr>
        <w:t>Σλ_i × y_ir ≥ y_kr, r=1,2,...,s</w:t>
      </w:r>
    </w:p>
    <w:p>
      <w:pPr>
        <w:spacing w:line="360" w:lineRule="auto" w:after="0" w:before="0"/>
        <w:ind w:firstLine="420"/>
      </w:pPr>
      <w:r>
        <w:rPr>
          <w:rFonts w:ascii="Times New Roman" w:hAnsi="Times New Roman" w:eastAsia="宋体"/>
          <w:color w:val="000000"/>
        </w:rPr>
        <w:t>Σλ_i = 1</w:t>
      </w:r>
    </w:p>
    <w:p>
      <w:pPr>
        <w:spacing w:line="360" w:lineRule="auto" w:after="0" w:before="0"/>
        <w:ind w:firstLine="420"/>
      </w:pPr>
      <w:r>
        <w:rPr>
          <w:rFonts w:ascii="Times New Roman" w:hAnsi="Times New Roman" w:eastAsia="宋体"/>
          <w:color w:val="000000"/>
        </w:rPr>
        <w:t>λ_i ≥ 0, i=1,2,...,m</w:t>
      </w:r>
    </w:p>
    <w:p>
      <w:pPr>
        <w:spacing w:line="360" w:lineRule="auto" w:after="0" w:before="0"/>
        <w:ind w:firstLine="420"/>
      </w:pPr>
      <w:r>
        <w:rPr>
          <w:rFonts w:ascii="Times New Roman" w:hAnsi="Times New Roman" w:eastAsia="宋体"/>
          <w:color w:val="000000"/>
        </w:rPr>
        <w:t>其中，θ_k为第k个平台的效率值（0≤θ_k≤1），λ_i为权重变量，x_ij为投入指标，y_ir为产出指标。当θ_k=1时，平台位于效率前沿上，为DEA有效；当θ_k&lt;1时，平台为DEA无效，存在效率改进空间。</w:t>
      </w:r>
    </w:p>
    <w:p>
      <w:pPr>
        <w:spacing w:line="360" w:lineRule="auto" w:after="0" w:before="0"/>
        <w:ind w:firstLine="420"/>
      </w:pPr>
      <w:r>
        <w:rPr>
          <w:rFonts w:ascii="Times New Roman" w:hAnsi="Times New Roman" w:eastAsia="宋体"/>
          <w:color w:val="000000"/>
        </w:rPr>
        <w:t>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spacing w:line="360" w:lineRule="auto" w:after="0" w:before="0"/>
        <w:ind w:firstLine="420"/>
      </w:pPr>
      <w:r>
        <w:rPr>
          <w:rFonts w:ascii="Times New Roman" w:hAnsi="Times New Roman" w:eastAsia="宋体"/>
          <w:color w:val="000000"/>
        </w:rPr>
        <w:t>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p>
      <w:pPr>
        <w:spacing w:line="360" w:lineRule="auto" w:after="0" w:before="0"/>
      </w:pPr>
      <w:r>
        <w:rPr>
          <w:rFonts w:ascii="Times New Roman" w:hAnsi="Times New Roman" w:eastAsia="黑体"/>
          <w:b/>
          <w:color w:val="000000"/>
          <w:sz w:val="24"/>
        </w:rPr>
        <w:t>4.5 影响因素分析方法</w:t>
      </w:r>
    </w:p>
    <w:p>
      <w:pPr>
        <w:spacing w:line="360" w:lineRule="auto" w:after="0" w:before="0"/>
        <w:ind w:firstLine="420"/>
      </w:pPr>
      <w:r>
        <w:rPr>
          <w:rFonts w:ascii="Times New Roman" w:hAnsi="Times New Roman" w:eastAsia="黑体"/>
          <w:b/>
          <w:color w:val="000000"/>
          <w:sz w:val="24"/>
        </w:rPr>
        <w:t>4.5.1 DEMATEL因素关联分析方法</w:t>
      </w:r>
    </w:p>
    <w:p>
      <w:pPr>
        <w:spacing w:line="360" w:lineRule="auto" w:after="0" w:before="0"/>
        <w:ind w:firstLine="420"/>
      </w:pPr>
      <w:r>
        <w:rPr>
          <w:rFonts w:ascii="Times New Roman" w:hAnsi="Times New Roman" w:eastAsia="宋体"/>
          <w:color w:val="000000"/>
        </w:rPr>
        <w:t>DEMATEL（Decision Making Trial and Evaluation Laboratory）是一种基于图论的因素关联分析方法，通过分析因素之间的直接影响矩阵，计算因素的中心度（影响其他因素的程度）和原因度（被其他因素影响的程度），识别因素之间的因果关系和传导路径。</w:t>
      </w:r>
    </w:p>
    <w:p>
      <w:pPr>
        <w:spacing w:line="360" w:lineRule="auto" w:after="0" w:before="0"/>
        <w:ind w:firstLine="420"/>
      </w:pPr>
      <w:r>
        <w:rPr>
          <w:rFonts w:ascii="Times New Roman" w:hAnsi="Times New Roman" w:eastAsia="宋体"/>
          <w:color w:val="000000"/>
        </w:rPr>
        <w:t>DEMATEL方法的步骤如下。</w:t>
      </w:r>
    </w:p>
    <w:p>
      <w:pPr>
        <w:spacing w:line="360" w:lineRule="auto" w:after="0" w:before="0"/>
        <w:ind w:firstLine="420"/>
      </w:pPr>
      <w:r>
        <w:rPr>
          <w:rFonts w:ascii="Times New Roman" w:hAnsi="Times New Roman" w:eastAsia="宋体"/>
          <w:color w:val="000000"/>
        </w:rPr>
        <w:t>步骤一：构建直接影响矩阵。 邀请专家对因素之间的直接影响关系进行评分，采用0-4标度（0表示无影响，1表示弱影响，2表示中等影响，3表示强影响，4表示极强影响），构建直接影响矩阵A=(a_ij)。</w:t>
      </w:r>
    </w:p>
    <w:p>
      <w:pPr>
        <w:spacing w:line="360" w:lineRule="auto" w:after="0" w:before="0"/>
        <w:ind w:firstLine="420"/>
      </w:pPr>
      <w:r>
        <w:rPr>
          <w:rFonts w:ascii="Times New Roman" w:hAnsi="Times New Roman" w:eastAsia="宋体"/>
          <w:color w:val="000000"/>
        </w:rPr>
        <w:t>步骤二：规范化处理。 对直接影响矩阵进行规范化处理，得到规范化影响矩阵G=(g_ij)，其中g_ij = a_ij / max(Σa_ij)。</w:t>
      </w:r>
    </w:p>
    <w:p>
      <w:pPr>
        <w:spacing w:line="360" w:lineRule="auto" w:after="0" w:before="0"/>
        <w:ind w:firstLine="420"/>
      </w:pPr>
      <w:r>
        <w:rPr>
          <w:rFonts w:ascii="Times New Roman" w:hAnsi="Times New Roman" w:eastAsia="宋体"/>
          <w:color w:val="000000"/>
        </w:rPr>
        <w:t>步骤三：计算综合影响矩阵。 综合影响矩阵T = G(I-G)^(-1)，其中I为单位矩阵。T中的元素t_ij表示因素i对因素j的直接和间接影响之和。</w:t>
      </w:r>
    </w:p>
    <w:p>
      <w:pPr>
        <w:spacing w:line="360" w:lineRule="auto" w:after="0" w:before="0"/>
        <w:ind w:firstLine="420"/>
      </w:pPr>
      <w:r>
        <w:rPr>
          <w:rFonts w:ascii="Times New Roman" w:hAnsi="Times New Roman" w:eastAsia="宋体"/>
          <w:color w:val="000000"/>
        </w:rPr>
        <w:t>步骤四：计算中心度和原因度。 因素i的中心度（影响其他因素的总程度）M_i = Σt_ij + Σt_ji；因素i的原因度（影响与被影响的差值）N_i = Σt_ij - Σt_ji。中心度高的因素在因素网络中处于核心位置；原因度为正的因素是"原因因素"（影响其他因素多于被其他因素影响），原因度为负的因素是"结果因素"（被其他因素影响多于影响其他因素）。</w:t>
      </w:r>
    </w:p>
    <w:p>
      <w:pPr>
        <w:spacing w:line="360" w:lineRule="auto" w:after="0" w:before="0"/>
        <w:ind w:firstLine="420"/>
      </w:pPr>
      <w:r>
        <w:rPr>
          <w:rFonts w:ascii="Times New Roman" w:hAnsi="Times New Roman" w:eastAsia="宋体"/>
          <w:color w:val="000000"/>
        </w:rPr>
        <w:t>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p>
      <w:pPr>
        <w:spacing w:line="360" w:lineRule="auto" w:after="0" w:before="0"/>
        <w:ind w:firstLine="420"/>
      </w:pPr>
      <w:r>
        <w:rPr>
          <w:rFonts w:ascii="Times New Roman" w:hAnsi="Times New Roman" w:eastAsia="黑体"/>
          <w:b/>
          <w:color w:val="000000"/>
          <w:sz w:val="24"/>
        </w:rPr>
        <w:t>4.5.2 fsQCA组态分析方法</w:t>
      </w:r>
    </w:p>
    <w:p>
      <w:pPr>
        <w:spacing w:line="360" w:lineRule="auto" w:after="0" w:before="0"/>
        <w:ind w:firstLine="420"/>
      </w:pPr>
      <w:r>
        <w:rPr>
          <w:rFonts w:ascii="Times New Roman" w:hAnsi="Times New Roman" w:eastAsia="宋体"/>
          <w:color w:val="000000"/>
        </w:rPr>
        <w:t>fsQCA（fuzzy-set Qualitative Comparative 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spacing w:line="360" w:lineRule="auto" w:after="0" w:before="0"/>
        <w:ind w:firstLine="420"/>
      </w:pPr>
      <w:r>
        <w:rPr>
          <w:rFonts w:ascii="Times New Roman" w:hAnsi="Times New Roman" w:eastAsia="宋体"/>
          <w:color w:val="000000"/>
        </w:rPr>
        <w:t>fsQCA方法的步骤如下。</w:t>
      </w:r>
    </w:p>
    <w:p>
      <w:pPr>
        <w:spacing w:line="360" w:lineRule="auto" w:after="0" w:before="0"/>
        <w:ind w:firstLine="420"/>
      </w:pPr>
      <w:r>
        <w:rPr>
          <w:rFonts w:ascii="Times New Roman" w:hAnsi="Times New Roman" w:eastAsia="宋体"/>
          <w:color w:val="000000"/>
        </w:rPr>
        <w:t>步骤一：变量校准。 将原始数据转化为0-1之间的模糊集隶属度分数。校准需要设定三个锚点：完全隶属（1.0）、交叉点（0.5）、完全不隶属（0.0）。本研究采用直接校准法，基于样本数据的分位数设定锚点。</w:t>
      </w:r>
    </w:p>
    <w:p>
      <w:pPr>
        <w:spacing w:line="360" w:lineRule="auto" w:after="0" w:before="0"/>
        <w:ind w:firstLine="420"/>
      </w:pPr>
      <w:r>
        <w:rPr>
          <w:rFonts w:ascii="Times New Roman" w:hAnsi="Times New Roman" w:eastAsia="宋体"/>
          <w:color w:val="000000"/>
        </w:rPr>
        <w:t>步骤二：构建真值表。 列出所有可能的条件组合（2^k个，k为条件变量数），计算每个条件组合下的案例数量和结果一致性。对于案例数量过少（通常&lt;1）或一致性过低（通常&lt;0.8）的组合，标记为"逻辑余项"。</w:t>
      </w:r>
    </w:p>
    <w:p>
      <w:pPr>
        <w:spacing w:line="360" w:lineRule="auto" w:after="0" w:before="0"/>
        <w:ind w:firstLine="420"/>
      </w:pPr>
      <w:r>
        <w:rPr>
          <w:rFonts w:ascii="Times New Roman" w:hAnsi="Times New Roman" w:eastAsia="宋体"/>
          <w:color w:val="000000"/>
        </w:rPr>
        <w:t>步骤三：布尔最小化。 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spacing w:line="360" w:lineRule="auto" w:after="0" w:before="0"/>
        <w:ind w:firstLine="420"/>
      </w:pPr>
      <w:r>
        <w:rPr>
          <w:rFonts w:ascii="Times New Roman" w:hAnsi="Times New Roman" w:eastAsia="宋体"/>
          <w:color w:val="000000"/>
        </w:rPr>
        <w:t>步骤四：结果解释。 分析简约解中的核心条件（在所有解中都出现的条件）和边缘条件（在部分解中出现的条件），解释各路径的理论含义。</w:t>
      </w:r>
    </w:p>
    <w:p>
      <w:pPr>
        <w:spacing w:line="360" w:lineRule="auto" w:after="0" w:before="0"/>
        <w:ind w:firstLine="420"/>
      </w:pPr>
      <w:r>
        <w:rPr>
          <w:rFonts w:ascii="Times New Roman" w:hAnsi="Times New Roman" w:eastAsia="宋体"/>
          <w:color w:val="000000"/>
        </w:rPr>
        <w:t>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p>
      <w:pPr>
        <w:spacing w:line="360" w:lineRule="auto" w:after="0" w:before="0"/>
      </w:pPr>
      <w:r>
        <w:rPr>
          <w:rFonts w:ascii="Times New Roman" w:hAnsi="Times New Roman" w:eastAsia="黑体"/>
          <w:b/>
          <w:color w:val="000000"/>
          <w:sz w:val="24"/>
        </w:rPr>
        <w:t>4.6 信度与效度检验</w:t>
      </w:r>
    </w:p>
    <w:p>
      <w:pPr>
        <w:spacing w:line="360" w:lineRule="auto" w:after="0" w:before="0"/>
        <w:ind w:firstLine="420"/>
      </w:pPr>
      <w:r>
        <w:rPr>
          <w:rFonts w:ascii="Times New Roman" w:hAnsi="Times New Roman" w:eastAsia="黑体"/>
          <w:b/>
          <w:color w:val="000000"/>
          <w:sz w:val="24"/>
        </w:rPr>
        <w:t>4.6.1 信度检验</w:t>
      </w:r>
    </w:p>
    <w:p>
      <w:pPr>
        <w:spacing w:line="360" w:lineRule="auto" w:after="0" w:before="0"/>
        <w:ind w:firstLine="420"/>
      </w:pPr>
      <w:r>
        <w:rPr>
          <w:rFonts w:ascii="Times New Roman" w:hAnsi="Times New Roman" w:eastAsia="宋体"/>
          <w:color w:val="000000"/>
        </w:rPr>
        <w:t>信度（Reliability）是指测量工具的稳定性和一致性，即多次测量结果的一致程度。本研究从以下方面检验信度。</w:t>
      </w:r>
    </w:p>
    <w:p>
      <w:pPr>
        <w:spacing w:line="360" w:lineRule="auto" w:after="0" w:before="0"/>
        <w:ind w:firstLine="420"/>
      </w:pPr>
      <w:r>
        <w:rPr>
          <w:rFonts w:ascii="Times New Roman" w:hAnsi="Times New Roman" w:eastAsia="宋体"/>
          <w:color w:val="000000"/>
        </w:rPr>
        <w:t>重测信度。 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spacing w:line="360" w:lineRule="auto" w:after="0" w:before="0"/>
        <w:ind w:firstLine="420"/>
      </w:pPr>
      <w:r>
        <w:rPr>
          <w:rFonts w:ascii="Times New Roman" w:hAnsi="Times New Roman" w:eastAsia="宋体"/>
          <w:color w:val="000000"/>
        </w:rPr>
        <w:t>评分者信度。 对于需要人工评分的指标（如数据质量、平台用户体验），检验不同评分者之间的一致性。本研究采用Cohen's Kappa系数评估评分者信度，结果显示Kappa=0.82（p&lt;0.001），属于"几乎完全一致"水平。</w:t>
      </w:r>
    </w:p>
    <w:p>
      <w:pPr>
        <w:spacing w:line="360" w:lineRule="auto" w:after="0" w:before="0"/>
        <w:ind w:firstLine="420"/>
      </w:pPr>
      <w:r>
        <w:rPr>
          <w:rFonts w:ascii="Times New Roman" w:hAnsi="Times New Roman" w:eastAsia="宋体"/>
          <w:color w:val="000000"/>
        </w:rPr>
        <w:t>内部一致性。 检验同一维度下各指标之间的相关性。本研究采用Cronbach's α系数评估内部一致性，五个维度的α系数分别为：供给保障0.85、平台服务0.81、数据质量0.88、利用效果0.79、公平性0.76，均大于0.7的可接受标准。</w:t>
      </w:r>
    </w:p>
    <w:p>
      <w:pPr>
        <w:spacing w:line="360" w:lineRule="auto" w:after="0" w:before="0"/>
        <w:ind w:firstLine="420"/>
      </w:pPr>
      <w:r>
        <w:rPr>
          <w:rFonts w:ascii="Times New Roman" w:hAnsi="Times New Roman" w:eastAsia="黑体"/>
          <w:b/>
          <w:color w:val="000000"/>
          <w:sz w:val="24"/>
        </w:rPr>
        <w:t>4.6.2 效度检验</w:t>
      </w:r>
    </w:p>
    <w:p>
      <w:pPr>
        <w:spacing w:line="360" w:lineRule="auto" w:after="0" w:before="0"/>
        <w:ind w:firstLine="420"/>
      </w:pPr>
      <w:r>
        <w:rPr>
          <w:rFonts w:ascii="Times New Roman" w:hAnsi="Times New Roman" w:eastAsia="宋体"/>
          <w:color w:val="000000"/>
        </w:rPr>
        <w:t>效度（Validity）是指测量工具测量其所声称要测量的概念的程度。本研究从以下方面检验效度。</w:t>
      </w:r>
    </w:p>
    <w:p>
      <w:pPr>
        <w:spacing w:line="360" w:lineRule="auto" w:after="0" w:before="0"/>
        <w:ind w:firstLine="420"/>
      </w:pPr>
      <w:r>
        <w:rPr>
          <w:rFonts w:ascii="Times New Roman" w:hAnsi="Times New Roman" w:eastAsia="宋体"/>
          <w:color w:val="000000"/>
        </w:rPr>
        <w:t>内容效度。 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spacing w:line="360" w:lineRule="auto" w:after="0" w:before="0"/>
        <w:ind w:firstLine="420"/>
      </w:pPr>
      <w:r>
        <w:rPr>
          <w:rFonts w:ascii="Times New Roman" w:hAnsi="Times New Roman" w:eastAsia="宋体"/>
          <w:color w:val="000000"/>
        </w:rPr>
        <w:t>结构效度。 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spacing w:line="360" w:lineRule="auto" w:after="0" w:before="0"/>
        <w:ind w:firstLine="420"/>
      </w:pPr>
      <w:r>
        <w:rPr>
          <w:rFonts w:ascii="Times New Roman" w:hAnsi="Times New Roman" w:eastAsia="宋体"/>
          <w:color w:val="000000"/>
        </w:rPr>
        <w:t>效标效度。 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p>
      <w:pPr>
        <w:spacing w:line="360" w:lineRule="auto" w:after="0" w:before="0"/>
        <w:ind w:firstLine="420"/>
      </w:pPr>
      <w:r>
        <w:rPr>
          <w:rFonts w:ascii="Times New Roman" w:hAnsi="Times New Roman" w:eastAsia="黑体"/>
          <w:b/>
          <w:color w:val="000000"/>
          <w:sz w:val="24"/>
        </w:rPr>
        <w:t>4.6.3 研究伦理</w:t>
      </w:r>
    </w:p>
    <w:p>
      <w:pPr>
        <w:spacing w:line="360" w:lineRule="auto" w:after="0" w:before="0"/>
        <w:ind w:firstLine="420"/>
      </w:pPr>
      <w:r>
        <w:rPr>
          <w:rFonts w:ascii="Times New Roman" w:hAnsi="Times New Roman" w:eastAsia="宋体"/>
          <w:color w:val="000000"/>
        </w:rPr>
        <w:t>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第绩效评估</w:t>
      </w:r>
    </w:p>
    <w:p>
      <w:pPr>
        <w:spacing w:line="360" w:lineRule="auto" w:after="0" w:before="0"/>
      </w:pPr>
      <w:r>
        <w:rPr>
          <w:rFonts w:ascii="Times New Roman" w:hAnsi="Times New Roman" w:eastAsia="黑体"/>
          <w:b/>
          <w:color w:val="000000"/>
          <w:sz w:val="24"/>
        </w:rPr>
        <w:t>5.1 数据来源与样本描述</w:t>
      </w:r>
    </w:p>
    <w:p>
      <w:pPr>
        <w:spacing w:line="360" w:lineRule="auto" w:after="0" w:before="0"/>
        <w:ind w:firstLine="420"/>
      </w:pPr>
      <w:r>
        <w:rPr>
          <w:rFonts w:ascii="Times New Roman" w:hAnsi="Times New Roman" w:eastAsia="黑体"/>
          <w:b/>
          <w:color w:val="000000"/>
          <w:sz w:val="24"/>
        </w:rPr>
        <w:t>5.1.1 样本平台基本特征</w:t>
      </w:r>
    </w:p>
    <w:p>
      <w:pPr>
        <w:spacing w:line="360" w:lineRule="auto" w:after="0" w:before="0"/>
        <w:ind w:firstLine="420"/>
      </w:pPr>
      <w:r>
        <w:rPr>
          <w:rFonts w:ascii="Times New Roman" w:hAnsi="Times New Roman" w:eastAsia="宋体"/>
          <w:color w:val="000000"/>
        </w:rPr>
        <w:t>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spacing w:line="360" w:lineRule="auto" w:after="0" w:before="0"/>
        <w:ind w:firstLine="420"/>
      </w:pPr>
      <w:r>
        <w:rPr>
          <w:rFonts w:ascii="Times New Roman" w:hAnsi="Times New Roman" w:eastAsia="宋体"/>
          <w:color w:val="000000"/>
        </w:rPr>
        <w:t>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spacing w:line="360" w:lineRule="auto" w:after="0" w:before="0"/>
        <w:ind w:firstLine="420"/>
      </w:pPr>
      <w:r>
        <w:rPr>
          <w:rFonts w:ascii="Times New Roman" w:hAnsi="Times New Roman" w:eastAsia="宋体"/>
          <w:color w:val="000000"/>
        </w:rPr>
        <w:t>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p>
      <w:pPr>
        <w:spacing w:line="360" w:lineRule="auto" w:after="0" w:before="0"/>
        <w:ind w:firstLine="420"/>
      </w:pPr>
      <w:r>
        <w:rPr>
          <w:rFonts w:ascii="Times New Roman" w:hAnsi="Times New Roman" w:eastAsia="黑体"/>
          <w:b/>
          <w:color w:val="000000"/>
          <w:sz w:val="24"/>
        </w:rPr>
        <w:t>5.1.2 数据描述性统计</w:t>
      </w:r>
    </w:p>
    <w:p>
      <w:pPr>
        <w:spacing w:line="360" w:lineRule="auto" w:after="0" w:before="0"/>
        <w:ind w:firstLine="420"/>
      </w:pPr>
      <w:r>
        <w:rPr>
          <w:rFonts w:ascii="Times New Roman" w:hAnsi="Times New Roman" w:eastAsia="宋体"/>
          <w:color w:val="000000"/>
        </w:rPr>
        <w:t>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spacing w:line="360" w:lineRule="auto" w:after="0" w:before="0"/>
        <w:ind w:firstLine="420"/>
      </w:pPr>
      <w:r>
        <w:rPr>
          <w:rFonts w:ascii="Times New Roman" w:hAnsi="Times New Roman" w:eastAsia="宋体"/>
          <w:color w:val="000000"/>
        </w:rPr>
        <w:t>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spacing w:line="360" w:lineRule="auto" w:after="0" w:before="0"/>
        <w:ind w:firstLine="420"/>
      </w:pPr>
      <w:r>
        <w:rPr>
          <w:rFonts w:ascii="Times New Roman" w:hAnsi="Times New Roman" w:eastAsia="宋体"/>
          <w:color w:val="000000"/>
        </w:rPr>
        <w:t>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spacing w:line="360" w:lineRule="auto" w:after="0" w:before="0"/>
        <w:ind w:firstLine="420"/>
      </w:pPr>
      <w:r>
        <w:rPr>
          <w:rFonts w:ascii="Times New Roman" w:hAnsi="Times New Roman" w:eastAsia="宋体"/>
          <w:color w:val="000000"/>
        </w:rPr>
        <w:t>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p>
      <w:pPr>
        <w:spacing w:line="360" w:lineRule="auto" w:after="0" w:before="0"/>
      </w:pPr>
      <w:r>
        <w:rPr>
          <w:rFonts w:ascii="Times New Roman" w:hAnsi="Times New Roman" w:eastAsia="黑体"/>
          <w:b/>
          <w:color w:val="000000"/>
          <w:sz w:val="24"/>
        </w:rPr>
        <w:t>5.2 绩效评估结果</w:t>
      </w:r>
    </w:p>
    <w:p>
      <w:pPr>
        <w:spacing w:line="360" w:lineRule="auto" w:after="0" w:before="0"/>
        <w:ind w:firstLine="420"/>
      </w:pPr>
      <w:r>
        <w:rPr>
          <w:rFonts w:ascii="Times New Roman" w:hAnsi="Times New Roman" w:eastAsia="黑体"/>
          <w:b/>
          <w:color w:val="000000"/>
          <w:sz w:val="24"/>
        </w:rPr>
        <w:t>5.2.1 TOPSIS综合绩效评估</w:t>
      </w:r>
    </w:p>
    <w:p>
      <w:pPr>
        <w:spacing w:line="360" w:lineRule="auto" w:after="0" w:before="0"/>
        <w:ind w:firstLine="420"/>
      </w:pPr>
      <w:r>
        <w:rPr>
          <w:rFonts w:ascii="Times New Roman" w:hAnsi="Times New Roman" w:eastAsia="宋体"/>
          <w:color w:val="000000"/>
        </w:rPr>
        <w:t>运用熵权-TOPSIS方法对22个样本平台进行综合绩效评估，结果如表5-1所示。</w:t>
      </w:r>
    </w:p>
    <w:p>
      <w:pPr>
        <w:spacing w:line="360" w:lineRule="auto" w:after="0" w:before="0"/>
        <w:ind w:firstLine="420"/>
      </w:pPr>
      <w:r>
        <w:rPr>
          <w:rFonts w:ascii="Times New Roman" w:hAnsi="Times New Roman" w:eastAsia="宋体"/>
          <w:color w:val="000000"/>
        </w:rPr>
        <w:t>表5-1 22个样本平台TOPSIS绩效评估结果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排名</w:t>
            </w:r>
          </w:p>
        </w:tc>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TOPSIS得分</w:t>
            </w:r>
          </w:p>
        </w:tc>
        <w:tc>
          <w:tcPr>
            <w:tcW w:type="dxa" w:w="1441"/>
            <w:tcBorders/>
          </w:tcPr>
          <w:p>
            <w:pPr>
              <w:jc w:val="center"/>
            </w:pPr>
            <w:r>
              <w:rPr>
                <w:rFonts w:ascii="Times New Roman" w:hAnsi="Times New Roman" w:eastAsia="宋体"/>
                <w:b/>
                <w:sz w:val="21"/>
              </w:rPr>
              <w:t>绩效梯队</w:t>
            </w:r>
          </w:p>
        </w:tc>
        <w:tc>
          <w:tcPr>
            <w:tcW w:type="dxa" w:w="1441"/>
            <w:tcBorders/>
          </w:tcPr>
          <w:p>
            <w:pPr>
              <w:jc w:val="center"/>
            </w:pPr>
            <w:r>
              <w:rPr>
                <w:rFonts w:ascii="Times New Roman" w:hAnsi="Times New Roman" w:eastAsia="宋体"/>
                <w:b/>
                <w:sz w:val="21"/>
              </w:rPr>
              <w:t>优势维度</w:t>
            </w:r>
          </w:p>
        </w:tc>
        <w:tc>
          <w:tcPr>
            <w:tcW w:type="dxa" w:w="1441"/>
            <w:tcBorders/>
          </w:tcPr>
          <w:p>
            <w:pPr>
              <w:jc w:val="center"/>
            </w:pPr>
            <w:r>
              <w:rPr>
                <w:rFonts w:ascii="Times New Roman" w:hAnsi="Times New Roman" w:eastAsia="宋体"/>
                <w:b/>
                <w:sz w:val="21"/>
              </w:rPr>
              <w:t>短板维度</w:t>
            </w:r>
          </w:p>
        </w:tc>
      </w:tr>
      <w:tr>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0.791</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利用效果、平台服务</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0.782</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供给保障、利用效果</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0.741</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平台服务</w:t>
            </w:r>
          </w:p>
        </w:tc>
      </w:tr>
      <w:tr>
        <w:tc>
          <w:tcPr>
            <w:tcW w:type="dxa" w:w="1441"/>
            <w:tcBorders/>
          </w:tcPr>
          <w:p>
            <w:pPr>
              <w:jc w:val="center"/>
            </w:pPr>
            <w:r>
              <w:rPr>
                <w:rFonts w:ascii="Times New Roman" w:hAnsi="Times New Roman" w:eastAsia="宋体"/>
                <w:sz w:val="21"/>
              </w:rPr>
              <w:t>4</w:t>
            </w:r>
          </w:p>
        </w:tc>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0.608</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0.555</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0.522</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数据质量、平台服务</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7</w:t>
            </w:r>
          </w:p>
        </w:tc>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0.519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平台服务、数据质量</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8</w:t>
            </w:r>
          </w:p>
        </w:tc>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0.484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河南</w:t>
            </w:r>
          </w:p>
        </w:tc>
        <w:tc>
          <w:tcPr>
            <w:tcW w:type="dxa" w:w="1441"/>
            <w:tcBorders/>
          </w:tcPr>
          <w:p>
            <w:pPr>
              <w:jc w:val="center"/>
            </w:pPr>
            <w:r>
              <w:rPr>
                <w:rFonts w:ascii="Times New Roman" w:hAnsi="Times New Roman" w:eastAsia="宋体"/>
                <w:sz w:val="21"/>
              </w:rPr>
              <w:t>0.469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10</w:t>
            </w:r>
          </w:p>
        </w:tc>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0.442</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11</w:t>
            </w:r>
          </w:p>
        </w:tc>
        <w:tc>
          <w:tcPr>
            <w:tcW w:type="dxa" w:w="1441"/>
            <w:tcBorders/>
          </w:tcPr>
          <w:p>
            <w:pPr>
              <w:jc w:val="center"/>
            </w:pPr>
            <w:r>
              <w:rPr>
                <w:rFonts w:ascii="Times New Roman" w:hAnsi="Times New Roman" w:eastAsia="宋体"/>
                <w:sz w:val="21"/>
              </w:rPr>
              <w:t>江西</w:t>
            </w:r>
          </w:p>
        </w:tc>
        <w:tc>
          <w:tcPr>
            <w:tcW w:type="dxa" w:w="1441"/>
            <w:tcBorders/>
          </w:tcPr>
          <w:p>
            <w:pPr>
              <w:jc w:val="center"/>
            </w:pPr>
            <w:r>
              <w:rPr>
                <w:rFonts w:ascii="Times New Roman" w:hAnsi="Times New Roman" w:eastAsia="宋体"/>
                <w:sz w:val="21"/>
              </w:rPr>
              <w:t>0.437</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0.414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广西</w:t>
            </w:r>
          </w:p>
        </w:tc>
        <w:tc>
          <w:tcPr>
            <w:tcW w:type="dxa" w:w="1441"/>
            <w:tcBorders/>
          </w:tcPr>
          <w:p>
            <w:pPr>
              <w:jc w:val="center"/>
            </w:pPr>
            <w:r>
              <w:rPr>
                <w:rFonts w:ascii="Times New Roman" w:hAnsi="Times New Roman" w:eastAsia="宋体"/>
                <w:sz w:val="21"/>
              </w:rPr>
              <w:t>0.389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湖南</w:t>
            </w:r>
          </w:p>
        </w:tc>
        <w:tc>
          <w:tcPr>
            <w:tcW w:type="dxa" w:w="1441"/>
            <w:tcBorders/>
          </w:tcPr>
          <w:p>
            <w:pPr>
              <w:jc w:val="center"/>
            </w:pPr>
            <w:r>
              <w:rPr>
                <w:rFonts w:ascii="Times New Roman" w:hAnsi="Times New Roman" w:eastAsia="宋体"/>
                <w:sz w:val="21"/>
              </w:rPr>
              <w:t>0.386</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安徽</w:t>
            </w:r>
          </w:p>
        </w:tc>
        <w:tc>
          <w:tcPr>
            <w:tcW w:type="dxa" w:w="1441"/>
            <w:tcBorders/>
          </w:tcPr>
          <w:p>
            <w:pPr>
              <w:jc w:val="center"/>
            </w:pPr>
            <w:r>
              <w:rPr>
                <w:rFonts w:ascii="Times New Roman" w:hAnsi="Times New Roman" w:eastAsia="宋体"/>
                <w:sz w:val="21"/>
              </w:rPr>
              <w:t>0.354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16</w:t>
            </w:r>
          </w:p>
        </w:tc>
        <w:tc>
          <w:tcPr>
            <w:tcW w:type="dxa" w:w="1441"/>
            <w:tcBorders/>
          </w:tcPr>
          <w:p>
            <w:pPr>
              <w:jc w:val="center"/>
            </w:pPr>
            <w:r>
              <w:rPr>
                <w:rFonts w:ascii="Times New Roman" w:hAnsi="Times New Roman" w:eastAsia="宋体"/>
                <w:sz w:val="21"/>
              </w:rPr>
              <w:t>海南</w:t>
            </w:r>
          </w:p>
        </w:tc>
        <w:tc>
          <w:tcPr>
            <w:tcW w:type="dxa" w:w="1441"/>
            <w:tcBorders/>
          </w:tcPr>
          <w:p>
            <w:pPr>
              <w:jc w:val="center"/>
            </w:pPr>
            <w:r>
              <w:rPr>
                <w:rFonts w:ascii="Times New Roman" w:hAnsi="Times New Roman" w:eastAsia="宋体"/>
                <w:sz w:val="21"/>
              </w:rPr>
              <w:t>0.346</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17</w:t>
            </w:r>
          </w:p>
        </w:tc>
        <w:tc>
          <w:tcPr>
            <w:tcW w:type="dxa" w:w="1441"/>
            <w:tcBorders/>
          </w:tcPr>
          <w:p>
            <w:pPr>
              <w:jc w:val="center"/>
            </w:pPr>
            <w:r>
              <w:rPr>
                <w:rFonts w:ascii="Times New Roman" w:hAnsi="Times New Roman" w:eastAsia="宋体"/>
                <w:sz w:val="21"/>
              </w:rPr>
              <w:t>辽宁</w:t>
            </w:r>
          </w:p>
        </w:tc>
        <w:tc>
          <w:tcPr>
            <w:tcW w:type="dxa" w:w="1441"/>
            <w:tcBorders/>
          </w:tcPr>
          <w:p>
            <w:pPr>
              <w:jc w:val="center"/>
            </w:pPr>
            <w:r>
              <w:rPr>
                <w:rFonts w:ascii="Times New Roman" w:hAnsi="Times New Roman" w:eastAsia="宋体"/>
                <w:sz w:val="21"/>
              </w:rPr>
              <w:t>0.317</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18</w:t>
            </w:r>
          </w:p>
        </w:tc>
        <w:tc>
          <w:tcPr>
            <w:tcW w:type="dxa" w:w="1441"/>
            <w:tcBorders/>
          </w:tcPr>
          <w:p>
            <w:pPr>
              <w:jc w:val="center"/>
            </w:pPr>
            <w:r>
              <w:rPr>
                <w:rFonts w:ascii="Times New Roman" w:hAnsi="Times New Roman" w:eastAsia="宋体"/>
                <w:sz w:val="21"/>
              </w:rPr>
              <w:t>河北</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19</w:t>
            </w:r>
          </w:p>
        </w:tc>
        <w:tc>
          <w:tcPr>
            <w:tcW w:type="dxa" w:w="1441"/>
            <w:tcBorders/>
          </w:tcPr>
          <w:p>
            <w:pPr>
              <w:jc w:val="center"/>
            </w:pPr>
            <w:r>
              <w:rPr>
                <w:rFonts w:ascii="Times New Roman" w:hAnsi="Times New Roman" w:eastAsia="宋体"/>
                <w:sz w:val="21"/>
              </w:rPr>
              <w:t>云南</w:t>
            </w:r>
          </w:p>
        </w:tc>
        <w:tc>
          <w:tcPr>
            <w:tcW w:type="dxa" w:w="1441"/>
            <w:tcBorders/>
          </w:tcPr>
          <w:p>
            <w:pPr>
              <w:jc w:val="center"/>
            </w:pPr>
            <w:r>
              <w:rPr>
                <w:rFonts w:ascii="Times New Roman" w:hAnsi="Times New Roman" w:eastAsia="宋体"/>
                <w:sz w:val="21"/>
              </w:rPr>
              <w:t>0.256</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20</w:t>
            </w:r>
          </w:p>
        </w:tc>
        <w:tc>
          <w:tcPr>
            <w:tcW w:type="dxa" w:w="1441"/>
            <w:tcBorders/>
          </w:tcPr>
          <w:p>
            <w:pPr>
              <w:jc w:val="center"/>
            </w:pPr>
            <w:r>
              <w:rPr>
                <w:rFonts w:ascii="Times New Roman" w:hAnsi="Times New Roman" w:eastAsia="宋体"/>
                <w:sz w:val="21"/>
              </w:rPr>
              <w:t>黑龙江</w:t>
            </w:r>
          </w:p>
        </w:tc>
        <w:tc>
          <w:tcPr>
            <w:tcW w:type="dxa" w:w="1441"/>
            <w:tcBorders/>
          </w:tcPr>
          <w:p>
            <w:pPr>
              <w:jc w:val="center"/>
            </w:pPr>
            <w:r>
              <w:rPr>
                <w:rFonts w:ascii="Times New Roman" w:hAnsi="Times New Roman" w:eastAsia="宋体"/>
                <w:sz w:val="21"/>
              </w:rPr>
              <w:t>0.218</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平台服务</w:t>
            </w:r>
          </w:p>
        </w:tc>
      </w:tr>
      <w:tr>
        <w:tc>
          <w:tcPr>
            <w:tcW w:type="dxa" w:w="1441"/>
            <w:tcBorders/>
          </w:tcPr>
          <w:p>
            <w:pPr>
              <w:jc w:val="center"/>
            </w:pPr>
            <w:r>
              <w:rPr>
                <w:rFonts w:ascii="Times New Roman" w:hAnsi="Times New Roman" w:eastAsia="宋体"/>
                <w:sz w:val="21"/>
              </w:rPr>
              <w:t>21</w:t>
            </w:r>
          </w:p>
        </w:tc>
        <w:tc>
          <w:tcPr>
            <w:tcW w:type="dxa" w:w="1441"/>
            <w:tcBorders/>
          </w:tcPr>
          <w:p>
            <w:pPr>
              <w:jc w:val="center"/>
            </w:pPr>
            <w:r>
              <w:rPr>
                <w:rFonts w:ascii="Times New Roman" w:hAnsi="Times New Roman" w:eastAsia="宋体"/>
                <w:sz w:val="21"/>
              </w:rPr>
              <w:t>山西</w:t>
            </w:r>
          </w:p>
        </w:tc>
        <w:tc>
          <w:tcPr>
            <w:tcW w:type="dxa" w:w="1441"/>
            <w:tcBorders/>
          </w:tcPr>
          <w:p>
            <w:pPr>
              <w:jc w:val="center"/>
            </w:pPr>
            <w:r>
              <w:rPr>
                <w:rFonts w:ascii="Times New Roman" w:hAnsi="Times New Roman" w:eastAsia="宋体"/>
                <w:sz w:val="21"/>
              </w:rPr>
              <w:t>0.196</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22</w:t>
            </w:r>
          </w:p>
        </w:tc>
        <w:tc>
          <w:tcPr>
            <w:tcW w:type="dxa" w:w="1441"/>
            <w:tcBorders/>
          </w:tcPr>
          <w:p>
            <w:pPr>
              <w:jc w:val="center"/>
            </w:pPr>
            <w:r>
              <w:rPr>
                <w:rFonts w:ascii="Times New Roman" w:hAnsi="Times New Roman" w:eastAsia="宋体"/>
                <w:sz w:val="21"/>
              </w:rPr>
              <w:t>新疆</w:t>
            </w:r>
          </w:p>
        </w:tc>
        <w:tc>
          <w:tcPr>
            <w:tcW w:type="dxa" w:w="1441"/>
            <w:tcBorders/>
          </w:tcPr>
          <w:p>
            <w:pPr>
              <w:jc w:val="center"/>
            </w:pPr>
            <w:r>
              <w:rPr>
                <w:rFonts w:ascii="Times New Roman" w:hAnsi="Times New Roman" w:eastAsia="宋体"/>
                <w:sz w:val="21"/>
              </w:rPr>
              <w:t>0.157</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bl>
    <w:p/>
    <w:p>
      <w:pPr>
        <w:spacing w:line="360" w:lineRule="auto" w:after="0" w:before="0"/>
        <w:ind w:firstLine="420"/>
      </w:pPr>
      <w:r>
        <w:rPr>
          <w:rFonts w:ascii="Times New Roman" w:hAnsi="Times New Roman" w:eastAsia="宋体"/>
          <w:color w:val="000000"/>
        </w:rPr>
        <w:t>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spacing w:line="360" w:lineRule="auto" w:after="0" w:before="0"/>
        <w:ind w:firstLine="420"/>
      </w:pPr>
      <w:r>
        <w:rPr>
          <w:rFonts w:ascii="Times New Roman" w:hAnsi="Times New Roman" w:eastAsia="宋体"/>
          <w:color w:val="000000"/>
        </w:rPr>
        <w:t>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p>
      <w:pPr>
        <w:spacing w:line="360" w:lineRule="auto" w:after="0" w:before="0"/>
        <w:ind w:firstLine="420"/>
      </w:pPr>
      <w:r>
        <w:rPr>
          <w:rFonts w:ascii="Times New Roman" w:hAnsi="Times New Roman" w:eastAsia="黑体"/>
          <w:b/>
          <w:color w:val="000000"/>
          <w:sz w:val="24"/>
        </w:rPr>
        <w:t>5.2.2 维度得分分析</w:t>
      </w:r>
    </w:p>
    <w:p>
      <w:pPr>
        <w:spacing w:line="360" w:lineRule="auto" w:after="0" w:before="0"/>
        <w:ind w:firstLine="420"/>
      </w:pPr>
      <w:r>
        <w:rPr>
          <w:rFonts w:ascii="Times New Roman" w:hAnsi="Times New Roman" w:eastAsia="宋体"/>
          <w:color w:val="000000"/>
        </w:rPr>
        <w:t>为进一步揭示绩效的维度构成特征，本研究对各平台的五个维度得分进行了详细分析。</w:t>
      </w:r>
    </w:p>
    <w:p>
      <w:pPr>
        <w:spacing w:line="360" w:lineRule="auto" w:after="0" w:before="0"/>
        <w:ind w:firstLine="420"/>
      </w:pPr>
      <w:r>
        <w:rPr>
          <w:rFonts w:ascii="Times New Roman" w:hAnsi="Times New Roman" w:eastAsia="宋体"/>
          <w:color w:val="000000"/>
        </w:rPr>
        <w:t>供给保障维度。 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spacing w:line="360" w:lineRule="auto" w:after="0" w:before="0"/>
        <w:ind w:firstLine="420"/>
      </w:pPr>
      <w:r>
        <w:rPr>
          <w:rFonts w:ascii="Times New Roman" w:hAnsi="Times New Roman" w:eastAsia="宋体"/>
          <w:color w:val="000000"/>
        </w:rPr>
        <w:t>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spacing w:line="360" w:lineRule="auto" w:after="0" w:before="0"/>
        <w:ind w:firstLine="420"/>
      </w:pPr>
      <w:r>
        <w:rPr>
          <w:rFonts w:ascii="Times New Roman" w:hAnsi="Times New Roman" w:eastAsia="宋体"/>
          <w:color w:val="000000"/>
        </w:rPr>
        <w:t>平台服务维度。 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spacing w:line="360" w:lineRule="auto" w:after="0" w:before="0"/>
        <w:ind w:firstLine="420"/>
      </w:pPr>
      <w:r>
        <w:rPr>
          <w:rFonts w:ascii="Times New Roman" w:hAnsi="Times New Roman" w:eastAsia="宋体"/>
          <w:color w:val="000000"/>
        </w:rPr>
        <w:t>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spacing w:line="360" w:lineRule="auto" w:after="0" w:before="0"/>
        <w:ind w:firstLine="420"/>
      </w:pPr>
      <w:r>
        <w:rPr>
          <w:rFonts w:ascii="Times New Roman" w:hAnsi="Times New Roman" w:eastAsia="宋体"/>
          <w:color w:val="000000"/>
        </w:rPr>
        <w:t>数据质量维度。 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spacing w:line="360" w:lineRule="auto" w:after="0" w:before="0"/>
        <w:ind w:firstLine="420"/>
      </w:pPr>
      <w:r>
        <w:rPr>
          <w:rFonts w:ascii="Times New Roman" w:hAnsi="Times New Roman" w:eastAsia="宋体"/>
          <w:color w:val="000000"/>
        </w:rPr>
        <w:t>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spacing w:line="360" w:lineRule="auto" w:after="0" w:before="0"/>
        <w:ind w:firstLine="420"/>
      </w:pPr>
      <w:r>
        <w:rPr>
          <w:rFonts w:ascii="Times New Roman" w:hAnsi="Times New Roman" w:eastAsia="宋体"/>
          <w:color w:val="000000"/>
        </w:rPr>
        <w:t>利用效果维度。 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spacing w:line="360" w:lineRule="auto" w:after="0" w:before="0"/>
        <w:ind w:firstLine="420"/>
      </w:pPr>
      <w:r>
        <w:rPr>
          <w:rFonts w:ascii="Times New Roman" w:hAnsi="Times New Roman" w:eastAsia="宋体"/>
          <w:color w:val="000000"/>
        </w:rPr>
        <w:t>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spacing w:line="360" w:lineRule="auto" w:after="0" w:before="0"/>
        <w:ind w:firstLine="420"/>
      </w:pPr>
      <w:r>
        <w:rPr>
          <w:rFonts w:ascii="Times New Roman" w:hAnsi="Times New Roman" w:eastAsia="宋体"/>
          <w:color w:val="000000"/>
        </w:rPr>
        <w:t>公平性维度。 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spacing w:line="360" w:lineRule="auto" w:after="0" w:before="0"/>
        <w:ind w:firstLine="420"/>
      </w:pPr>
      <w:r>
        <w:rPr>
          <w:rFonts w:ascii="Times New Roman" w:hAnsi="Times New Roman" w:eastAsia="宋体"/>
          <w:color w:val="000000"/>
        </w:rPr>
        <w:t>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p>
      <w:pPr>
        <w:spacing w:line="360" w:lineRule="auto" w:after="0" w:before="0"/>
        <w:ind w:firstLine="420"/>
      </w:pPr>
      <w:r>
        <w:rPr>
          <w:rFonts w:ascii="Times New Roman" w:hAnsi="Times New Roman" w:eastAsia="黑体"/>
          <w:b/>
          <w:color w:val="000000"/>
          <w:sz w:val="24"/>
        </w:rPr>
        <w:t>5.2.3 区域差异分析</w:t>
      </w:r>
    </w:p>
    <w:p>
      <w:pPr>
        <w:spacing w:line="360" w:lineRule="auto" w:after="0" w:before="0"/>
        <w:ind w:firstLine="420"/>
      </w:pPr>
      <w:r>
        <w:rPr>
          <w:rFonts w:ascii="Times New Roman" w:hAnsi="Times New Roman" w:eastAsia="宋体"/>
          <w:color w:val="000000"/>
        </w:rPr>
        <w:t>为揭示平台绩效的区域分布特征，本研究将22个样本平台按东中西部地区进行分组，比较各区域的绩效差异。</w:t>
      </w:r>
    </w:p>
    <w:p>
      <w:pPr>
        <w:spacing w:line="360" w:lineRule="auto" w:after="0" w:before="0"/>
        <w:ind w:firstLine="420"/>
      </w:pPr>
      <w:r>
        <w:rPr>
          <w:rFonts w:ascii="Times New Roman" w:hAnsi="Times New Roman" w:eastAsia="宋体"/>
          <w:color w:val="000000"/>
        </w:rPr>
        <w:t>东部地区（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的特征，反映了东部地区平台"重效率轻公平"的发展模式。</w:t>
      </w:r>
    </w:p>
    <w:p>
      <w:pPr>
        <w:spacing w:line="360" w:lineRule="auto" w:after="0" w:before="0"/>
        <w:ind w:firstLine="420"/>
      </w:pPr>
      <w:r>
        <w:rPr>
          <w:rFonts w:ascii="Times New Roman" w:hAnsi="Times New Roman" w:eastAsia="宋体"/>
          <w:color w:val="000000"/>
        </w:rPr>
        <w:t>中部地区（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spacing w:line="360" w:lineRule="auto" w:after="0" w:before="0"/>
        <w:ind w:firstLine="420"/>
      </w:pPr>
      <w:r>
        <w:rPr>
          <w:rFonts w:ascii="Times New Roman" w:hAnsi="Times New Roman" w:eastAsia="宋体"/>
          <w:color w:val="000000"/>
        </w:rPr>
        <w:t>西部地区（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spacing w:line="360" w:lineRule="auto" w:after="0" w:before="0"/>
        <w:ind w:firstLine="420"/>
      </w:pPr>
      <w:r>
        <w:rPr>
          <w:rFonts w:ascii="Times New Roman" w:hAnsi="Times New Roman" w:eastAsia="宋体"/>
          <w:color w:val="000000"/>
        </w:rPr>
        <w:t>东北地区（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spacing w:line="360" w:lineRule="auto" w:after="0" w:before="0"/>
        <w:ind w:firstLine="420"/>
      </w:pPr>
      <w:r>
        <w:rPr>
          <w:rFonts w:ascii="Times New Roman" w:hAnsi="Times New Roman" w:eastAsia="宋体"/>
          <w:color w:val="000000"/>
        </w:rPr>
        <w:t>方差分析（ANOVA）结果显示，四大区域在TOPSIS综合得分上存在显著差异（F=8.72，p&lt;0.001）。事后检验（Tukey 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p>
      <w:pPr>
        <w:spacing w:line="360" w:lineRule="auto" w:after="0" w:before="0"/>
      </w:pPr>
      <w:r>
        <w:rPr>
          <w:rFonts w:ascii="Times New Roman" w:hAnsi="Times New Roman" w:eastAsia="黑体"/>
          <w:b/>
          <w:color w:val="000000"/>
          <w:sz w:val="24"/>
        </w:rPr>
        <w:t>5.3 DEA效率评价</w:t>
      </w:r>
    </w:p>
    <w:p>
      <w:pPr>
        <w:spacing w:line="360" w:lineRule="auto" w:after="0" w:before="0"/>
        <w:ind w:firstLine="420"/>
      </w:pPr>
      <w:r>
        <w:rPr>
          <w:rFonts w:ascii="Times New Roman" w:hAnsi="Times New Roman" w:eastAsia="黑体"/>
          <w:b/>
          <w:color w:val="000000"/>
          <w:sz w:val="24"/>
        </w:rPr>
        <w:t>5.3.1 效率评价结果</w:t>
      </w:r>
    </w:p>
    <w:p>
      <w:pPr>
        <w:spacing w:line="360" w:lineRule="auto" w:after="0" w:before="0"/>
        <w:ind w:firstLine="420"/>
      </w:pPr>
      <w:r>
        <w:rPr>
          <w:rFonts w:ascii="Times New Roman" w:hAnsi="Times New Roman" w:eastAsia="宋体"/>
          <w:color w:val="000000"/>
        </w:rPr>
        <w:t>运用DEA-BCC模型对22个样本平台的资源配置效率进行评价，结果如表5-2所示。</w:t>
      </w:r>
    </w:p>
    <w:p>
      <w:pPr>
        <w:spacing w:line="360" w:lineRule="auto" w:after="0" w:before="0"/>
        <w:ind w:firstLine="420"/>
      </w:pPr>
      <w:r>
        <w:rPr>
          <w:rFonts w:ascii="Times New Roman" w:hAnsi="Times New Roman" w:eastAsia="宋体"/>
          <w:color w:val="000000"/>
        </w:rPr>
        <w:t>表5-2 DEA效率评价结果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效率值</w:t>
            </w:r>
          </w:p>
        </w:tc>
        <w:tc>
          <w:tcPr>
            <w:tcW w:type="dxa" w:w="1441"/>
            <w:tcBorders/>
          </w:tcPr>
          <w:p>
            <w:pPr>
              <w:jc w:val="center"/>
            </w:pPr>
            <w:r>
              <w:rPr>
                <w:rFonts w:ascii="Times New Roman" w:hAnsi="Times New Roman" w:eastAsia="宋体"/>
                <w:b/>
                <w:sz w:val="21"/>
              </w:rPr>
              <w:t>类型</w:t>
            </w:r>
          </w:p>
        </w:tc>
        <w:tc>
          <w:tcPr>
            <w:tcW w:type="dxa" w:w="1441"/>
            <w:tcBorders/>
          </w:tcPr>
          <w:p>
            <w:pPr>
              <w:jc w:val="center"/>
            </w:pPr>
            <w:r>
              <w:rPr>
                <w:rFonts w:ascii="Times New Roman" w:hAnsi="Times New Roman" w:eastAsia="宋体"/>
                <w:b/>
                <w:sz w:val="21"/>
              </w:rPr>
              <w:t>规模报酬</w:t>
            </w:r>
          </w:p>
        </w:tc>
        <w:tc>
          <w:tcPr>
            <w:tcW w:type="dxa" w:w="1441"/>
            <w:tcBorders/>
          </w:tcPr>
          <w:p>
            <w:pPr>
              <w:jc w:val="center"/>
            </w:pPr>
            <w:r>
              <w:rPr>
                <w:rFonts w:ascii="Times New Roman" w:hAnsi="Times New Roman" w:eastAsia="宋体"/>
                <w:b/>
                <w:sz w:val="21"/>
              </w:rPr>
              <w:t>投入冗余率</w:t>
            </w:r>
          </w:p>
        </w:tc>
        <w:tc>
          <w:tcPr>
            <w:tcW w:type="dxa" w:w="1441"/>
            <w:tcBorders/>
          </w:tcPr>
          <w:p>
            <w:pPr>
              <w:jc w:val="center"/>
            </w:pPr>
            <w:r>
              <w:rPr>
                <w:rFonts w:ascii="Times New Roman" w:hAnsi="Times New Roman" w:eastAsia="宋体"/>
                <w:b/>
                <w:sz w:val="21"/>
              </w:rPr>
              <w:t>产出不足率</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高绩效高效率</w:t>
            </w:r>
          </w:p>
        </w:tc>
        <w:tc>
          <w:tcPr>
            <w:tcW w:type="dxa" w:w="1441"/>
            <w:tcBorders/>
          </w:tcPr>
          <w:p>
            <w:pPr>
              <w:jc w:val="center"/>
            </w:pPr>
            <w:r>
              <w:rPr>
                <w:rFonts w:ascii="Times New Roman" w:hAnsi="Times New Roman" w:eastAsia="宋体"/>
                <w:sz w:val="21"/>
              </w:rPr>
              <w:t>不变</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0.861</w:t>
            </w:r>
          </w:p>
        </w:tc>
        <w:tc>
          <w:tcPr>
            <w:tcW w:type="dxa" w:w="1441"/>
            <w:tcBorders/>
          </w:tcPr>
          <w:p>
            <w:pPr>
              <w:jc w:val="center"/>
            </w:pPr>
            <w:r>
              <w:rPr>
                <w:rFonts w:ascii="Times New Roman" w:hAnsi="Times New Roman" w:eastAsia="宋体"/>
                <w:sz w:val="21"/>
              </w:rPr>
              <w:t>高绩效中效率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8%</w:t>
            </w:r>
          </w:p>
        </w:tc>
        <w:tc>
          <w:tcPr>
            <w:tcW w:type="dxa" w:w="1441"/>
            <w:tcBorders/>
          </w:tcPr>
          <w:p>
            <w:pPr>
              <w:jc w:val="center"/>
            </w:pPr>
            <w:r>
              <w:rPr>
                <w:rFonts w:ascii="Times New Roman" w:hAnsi="Times New Roman" w:eastAsia="宋体"/>
                <w:sz w:val="21"/>
              </w:rPr>
              <w:t>5%</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高绩效高效率</w:t>
            </w:r>
          </w:p>
        </w:tc>
        <w:tc>
          <w:tcPr>
            <w:tcW w:type="dxa" w:w="1441"/>
            <w:tcBorders/>
          </w:tcPr>
          <w:p>
            <w:pPr>
              <w:jc w:val="center"/>
            </w:pPr>
            <w:r>
              <w:rPr>
                <w:rFonts w:ascii="Times New Roman" w:hAnsi="Times New Roman" w:eastAsia="宋体"/>
                <w:sz w:val="21"/>
              </w:rPr>
              <w:t>不变</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0.688</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0.622</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18%</w:t>
            </w:r>
          </w:p>
        </w:tc>
        <w:tc>
          <w:tcPr>
            <w:tcW w:type="dxa" w:w="1441"/>
            <w:tcBorders/>
          </w:tcPr>
          <w:p>
            <w:pPr>
              <w:jc w:val="center"/>
            </w:pPr>
            <w:r>
              <w:rPr>
                <w:rFonts w:ascii="Times New Roman" w:hAnsi="Times New Roman" w:eastAsia="宋体"/>
                <w:sz w:val="21"/>
              </w:rPr>
              <w:t>14%</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河南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0.710</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9%</w:t>
            </w:r>
          </w:p>
        </w:tc>
      </w:tr>
      <w:tr>
        <w:tc>
          <w:tcPr>
            <w:tcW w:type="dxa" w:w="1441"/>
            <w:tcBorders/>
          </w:tcPr>
          <w:p>
            <w:pPr>
              <w:jc w:val="center"/>
            </w:pPr>
            <w:r>
              <w:rPr>
                <w:rFonts w:ascii="Times New Roman" w:hAnsi="Times New Roman" w:eastAsia="宋体"/>
                <w:sz w:val="21"/>
              </w:rPr>
              <w:t>江西</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0.729</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10%</w:t>
            </w:r>
          </w:p>
        </w:tc>
        <w:tc>
          <w:tcPr>
            <w:tcW w:type="dxa" w:w="1441"/>
            <w:tcBorders/>
          </w:tcPr>
          <w:p>
            <w:pPr>
              <w:jc w:val="center"/>
            </w:pPr>
            <w:r>
              <w:rPr>
                <w:rFonts w:ascii="Times New Roman" w:hAnsi="Times New Roman" w:eastAsia="宋体"/>
                <w:sz w:val="21"/>
              </w:rPr>
              <w:t>8%</w:t>
            </w:r>
          </w:p>
        </w:tc>
      </w:tr>
      <w:tr>
        <w:tc>
          <w:tcPr>
            <w:tcW w:type="dxa" w:w="1441"/>
            <w:tcBorders/>
          </w:tcPr>
          <w:p>
            <w:pPr>
              <w:jc w:val="center"/>
            </w:pPr>
            <w:r>
              <w:rPr>
                <w:rFonts w:ascii="Times New Roman" w:hAnsi="Times New Roman" w:eastAsia="宋体"/>
                <w:sz w:val="21"/>
              </w:rPr>
              <w:t>广西</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湖南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安徽</w:t>
            </w:r>
          </w:p>
        </w:tc>
        <w:tc>
          <w:tcPr>
            <w:tcW w:type="dxa" w:w="1441"/>
            <w:tcBorders/>
          </w:tcPr>
          <w:p>
            <w:pPr>
              <w:jc w:val="center"/>
            </w:pPr>
            <w:r>
              <w:rPr>
                <w:rFonts w:ascii="Times New Roman" w:hAnsi="Times New Roman" w:eastAsia="宋体"/>
                <w:sz w:val="21"/>
              </w:rPr>
              <w:t>0.780</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7%</w:t>
            </w:r>
          </w:p>
        </w:tc>
      </w:tr>
      <w:tr>
        <w:tc>
          <w:tcPr>
            <w:tcW w:type="dxa" w:w="1441"/>
            <w:tcBorders/>
          </w:tcPr>
          <w:p>
            <w:pPr>
              <w:jc w:val="center"/>
            </w:pPr>
            <w:r>
              <w:rPr>
                <w:rFonts w:ascii="Times New Roman" w:hAnsi="Times New Roman" w:eastAsia="宋体"/>
                <w:sz w:val="21"/>
              </w:rPr>
              <w:t>海南</w:t>
            </w:r>
          </w:p>
        </w:tc>
        <w:tc>
          <w:tcPr>
            <w:tcW w:type="dxa" w:w="1441"/>
            <w:tcBorders/>
          </w:tcPr>
          <w:p>
            <w:pPr>
              <w:jc w:val="center"/>
            </w:pPr>
            <w:r>
              <w:rPr>
                <w:rFonts w:ascii="Times New Roman" w:hAnsi="Times New Roman" w:eastAsia="宋体"/>
                <w:sz w:val="21"/>
              </w:rPr>
              <w:t>0.926</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r>
      <w:tr>
        <w:tc>
          <w:tcPr>
            <w:tcW w:type="dxa" w:w="1441"/>
            <w:tcBorders/>
          </w:tcPr>
          <w:p>
            <w:pPr>
              <w:jc w:val="center"/>
            </w:pPr>
            <w:r>
              <w:rPr>
                <w:rFonts w:ascii="Times New Roman" w:hAnsi="Times New Roman" w:eastAsia="宋体"/>
                <w:sz w:val="21"/>
              </w:rPr>
              <w:t>辽宁</w:t>
            </w:r>
          </w:p>
        </w:tc>
        <w:tc>
          <w:tcPr>
            <w:tcW w:type="dxa" w:w="1441"/>
            <w:tcBorders/>
          </w:tcPr>
          <w:p>
            <w:pPr>
              <w:jc w:val="center"/>
            </w:pPr>
            <w:r>
              <w:rPr>
                <w:rFonts w:ascii="Times New Roman" w:hAnsi="Times New Roman" w:eastAsia="宋体"/>
                <w:sz w:val="21"/>
              </w:rPr>
              <w:t>0.625</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16%</w:t>
            </w:r>
          </w:p>
        </w:tc>
        <w:tc>
          <w:tcPr>
            <w:tcW w:type="dxa" w:w="1441"/>
            <w:tcBorders/>
          </w:tcPr>
          <w:p>
            <w:pPr>
              <w:jc w:val="center"/>
            </w:pPr>
            <w:r>
              <w:rPr>
                <w:rFonts w:ascii="Times New Roman" w:hAnsi="Times New Roman" w:eastAsia="宋体"/>
                <w:sz w:val="21"/>
              </w:rPr>
              <w:t>13%</w:t>
            </w:r>
          </w:p>
        </w:tc>
      </w:tr>
      <w:tr>
        <w:tc>
          <w:tcPr>
            <w:tcW w:type="dxa" w:w="1441"/>
            <w:tcBorders/>
          </w:tcPr>
          <w:p>
            <w:pPr>
              <w:jc w:val="center"/>
            </w:pPr>
            <w:r>
              <w:rPr>
                <w:rFonts w:ascii="Times New Roman" w:hAnsi="Times New Roman" w:eastAsia="宋体"/>
                <w:sz w:val="21"/>
              </w:rPr>
              <w:t>河北</w:t>
            </w:r>
          </w:p>
        </w:tc>
        <w:tc>
          <w:tcPr>
            <w:tcW w:type="dxa" w:w="1441"/>
            <w:tcBorders/>
          </w:tcPr>
          <w:p>
            <w:pPr>
              <w:jc w:val="center"/>
            </w:pPr>
            <w:r>
              <w:rPr>
                <w:rFonts w:ascii="Times New Roman" w:hAnsi="Times New Roman" w:eastAsia="宋体"/>
                <w:sz w:val="21"/>
              </w:rPr>
              <w:t>0.696</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11%</w:t>
            </w:r>
          </w:p>
        </w:tc>
      </w:tr>
      <w:tr>
        <w:tc>
          <w:tcPr>
            <w:tcW w:type="dxa" w:w="1441"/>
            <w:tcBorders/>
          </w:tcPr>
          <w:p>
            <w:pPr>
              <w:jc w:val="center"/>
            </w:pPr>
            <w:r>
              <w:rPr>
                <w:rFonts w:ascii="Times New Roman" w:hAnsi="Times New Roman" w:eastAsia="宋体"/>
                <w:sz w:val="21"/>
              </w:rPr>
              <w:t>云南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低绩效高效率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黑龙江</w:t>
            </w:r>
          </w:p>
        </w:tc>
        <w:tc>
          <w:tcPr>
            <w:tcW w:type="dxa" w:w="1441"/>
            <w:tcBorders/>
          </w:tcPr>
          <w:p>
            <w:pPr>
              <w:jc w:val="center"/>
            </w:pPr>
            <w:r>
              <w:rPr>
                <w:rFonts w:ascii="Times New Roman" w:hAnsi="Times New Roman" w:eastAsia="宋体"/>
                <w:sz w:val="21"/>
              </w:rPr>
              <w:t>0.632</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山西</w:t>
            </w:r>
          </w:p>
        </w:tc>
        <w:tc>
          <w:tcPr>
            <w:tcW w:type="dxa" w:w="1441"/>
            <w:tcBorders/>
          </w:tcPr>
          <w:p>
            <w:pPr>
              <w:jc w:val="center"/>
            </w:pPr>
            <w:r>
              <w:rPr>
                <w:rFonts w:ascii="Times New Roman" w:hAnsi="Times New Roman" w:eastAsia="宋体"/>
                <w:sz w:val="21"/>
              </w:rPr>
              <w:t>0.534</w:t>
            </w:r>
          </w:p>
        </w:tc>
        <w:tc>
          <w:tcPr>
            <w:tcW w:type="dxa" w:w="1441"/>
            <w:tcBorders/>
          </w:tcPr>
          <w:p>
            <w:pPr>
              <w:jc w:val="center"/>
            </w:pPr>
            <w:r>
              <w:rPr>
                <w:rFonts w:ascii="Times New Roman" w:hAnsi="Times New Roman" w:eastAsia="宋体"/>
                <w:sz w:val="21"/>
              </w:rPr>
              <w:t>低绩效低效率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22%</w:t>
            </w:r>
          </w:p>
        </w:tc>
        <w:tc>
          <w:tcPr>
            <w:tcW w:type="dxa" w:w="1441"/>
            <w:tcBorders/>
          </w:tcPr>
          <w:p>
            <w:pPr>
              <w:jc w:val="center"/>
            </w:pPr>
            <w:r>
              <w:rPr>
                <w:rFonts w:ascii="Times New Roman" w:hAnsi="Times New Roman" w:eastAsia="宋体"/>
                <w:sz w:val="21"/>
              </w:rPr>
              <w:t>18%</w:t>
            </w:r>
          </w:p>
        </w:tc>
      </w:tr>
      <w:tr>
        <w:tc>
          <w:tcPr>
            <w:tcW w:type="dxa" w:w="1441"/>
            <w:tcBorders/>
          </w:tcPr>
          <w:p>
            <w:pPr>
              <w:jc w:val="center"/>
            </w:pPr>
            <w:r>
              <w:rPr>
                <w:rFonts w:ascii="Times New Roman" w:hAnsi="Times New Roman" w:eastAsia="宋体"/>
                <w:sz w:val="21"/>
              </w:rPr>
              <w:t>新疆</w:t>
            </w:r>
          </w:p>
        </w:tc>
        <w:tc>
          <w:tcPr>
            <w:tcW w:type="dxa" w:w="1441"/>
            <w:tcBorders/>
          </w:tcPr>
          <w:p>
            <w:pPr>
              <w:jc w:val="center"/>
            </w:pPr>
            <w:r>
              <w:rPr>
                <w:rFonts w:ascii="Times New Roman" w:hAnsi="Times New Roman" w:eastAsia="宋体"/>
                <w:sz w:val="21"/>
              </w:rPr>
              <w:t>0.542</w:t>
            </w:r>
          </w:p>
        </w:tc>
        <w:tc>
          <w:tcPr>
            <w:tcW w:type="dxa" w:w="1441"/>
            <w:tcBorders/>
          </w:tcPr>
          <w:p>
            <w:pPr>
              <w:jc w:val="center"/>
            </w:pPr>
            <w:r>
              <w:rPr>
                <w:rFonts w:ascii="Times New Roman" w:hAnsi="Times New Roman" w:eastAsia="宋体"/>
                <w:sz w:val="21"/>
              </w:rPr>
              <w:t>低绩效低效率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20%</w:t>
            </w:r>
          </w:p>
        </w:tc>
        <w:tc>
          <w:tcPr>
            <w:tcW w:type="dxa" w:w="1441"/>
            <w:tcBorders/>
          </w:tcPr>
          <w:p>
            <w:pPr>
              <w:jc w:val="center"/>
            </w:pPr>
            <w:r>
              <w:rPr>
                <w:rFonts w:ascii="Times New Roman" w:hAnsi="Times New Roman" w:eastAsia="宋体"/>
                <w:sz w:val="21"/>
              </w:rPr>
              <w:t>16%</w:t>
            </w:r>
          </w:p>
        </w:tc>
      </w:tr>
    </w:tbl>
    <w:p/>
    <w:p>
      <w:pPr>
        <w:spacing w:line="360" w:lineRule="auto" w:after="0" w:before="0"/>
        <w:ind w:firstLine="420"/>
      </w:pPr>
      <w:r>
        <w:rPr>
          <w:rFonts w:ascii="Times New Roman" w:hAnsi="Times New Roman" w:eastAsia="宋体"/>
          <w:color w:val="000000"/>
        </w:rPr>
        <w:t>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spacing w:line="360" w:lineRule="auto" w:after="0" w:before="0"/>
        <w:ind w:firstLine="420"/>
      </w:pPr>
      <w:r>
        <w:rPr>
          <w:rFonts w:ascii="Times New Roman" w:hAnsi="Times New Roman" w:eastAsia="宋体"/>
          <w:color w:val="000000"/>
        </w:rPr>
        <w:t>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p>
      <w:pPr>
        <w:spacing w:line="360" w:lineRule="auto" w:after="0" w:before="0"/>
        <w:ind w:firstLine="420"/>
      </w:pPr>
      <w:r>
        <w:rPr>
          <w:rFonts w:ascii="Times New Roman" w:hAnsi="Times New Roman" w:eastAsia="黑体"/>
          <w:b/>
          <w:color w:val="000000"/>
          <w:sz w:val="24"/>
        </w:rPr>
        <w:t>5.3.2 效率类型划分</w:t>
      </w:r>
    </w:p>
    <w:p>
      <w:pPr>
        <w:spacing w:line="360" w:lineRule="auto" w:after="0" w:before="0"/>
        <w:ind w:firstLine="420"/>
      </w:pPr>
      <w:r>
        <w:rPr>
          <w:rFonts w:ascii="Times New Roman" w:hAnsi="Times New Roman" w:eastAsia="宋体"/>
          <w:color w:val="000000"/>
        </w:rPr>
        <w:t>结合TOPSIS绩效得分和DEA效率值，本研究将22个平台划分为四种类型。</w:t>
      </w:r>
    </w:p>
    <w:p>
      <w:pPr>
        <w:spacing w:line="360" w:lineRule="auto" w:after="0" w:before="0"/>
        <w:ind w:firstLine="420"/>
      </w:pPr>
      <w:r>
        <w:rPr>
          <w:rFonts w:ascii="Times New Roman" w:hAnsi="Times New Roman" w:eastAsia="宋体"/>
          <w:color w:val="000000"/>
        </w:rPr>
        <w:t>类型一：高绩效高效率（"标杆型"）。 包括广东和山东两个平台。这两个平台的TOPSIS得分均大于0.7且DEA效率值为1.000，表明它们在绝对绩效和相对效率两个维度上均达到了最优水平。"标杆型"平台的特征是：投入产出比最优，资源配置效率最高，是其他平台学习的标杆。但需要注意的是，"标杆型"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spacing w:line="360" w:lineRule="auto" w:after="0" w:before="0"/>
        <w:ind w:firstLine="420"/>
      </w:pPr>
      <w:r>
        <w:rPr>
          <w:rFonts w:ascii="Times New Roman" w:hAnsi="Times New Roman" w:eastAsia="宋体"/>
          <w:color w:val="000000"/>
        </w:rPr>
        <w:t>类型二：高绩效中效率（"潜力型"）。 包括浙江、北京、上海三个平台。这三个平台的TOPSIS得分大于0.5但DEA效率值小于1.000，表明它们的绝对绩效较高，但相对于其巨大的投入而言，产出效率仍有提升空间。"潜力型"平台的特征是：资源丰富、基础雄厚，但资源配置存在浪费或产出不足的问题。优化方向是：在保持现有投入水平的前提下，通过优化资源配置、提升运营效率、培育利用生态等方式，将资源优势转化为更高的绩效产出。</w:t>
      </w:r>
    </w:p>
    <w:p>
      <w:pPr>
        <w:spacing w:line="360" w:lineRule="auto" w:after="0" w:before="0"/>
        <w:ind w:firstLine="420"/>
      </w:pPr>
      <w:r>
        <w:rPr>
          <w:rFonts w:ascii="Times New Roman" w:hAnsi="Times New Roman" w:eastAsia="宋体"/>
          <w:color w:val="000000"/>
        </w:rPr>
        <w:t>类型三：中绩效高效率（"节约型"）。 包括贵州、四川、福建、河南、江西、广西、湖南、云南、海南等9个平台。这些平台的TOPSIS得分处于中等水平（0.3-0.7），但DEA效率值为1.000，表明它们以相对较少的投入获得了相对较高的产出，资源配置效率是最优的。"节约型"平台的特征是：投入有限但利用充分，"花小钱办大事"。优化方向是：在保持现有高效率水平的前提下，适度增加资源投入，扩大数据开放规模、提升平台服务能力、培育数据利用生态，以实现绩效的跨越式提升。</w:t>
      </w:r>
    </w:p>
    <w:p>
      <w:pPr>
        <w:spacing w:line="360" w:lineRule="auto" w:after="0" w:before="0"/>
        <w:ind w:firstLine="420"/>
      </w:pPr>
      <w:r>
        <w:rPr>
          <w:rFonts w:ascii="Times New Roman" w:hAnsi="Times New Roman" w:eastAsia="宋体"/>
          <w:color w:val="000000"/>
        </w:rPr>
        <w:t>类型四：低绩效低效率（"困境型"）。 包括山西和新疆两个平台。这两个平台的TOPSIS得分小于0.3且DEA效率值小于0.6，表明它们的绝对绩效低、相对效率也低，面临"投入不足且产出低效"的双重困境。"困境型"平台的特征是：资源匮乏、能力薄弱、生态缺失，数据开放工作处于"勉强维持"的状态。优化方向是：需要外部支援——通过上级政府的专项扶持、发达地区的对口帮扶、技术企业的公益支持等方式，帮助"困境型"平台突破发展瓶颈。</w:t>
      </w:r>
    </w:p>
    <w:p>
      <w:pPr>
        <w:spacing w:line="360" w:lineRule="auto" w:after="0" w:before="0"/>
        <w:ind w:firstLine="420"/>
      </w:pPr>
      <w:r>
        <w:rPr>
          <w:rFonts w:ascii="Times New Roman" w:hAnsi="Times New Roman" w:eastAsia="黑体"/>
          <w:b/>
          <w:color w:val="000000"/>
          <w:sz w:val="24"/>
        </w:rPr>
        <w:t>5.3.3 规模报酬分析</w:t>
      </w:r>
    </w:p>
    <w:p>
      <w:pPr>
        <w:spacing w:line="360" w:lineRule="auto" w:after="0" w:before="0"/>
        <w:ind w:firstLine="420"/>
      </w:pPr>
      <w:r>
        <w:rPr>
          <w:rFonts w:ascii="Times New Roman" w:hAnsi="Times New Roman" w:eastAsia="宋体"/>
          <w:color w:val="000000"/>
        </w:rPr>
        <w:t>DEA-BCC模型的分析结果还提供了规模报酬信息，揭示了平台绩效与规模之间的关系。</w:t>
      </w:r>
    </w:p>
    <w:p>
      <w:pPr>
        <w:spacing w:line="360" w:lineRule="auto" w:after="0" w:before="0"/>
        <w:ind w:firstLine="420"/>
      </w:pPr>
      <w:r>
        <w:rPr>
          <w:rFonts w:ascii="Times New Roman" w:hAnsi="Times New Roman" w:eastAsia="宋体"/>
          <w:color w:val="000000"/>
        </w:rPr>
        <w:t>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spacing w:line="360" w:lineRule="auto" w:after="0" w:before="0"/>
        <w:ind w:firstLine="420"/>
      </w:pPr>
      <w:r>
        <w:rPr>
          <w:rFonts w:ascii="Times New Roman" w:hAnsi="Times New Roman" w:eastAsia="宋体"/>
          <w:color w:val="000000"/>
        </w:rPr>
        <w:t>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spacing w:line="360" w:lineRule="auto" w:after="0" w:before="0"/>
        <w:ind w:firstLine="420"/>
      </w:pPr>
      <w:r>
        <w:rPr>
          <w:rFonts w:ascii="Times New Roman" w:hAnsi="Times New Roman" w:eastAsia="宋体"/>
          <w:color w:val="000000"/>
        </w:rPr>
        <w:t>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p>
      <w:pPr>
        <w:spacing w:line="360" w:lineRule="auto" w:after="0" w:before="0"/>
      </w:pPr>
      <w:r>
        <w:rPr>
          <w:rFonts w:ascii="Times New Roman" w:hAnsi="Times New Roman" w:eastAsia="黑体"/>
          <w:b/>
          <w:color w:val="000000"/>
          <w:sz w:val="24"/>
        </w:rPr>
        <w:t>5.4 与开放数林指数的外部效度检验</w:t>
      </w:r>
    </w:p>
    <w:p>
      <w:pPr>
        <w:spacing w:line="360" w:lineRule="auto" w:after="0" w:before="0"/>
        <w:ind w:firstLine="420"/>
      </w:pPr>
      <w:r>
        <w:rPr>
          <w:rFonts w:ascii="Times New Roman" w:hAnsi="Times New Roman" w:eastAsia="宋体"/>
          <w:color w:val="000000"/>
        </w:rPr>
        <w:t>为验证本研究评估结果的可靠性，本研究将TOPSIS综合得分与复旦大学数字与移动治理实验室发布的"中国开放数林指数"2024年省级评估结果进行了对比分析。</w:t>
      </w:r>
    </w:p>
    <w:p>
      <w:pPr>
        <w:spacing w:line="360" w:lineRule="auto" w:after="0" w:before="0"/>
        <w:ind w:firstLine="420"/>
      </w:pPr>
      <w:r>
        <w:rPr>
          <w:rFonts w:ascii="Times New Roman" w:hAnsi="Times New Roman" w:eastAsia="宋体"/>
          <w:color w:val="000000"/>
        </w:rPr>
        <w:t>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spacing w:line="360" w:lineRule="auto" w:after="0" w:before="0"/>
        <w:ind w:firstLine="420"/>
      </w:pPr>
      <w:r>
        <w:rPr>
          <w:rFonts w:ascii="Times New Roman" w:hAnsi="Times New Roman" w:eastAsia="宋体"/>
          <w:color w:val="000000"/>
        </w:rPr>
        <w:t>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spacing w:line="360" w:lineRule="auto" w:after="0" w:before="0"/>
        <w:ind w:firstLine="420"/>
      </w:pPr>
      <w:r>
        <w:rPr>
          <w:rFonts w:ascii="Times New Roman" w:hAnsi="Times New Roman" w:eastAsia="宋体"/>
          <w:color w:val="000000"/>
        </w:rPr>
        <w:t>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spacing w:line="360" w:lineRule="auto" w:after="0" w:before="0"/>
        <w:ind w:firstLine="420"/>
      </w:pPr>
      <w:r>
        <w:rPr>
          <w:rFonts w:ascii="Times New Roman" w:hAnsi="Times New Roman" w:eastAsia="宋体"/>
          <w:color w:val="000000"/>
        </w:rPr>
        <w:t>第三，分类差异——开放数林指数将平台分为"五棵数"（最高等级）到"一棵树"（最低等级）五个等级；本研究将平台分为三个梯队。两种分类的对应关系大致为："五棵数"≈第一梯队，"三-四棵数"≈第二梯队，"一-二棵数"≈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spacing w:line="360" w:lineRule="auto" w:after="0" w:before="0"/>
        <w:ind w:firstLine="420"/>
      </w:pPr>
      <w:r>
        <w:rPr>
          <w:rFonts w:ascii="Times New Roman" w:hAnsi="Times New Roman" w:eastAsia="宋体"/>
          <w:color w:val="000000"/>
        </w:rPr>
        <w:t>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p>
      <w:pPr>
        <w:spacing w:line="360" w:lineRule="auto" w:after="0" w:before="0"/>
      </w:pPr>
      <w:r>
        <w:rPr>
          <w:rFonts w:ascii="Times New Roman" w:hAnsi="Times New Roman" w:eastAsia="黑体"/>
          <w:b/>
          <w:color w:val="000000"/>
          <w:sz w:val="24"/>
        </w:rPr>
        <w:t>5.5 "浙江模式"与"山东模式"的类型学分析</w:t>
      </w:r>
    </w:p>
    <w:p>
      <w:pPr>
        <w:spacing w:line="360" w:lineRule="auto" w:after="0" w:before="0"/>
        <w:ind w:firstLine="420"/>
      </w:pPr>
      <w:r>
        <w:rPr>
          <w:rFonts w:ascii="Times New Roman" w:hAnsi="Times New Roman" w:eastAsia="宋体"/>
          <w:color w:val="000000"/>
        </w:rPr>
        <w:t>基于绩效评估和效率评价的结果，本研究对22个平台进行了类型学分析，识别出两种典型的高绩效模式："浙江模式"和"山东模式"。</w:t>
      </w:r>
    </w:p>
    <w:p>
      <w:pPr>
        <w:spacing w:line="360" w:lineRule="auto" w:after="0" w:before="0"/>
        <w:ind w:firstLine="420"/>
      </w:pPr>
      <w:r>
        <w:rPr>
          <w:rFonts w:ascii="Times New Roman" w:hAnsi="Times New Roman" w:eastAsia="宋体"/>
          <w:color w:val="000000"/>
        </w:rPr>
        <w:t>"浙江模式"：高绩效高效率+利用效果驱动。 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spacing w:line="360" w:lineRule="auto" w:after="0" w:before="0"/>
        <w:ind w:firstLine="420"/>
      </w:pPr>
      <w:r>
        <w:rPr>
          <w:rFonts w:ascii="Times New Roman" w:hAnsi="Times New Roman" w:eastAsia="宋体"/>
          <w:color w:val="000000"/>
        </w:rPr>
        <w:t>"山东模式"：高绩效高效率+供给规模驱动。 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spacing w:line="360" w:lineRule="auto" w:after="0" w:before="0"/>
        <w:ind w:firstLine="420"/>
      </w:pPr>
      <w:r>
        <w:rPr>
          <w:rFonts w:ascii="Times New Roman" w:hAnsi="Times New Roman" w:eastAsia="宋体"/>
          <w:color w:val="000000"/>
        </w:rPr>
        <w:t>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p>
      <w:pPr>
        <w:spacing w:line="360" w:lineRule="auto" w:after="0" w:before="0"/>
      </w:pPr>
      <w:r>
        <w:rPr>
          <w:rFonts w:ascii="Times New Roman" w:hAnsi="Times New Roman" w:eastAsia="黑体"/>
          <w:b/>
          <w:color w:val="000000"/>
          <w:sz w:val="24"/>
        </w:rPr>
        <w:t>5.6 本章小结</w:t>
      </w:r>
    </w:p>
    <w:p>
      <w:pPr>
        <w:spacing w:line="360" w:lineRule="auto" w:after="0" w:before="0"/>
        <w:ind w:firstLine="420"/>
      </w:pPr>
      <w:r>
        <w:rPr>
          <w:rFonts w:ascii="Times New Roman" w:hAnsi="Times New Roman" w:eastAsia="宋体"/>
          <w:color w:val="000000"/>
        </w:rPr>
        <w:t>本章运用熵权-TOPSIS方法和DEA-BCC方法，对22个省级政府数据开放平台进行了绩效评估和效率评价。主要发现如下：</w:t>
      </w:r>
    </w:p>
    <w:p>
      <w:pPr>
        <w:spacing w:line="360" w:lineRule="auto" w:after="0" w:before="0"/>
        <w:ind w:firstLine="420"/>
      </w:pPr>
      <w:r>
        <w:rPr>
          <w:rFonts w:ascii="Times New Roman" w:hAnsi="Times New Roman" w:eastAsia="宋体"/>
          <w:color w:val="000000"/>
        </w:rPr>
        <w:t>第一，平台绩效呈现"头部集中"特征——第一梯队（广东、浙江、山东）的绩效显著领先于其他平台，形成了明显的"绩效断层"。</w:t>
      </w:r>
    </w:p>
    <w:p>
      <w:pPr>
        <w:spacing w:line="360" w:lineRule="auto" w:after="0" w:before="0"/>
        <w:ind w:firstLine="420"/>
      </w:pPr>
      <w:r>
        <w:rPr>
          <w:rFonts w:ascii="Times New Roman" w:hAnsi="Times New Roman" w:eastAsia="宋体"/>
          <w:color w:val="000000"/>
        </w:rPr>
        <w:t>第二，"利用效果"是区分高绩效平台和中等绩效平台的关键维度——第一梯队平台的共同特征是利用效果得分高，而第二梯队平台的共同特征是利用效果得分偏低。</w:t>
      </w:r>
    </w:p>
    <w:p>
      <w:pPr>
        <w:spacing w:line="360" w:lineRule="auto" w:after="0" w:before="0"/>
        <w:ind w:firstLine="420"/>
      </w:pPr>
      <w:r>
        <w:rPr>
          <w:rFonts w:ascii="Times New Roman" w:hAnsi="Times New Roman" w:eastAsia="宋体"/>
          <w:color w:val="000000"/>
        </w:rPr>
        <w:t>第三，区域差异显著——东部地区在供给保障、平台服务和数据质量三个维度上领先，但在公平性维度上落后；西部地区的公平性维度表现最优，但供给保障和数据质量存在短板。</w:t>
      </w:r>
    </w:p>
    <w:p>
      <w:pPr>
        <w:spacing w:line="360" w:lineRule="auto" w:after="0" w:before="0"/>
        <w:ind w:firstLine="420"/>
      </w:pPr>
      <w:r>
        <w:rPr>
          <w:rFonts w:ascii="Times New Roman" w:hAnsi="Times New Roman" w:eastAsia="宋体"/>
          <w:color w:val="000000"/>
        </w:rPr>
        <w:t>第四，效率与绩效并非完全对应——11个平台达到DEA有效，但其中只有2个是高绩效平台，其余9个是中低绩效但高效率的平台。这表明"高效率"不等于"高绩效"，平台需要在效率提升和规模扩张之间寻找平衡。</w:t>
      </w:r>
    </w:p>
    <w:p>
      <w:pPr>
        <w:spacing w:line="360" w:lineRule="auto" w:after="0" w:before="0"/>
        <w:ind w:firstLine="420"/>
      </w:pPr>
      <w:r>
        <w:rPr>
          <w:rFonts w:ascii="Times New Roman" w:hAnsi="Times New Roman" w:eastAsia="宋体"/>
          <w:color w:val="000000"/>
        </w:rPr>
        <w:t>第五，存在"标杆型""潜力型""节约型""困境型"四种平台类型，不同类型平台的优化方向截然不同——"标杆型"需要维持优势，"潜力型"需要提升效率，"节约型"需要增加投入，"困境型"需要外部支援。</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第影响因素分析</w:t>
      </w:r>
    </w:p>
    <w:p>
      <w:pPr>
        <w:spacing w:line="360" w:lineRule="auto" w:after="0" w:before="0"/>
      </w:pPr>
      <w:r>
        <w:rPr>
          <w:rFonts w:ascii="Times New Roman" w:hAnsi="Times New Roman" w:eastAsia="黑体"/>
          <w:b/>
          <w:color w:val="000000"/>
          <w:sz w:val="24"/>
        </w:rPr>
        <w:t>6.1 影响因素识别框架</w:t>
      </w:r>
    </w:p>
    <w:p>
      <w:pPr>
        <w:spacing w:line="360" w:lineRule="auto" w:after="0" w:before="0"/>
        <w:ind w:firstLine="420"/>
      </w:pPr>
      <w:r>
        <w:rPr>
          <w:rFonts w:ascii="Times New Roman" w:hAnsi="Times New Roman" w:eastAsia="黑体"/>
          <w:b/>
          <w:color w:val="000000"/>
          <w:sz w:val="24"/>
        </w:rPr>
        <w:t>6.1.1 影响因素的理论来源</w:t>
      </w:r>
    </w:p>
    <w:p>
      <w:pPr>
        <w:spacing w:line="360" w:lineRule="auto" w:after="0" w:before="0"/>
        <w:ind w:firstLine="420"/>
      </w:pPr>
      <w:r>
        <w:rPr>
          <w:rFonts w:ascii="Times New Roman" w:hAnsi="Times New Roman" w:eastAsia="宋体"/>
          <w:color w:val="000000"/>
        </w:rPr>
        <w:t>基于TOE框架和文献综述，本研究识别了六个关键影响因素：政策法规（PL）、平台建设（OG）、数据质量（PC）、数据集数量（DQ）、应用效果（AE）和运营模式（OP）。这六个因素覆盖了技术、组织和环境三个层面，构成了完整的影响因素体系。</w:t>
      </w:r>
    </w:p>
    <w:p>
      <w:pPr>
        <w:spacing w:line="360" w:lineRule="auto" w:after="0" w:before="0"/>
        <w:ind w:firstLine="420"/>
      </w:pPr>
      <w:r>
        <w:rPr>
          <w:rFonts w:ascii="Times New Roman" w:hAnsi="Times New Roman" w:eastAsia="宋体"/>
          <w:color w:val="000000"/>
        </w:rPr>
        <w:t>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spacing w:line="360" w:lineRule="auto" w:after="0" w:before="0"/>
        <w:ind w:firstLine="420"/>
      </w:pPr>
      <w:r>
        <w:rPr>
          <w:rFonts w:ascii="Times New Roman" w:hAnsi="Times New Roman" w:eastAsia="宋体"/>
          <w:color w:val="000000"/>
        </w:rPr>
        <w:t>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spacing w:line="360" w:lineRule="auto" w:after="0" w:before="0"/>
        <w:ind w:firstLine="420"/>
      </w:pPr>
      <w:r>
        <w:rPr>
          <w:rFonts w:ascii="Times New Roman" w:hAnsi="Times New Roman" w:eastAsia="宋体"/>
          <w:color w:val="000000"/>
        </w:rPr>
        <w:t>数据质量（PC）属于技术层面因素，衡量数据的准确性、完整性、及时性和机器可读性。数据质量是数据利用的基础条件——低质量的数据不仅无法产生有效利用，还可能导致错误的分析结论和决策失误。</w:t>
      </w:r>
    </w:p>
    <w:p>
      <w:pPr>
        <w:spacing w:line="360" w:lineRule="auto" w:after="0" w:before="0"/>
        <w:ind w:firstLine="420"/>
      </w:pPr>
      <w:r>
        <w:rPr>
          <w:rFonts w:ascii="Times New Roman" w:hAnsi="Times New Roman" w:eastAsia="宋体"/>
          <w:color w:val="000000"/>
        </w:rPr>
        <w:t>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spacing w:line="360" w:lineRule="auto" w:after="0" w:before="0"/>
        <w:ind w:firstLine="420"/>
      </w:pPr>
      <w:r>
        <w:rPr>
          <w:rFonts w:ascii="Times New Roman" w:hAnsi="Times New Roman" w:eastAsia="宋体"/>
          <w:color w:val="000000"/>
        </w:rPr>
        <w:t>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spacing w:line="360" w:lineRule="auto" w:after="0" w:before="0"/>
        <w:ind w:firstLine="420"/>
      </w:pPr>
      <w:r>
        <w:rPr>
          <w:rFonts w:ascii="Times New Roman" w:hAnsi="Times New Roman" w:eastAsia="宋体"/>
          <w:color w:val="000000"/>
        </w:rPr>
        <w:t>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p>
      <w:pPr>
        <w:spacing w:line="360" w:lineRule="auto" w:after="0" w:before="0"/>
        <w:ind w:firstLine="420"/>
      </w:pPr>
      <w:r>
        <w:rPr>
          <w:rFonts w:ascii="Times New Roman" w:hAnsi="Times New Roman" w:eastAsia="黑体"/>
          <w:b/>
          <w:color w:val="000000"/>
          <w:sz w:val="24"/>
        </w:rPr>
        <w:t>6.1.2 影响因素的操作化定义</w:t>
      </w:r>
    </w:p>
    <w:p>
      <w:pPr>
        <w:spacing w:line="360" w:lineRule="auto" w:after="0" w:before="0"/>
        <w:ind w:firstLine="420"/>
      </w:pPr>
      <w:r>
        <w:rPr>
          <w:rFonts w:ascii="Times New Roman" w:hAnsi="Times New Roman" w:eastAsia="宋体"/>
          <w:color w:val="000000"/>
        </w:rPr>
        <w:t>为便于定量分析，本研究对六个影响因素进行了操作化定义和测量。</w:t>
      </w:r>
    </w:p>
    <w:p>
      <w:pPr>
        <w:spacing w:line="360" w:lineRule="auto" w:after="0" w:before="0"/>
        <w:ind w:firstLine="420"/>
      </w:pPr>
      <w:r>
        <w:rPr>
          <w:rFonts w:ascii="Times New Roman" w:hAnsi="Times New Roman" w:eastAsia="宋体"/>
          <w:color w:val="000000"/>
        </w:rPr>
        <w:t>政策法规（PL）。 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spacing w:line="360" w:lineRule="auto" w:after="0" w:before="0"/>
        <w:ind w:firstLine="420"/>
      </w:pPr>
      <w:r>
        <w:rPr>
          <w:rFonts w:ascii="Times New Roman" w:hAnsi="Times New Roman" w:eastAsia="宋体"/>
          <w:color w:val="000000"/>
        </w:rPr>
        <w:t>平台建设（OG）。 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spacing w:line="360" w:lineRule="auto" w:after="0" w:before="0"/>
        <w:ind w:firstLine="420"/>
      </w:pPr>
      <w:r>
        <w:rPr>
          <w:rFonts w:ascii="Times New Roman" w:hAnsi="Times New Roman" w:eastAsia="宋体"/>
          <w:color w:val="000000"/>
        </w:rPr>
        <w:t>数据质量（PC）。 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spacing w:line="360" w:lineRule="auto" w:after="0" w:before="0"/>
        <w:ind w:firstLine="420"/>
      </w:pPr>
      <w:r>
        <w:rPr>
          <w:rFonts w:ascii="Times New Roman" w:hAnsi="Times New Roman" w:eastAsia="宋体"/>
          <w:color w:val="000000"/>
        </w:rPr>
        <w:t>数据集数量（DQ）。 采用标准化后的数据集数量进行测量。由于各平台的数据集数量差异极大（从几十到几万），本研究采用对数转换和0-1标准化的方式处理原始数据，使DQ的取值范围为0-1。</w:t>
      </w:r>
    </w:p>
    <w:p>
      <w:pPr>
        <w:spacing w:line="360" w:lineRule="auto" w:after="0" w:before="0"/>
        <w:ind w:firstLine="420"/>
      </w:pPr>
      <w:r>
        <w:rPr>
          <w:rFonts w:ascii="Times New Roman" w:hAnsi="Times New Roman" w:eastAsia="宋体"/>
          <w:color w:val="000000"/>
        </w:rPr>
        <w:t>应用效果（AE）。 采用"利用效果综合指数"进行测量，该指数由以下三个子指标合成：（1）数据集下载量（0-1标准化）；（2）API调用量（0-1标准化）；（3）应用成果数量（0-1标准化）。AE的取值范围为0-1，得分越高表示应用效果越好。</w:t>
      </w:r>
    </w:p>
    <w:p>
      <w:pPr>
        <w:spacing w:line="360" w:lineRule="auto" w:after="0" w:before="0"/>
        <w:ind w:firstLine="420"/>
      </w:pPr>
      <w:r>
        <w:rPr>
          <w:rFonts w:ascii="Times New Roman" w:hAnsi="Times New Roman" w:eastAsia="宋体"/>
          <w:color w:val="000000"/>
        </w:rPr>
        <w:t>运营模式（OP）。 采用"运营创新指数"进行测量，该指数由以下三个子指标合成：（1）授权运营项目数量（0-1标准化）；（2）数据产品开发数量（0-1标准化）；（3）创新活动举办数量（0-1标准化）。OP的取值范围为0-1，得分越高表示运营模式越创新。</w:t>
      </w:r>
    </w:p>
    <w:p>
      <w:pPr>
        <w:spacing w:line="360" w:lineRule="auto" w:after="0" w:before="0"/>
      </w:pPr>
      <w:r>
        <w:rPr>
          <w:rFonts w:ascii="Times New Roman" w:hAnsi="Times New Roman" w:eastAsia="黑体"/>
          <w:b/>
          <w:color w:val="000000"/>
          <w:sz w:val="24"/>
        </w:rPr>
        <w:t>6.2 DEMATEL因果关系分析</w:t>
      </w:r>
    </w:p>
    <w:p>
      <w:pPr>
        <w:spacing w:line="360" w:lineRule="auto" w:after="0" w:before="0"/>
        <w:ind w:firstLine="420"/>
      </w:pPr>
      <w:r>
        <w:rPr>
          <w:rFonts w:ascii="Times New Roman" w:hAnsi="Times New Roman" w:eastAsia="黑体"/>
          <w:b/>
          <w:color w:val="000000"/>
          <w:sz w:val="24"/>
        </w:rPr>
        <w:t>6.2.1 分析方法与数据</w:t>
      </w:r>
    </w:p>
    <w:p>
      <w:pPr>
        <w:spacing w:line="360" w:lineRule="auto" w:after="0" w:before="0"/>
        <w:ind w:firstLine="420"/>
      </w:pPr>
      <w:r>
        <w:rPr>
          <w:rFonts w:ascii="Times New Roman" w:hAnsi="Times New Roman" w:eastAsia="宋体"/>
          <w:color w:val="000000"/>
        </w:rPr>
        <w:t>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spacing w:line="360" w:lineRule="auto" w:after="0" w:before="0"/>
        <w:ind w:firstLine="420"/>
      </w:pPr>
      <w:r>
        <w:rPr>
          <w:rFonts w:ascii="Times New Roman" w:hAnsi="Times New Roman" w:eastAsia="宋体"/>
          <w:color w:val="000000"/>
        </w:rPr>
        <w:t>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p>
      <w:pPr>
        <w:spacing w:line="360" w:lineRule="auto" w:after="0" w:before="0"/>
        <w:ind w:firstLine="420"/>
      </w:pPr>
      <w:r>
        <w:rPr>
          <w:rFonts w:ascii="Times New Roman" w:hAnsi="Times New Roman" w:eastAsia="黑体"/>
          <w:b/>
          <w:color w:val="000000"/>
          <w:sz w:val="24"/>
        </w:rPr>
        <w:t>6.2.2 DEMATEL分析结果</w:t>
      </w:r>
    </w:p>
    <w:p>
      <w:pPr>
        <w:spacing w:line="360" w:lineRule="auto" w:after="0" w:before="0"/>
        <w:ind w:firstLine="420"/>
      </w:pPr>
      <w:r>
        <w:rPr>
          <w:rFonts w:ascii="Times New Roman" w:hAnsi="Times New Roman" w:eastAsia="宋体"/>
          <w:color w:val="000000"/>
        </w:rPr>
        <w:t>DEMATEL分析结果如表6-1所示。</w:t>
      </w:r>
    </w:p>
    <w:p>
      <w:pPr>
        <w:spacing w:line="360" w:lineRule="auto" w:after="0" w:before="0"/>
        <w:ind w:firstLine="420"/>
      </w:pPr>
      <w:r>
        <w:rPr>
          <w:rFonts w:ascii="Times New Roman" w:hAnsi="Times New Roman" w:eastAsia="宋体"/>
          <w:color w:val="000000"/>
        </w:rPr>
        <w:t>表6-1 DEMATEL分析结果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因素</w:t>
            </w:r>
          </w:p>
        </w:tc>
        <w:tc>
          <w:tcPr>
            <w:tcW w:type="dxa" w:w="1441"/>
            <w:tcBorders/>
          </w:tcPr>
          <w:p>
            <w:pPr>
              <w:jc w:val="center"/>
            </w:pPr>
            <w:r>
              <w:rPr>
                <w:rFonts w:ascii="Times New Roman" w:hAnsi="Times New Roman" w:eastAsia="宋体"/>
                <w:b/>
                <w:sz w:val="21"/>
              </w:rPr>
              <w:t>影响度D</w:t>
            </w:r>
          </w:p>
        </w:tc>
        <w:tc>
          <w:tcPr>
            <w:tcW w:type="dxa" w:w="1441"/>
            <w:tcBorders/>
          </w:tcPr>
          <w:p>
            <w:pPr>
              <w:jc w:val="center"/>
            </w:pPr>
            <w:r>
              <w:rPr>
                <w:rFonts w:ascii="Times New Roman" w:hAnsi="Times New Roman" w:eastAsia="宋体"/>
                <w:b/>
                <w:sz w:val="21"/>
              </w:rPr>
              <w:t>被影响度R</w:t>
            </w:r>
          </w:p>
        </w:tc>
        <w:tc>
          <w:tcPr>
            <w:tcW w:type="dxa" w:w="1441"/>
            <w:tcBorders/>
          </w:tcPr>
          <w:p>
            <w:pPr>
              <w:jc w:val="center"/>
            </w:pPr>
            <w:r>
              <w:rPr>
                <w:rFonts w:ascii="Times New Roman" w:hAnsi="Times New Roman" w:eastAsia="宋体"/>
                <w:b/>
                <w:sz w:val="21"/>
              </w:rPr>
              <w:t>中心度D+R</w:t>
            </w:r>
          </w:p>
        </w:tc>
        <w:tc>
          <w:tcPr>
            <w:tcW w:type="dxa" w:w="1441"/>
            <w:tcBorders/>
          </w:tcPr>
          <w:p>
            <w:pPr>
              <w:jc w:val="center"/>
            </w:pPr>
            <w:r>
              <w:rPr>
                <w:rFonts w:ascii="Times New Roman" w:hAnsi="Times New Roman" w:eastAsia="宋体"/>
                <w:b/>
                <w:sz w:val="21"/>
              </w:rPr>
              <w:t>原因度D-R</w:t>
            </w:r>
          </w:p>
        </w:tc>
        <w:tc>
          <w:tcPr>
            <w:tcW w:type="dxa" w:w="1441"/>
            <w:tcBorders/>
          </w:tcPr>
          <w:p>
            <w:pPr>
              <w:jc w:val="center"/>
            </w:pPr>
            <w:r>
              <w:rPr>
                <w:rFonts w:ascii="Times New Roman" w:hAnsi="Times New Roman" w:eastAsia="宋体"/>
                <w:b/>
                <w:sz w:val="21"/>
              </w:rPr>
              <w:t>类型</w:t>
            </w:r>
          </w:p>
        </w:tc>
      </w:tr>
      <w:tr>
        <w:tc>
          <w:tcPr>
            <w:tcW w:type="dxa" w:w="1441"/>
            <w:tcBorders/>
          </w:tcPr>
          <w:p>
            <w:pPr>
              <w:jc w:val="center"/>
            </w:pPr>
            <w:r>
              <w:rPr>
                <w:rFonts w:ascii="Times New Roman" w:hAnsi="Times New Roman" w:eastAsia="宋体"/>
                <w:sz w:val="21"/>
              </w:rPr>
              <w:t>PL政策法规</w:t>
            </w:r>
          </w:p>
        </w:tc>
        <w:tc>
          <w:tcPr>
            <w:tcW w:type="dxa" w:w="1441"/>
            <w:tcBorders/>
          </w:tcPr>
          <w:p>
            <w:pPr>
              <w:jc w:val="center"/>
            </w:pPr>
            <w:r>
              <w:rPr>
                <w:rFonts w:ascii="Times New Roman" w:hAnsi="Times New Roman" w:eastAsia="宋体"/>
                <w:sz w:val="21"/>
              </w:rPr>
              <w:t>3.856</w:t>
            </w:r>
          </w:p>
        </w:tc>
        <w:tc>
          <w:tcPr>
            <w:tcW w:type="dxa" w:w="1441"/>
            <w:tcBorders/>
          </w:tcPr>
          <w:p>
            <w:pPr>
              <w:jc w:val="center"/>
            </w:pPr>
            <w:r>
              <w:rPr>
                <w:rFonts w:ascii="Times New Roman" w:hAnsi="Times New Roman" w:eastAsia="宋体"/>
                <w:sz w:val="21"/>
              </w:rPr>
              <w:t>1.245</w:t>
            </w:r>
          </w:p>
        </w:tc>
        <w:tc>
          <w:tcPr>
            <w:tcW w:type="dxa" w:w="1441"/>
            <w:tcBorders/>
          </w:tcPr>
          <w:p>
            <w:pPr>
              <w:jc w:val="center"/>
            </w:pPr>
            <w:r>
              <w:rPr>
                <w:rFonts w:ascii="Times New Roman" w:hAnsi="Times New Roman" w:eastAsia="宋体"/>
                <w:sz w:val="21"/>
              </w:rPr>
              <w:t>5.101</w:t>
            </w:r>
          </w:p>
        </w:tc>
        <w:tc>
          <w:tcPr>
            <w:tcW w:type="dxa" w:w="1441"/>
            <w:tcBorders/>
          </w:tcPr>
          <w:p>
            <w:pPr>
              <w:jc w:val="center"/>
            </w:pPr>
            <w:r>
              <w:rPr>
                <w:rFonts w:ascii="Times New Roman" w:hAnsi="Times New Roman" w:eastAsia="宋体"/>
                <w:sz w:val="21"/>
              </w:rPr>
              <w:t>2.611</w:t>
            </w:r>
          </w:p>
        </w:tc>
        <w:tc>
          <w:tcPr>
            <w:tcW w:type="dxa" w:w="1441"/>
            <w:tcBorders/>
          </w:tcPr>
          <w:p>
            <w:pPr>
              <w:jc w:val="center"/>
            </w:pPr>
            <w:r>
              <w:rPr>
                <w:rFonts w:ascii="Times New Roman" w:hAnsi="Times New Roman" w:eastAsia="宋体"/>
                <w:sz w:val="21"/>
              </w:rPr>
              <w:t>原因因素</w:t>
            </w:r>
          </w:p>
        </w:tc>
      </w:tr>
      <w:tr>
        <w:tc>
          <w:tcPr>
            <w:tcW w:type="dxa" w:w="1441"/>
            <w:tcBorders/>
          </w:tcPr>
          <w:p>
            <w:pPr>
              <w:jc w:val="center"/>
            </w:pPr>
            <w:r>
              <w:rPr>
                <w:rFonts w:ascii="Times New Roman" w:hAnsi="Times New Roman" w:eastAsia="宋体"/>
                <w:sz w:val="21"/>
              </w:rPr>
              <w:t>OG平台建设</w:t>
            </w:r>
          </w:p>
        </w:tc>
        <w:tc>
          <w:tcPr>
            <w:tcW w:type="dxa" w:w="1441"/>
            <w:tcBorders/>
          </w:tcPr>
          <w:p>
            <w:pPr>
              <w:jc w:val="center"/>
            </w:pPr>
            <w:r>
              <w:rPr>
                <w:rFonts w:ascii="Times New Roman" w:hAnsi="Times New Roman" w:eastAsia="宋体"/>
                <w:sz w:val="21"/>
              </w:rPr>
              <w:t>3.124</w:t>
            </w:r>
          </w:p>
        </w:tc>
        <w:tc>
          <w:tcPr>
            <w:tcW w:type="dxa" w:w="1441"/>
            <w:tcBorders/>
          </w:tcPr>
          <w:p>
            <w:pPr>
              <w:jc w:val="center"/>
            </w:pPr>
            <w:r>
              <w:rPr>
                <w:rFonts w:ascii="Times New Roman" w:hAnsi="Times New Roman" w:eastAsia="宋体"/>
                <w:sz w:val="21"/>
              </w:rPr>
              <w:t>2.156</w:t>
            </w:r>
          </w:p>
        </w:tc>
        <w:tc>
          <w:tcPr>
            <w:tcW w:type="dxa" w:w="1441"/>
            <w:tcBorders/>
          </w:tcPr>
          <w:p>
            <w:pPr>
              <w:jc w:val="center"/>
            </w:pPr>
            <w:r>
              <w:rPr>
                <w:rFonts w:ascii="Times New Roman" w:hAnsi="Times New Roman" w:eastAsia="宋体"/>
                <w:sz w:val="21"/>
              </w:rPr>
              <w:t>5.280</w:t>
            </w:r>
          </w:p>
        </w:tc>
        <w:tc>
          <w:tcPr>
            <w:tcW w:type="dxa" w:w="1441"/>
            <w:tcBorders/>
          </w:tcPr>
          <w:p>
            <w:pPr>
              <w:jc w:val="center"/>
            </w:pPr>
            <w:r>
              <w:rPr>
                <w:rFonts w:ascii="Times New Roman" w:hAnsi="Times New Roman" w:eastAsia="宋体"/>
                <w:sz w:val="21"/>
              </w:rPr>
              <w:t>0.968</w:t>
            </w:r>
          </w:p>
        </w:tc>
        <w:tc>
          <w:tcPr>
            <w:tcW w:type="dxa" w:w="1441"/>
            <w:tcBorders/>
          </w:tcPr>
          <w:p>
            <w:pPr>
              <w:jc w:val="center"/>
            </w:pPr>
            <w:r>
              <w:rPr>
                <w:rFonts w:ascii="Times New Roman" w:hAnsi="Times New Roman" w:eastAsia="宋体"/>
                <w:sz w:val="21"/>
              </w:rPr>
              <w:t>原因因素</w:t>
            </w:r>
          </w:p>
        </w:tc>
      </w:tr>
      <w:tr>
        <w:tc>
          <w:tcPr>
            <w:tcW w:type="dxa" w:w="1441"/>
            <w:tcBorders/>
          </w:tcPr>
          <w:p>
            <w:pPr>
              <w:jc w:val="center"/>
            </w:pPr>
            <w:r>
              <w:rPr>
                <w:rFonts w:ascii="Times New Roman" w:hAnsi="Times New Roman" w:eastAsia="宋体"/>
                <w:sz w:val="21"/>
              </w:rPr>
              <w:t>PC数据质量</w:t>
            </w:r>
          </w:p>
        </w:tc>
        <w:tc>
          <w:tcPr>
            <w:tcW w:type="dxa" w:w="1441"/>
            <w:tcBorders/>
          </w:tcPr>
          <w:p>
            <w:pPr>
              <w:jc w:val="center"/>
            </w:pPr>
            <w:r>
              <w:rPr>
                <w:rFonts w:ascii="Times New Roman" w:hAnsi="Times New Roman" w:eastAsia="宋体"/>
                <w:sz w:val="21"/>
              </w:rPr>
              <w:t>2.678</w:t>
            </w:r>
          </w:p>
        </w:tc>
        <w:tc>
          <w:tcPr>
            <w:tcW w:type="dxa" w:w="1441"/>
            <w:tcBorders/>
          </w:tcPr>
          <w:p>
            <w:pPr>
              <w:jc w:val="center"/>
            </w:pPr>
            <w:r>
              <w:rPr>
                <w:rFonts w:ascii="Times New Roman" w:hAnsi="Times New Roman" w:eastAsia="宋体"/>
                <w:sz w:val="21"/>
              </w:rPr>
              <w:t>2.845</w:t>
            </w:r>
          </w:p>
        </w:tc>
        <w:tc>
          <w:tcPr>
            <w:tcW w:type="dxa" w:w="1441"/>
            <w:tcBorders/>
          </w:tcPr>
          <w:p>
            <w:pPr>
              <w:jc w:val="center"/>
            </w:pPr>
            <w:r>
              <w:rPr>
                <w:rFonts w:ascii="Times New Roman" w:hAnsi="Times New Roman" w:eastAsia="宋体"/>
                <w:sz w:val="21"/>
              </w:rPr>
              <w:t>5.523</w:t>
            </w:r>
          </w:p>
        </w:tc>
        <w:tc>
          <w:tcPr>
            <w:tcW w:type="dxa" w:w="1441"/>
            <w:tcBorders/>
          </w:tcPr>
          <w:p>
            <w:pPr>
              <w:jc w:val="center"/>
            </w:pPr>
            <w:r>
              <w:rPr>
                <w:rFonts w:ascii="Times New Roman" w:hAnsi="Times New Roman" w:eastAsia="宋体"/>
                <w:sz w:val="21"/>
              </w:rPr>
              <w:t>-0.167</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DQ数据集数量</w:t>
            </w:r>
          </w:p>
        </w:tc>
        <w:tc>
          <w:tcPr>
            <w:tcW w:type="dxa" w:w="1441"/>
            <w:tcBorders/>
          </w:tcPr>
          <w:p>
            <w:pPr>
              <w:jc w:val="center"/>
            </w:pPr>
            <w:r>
              <w:rPr>
                <w:rFonts w:ascii="Times New Roman" w:hAnsi="Times New Roman" w:eastAsia="宋体"/>
                <w:sz w:val="21"/>
              </w:rPr>
              <w:t>2.245</w:t>
            </w:r>
          </w:p>
        </w:tc>
        <w:tc>
          <w:tcPr>
            <w:tcW w:type="dxa" w:w="1441"/>
            <w:tcBorders/>
          </w:tcPr>
          <w:p>
            <w:pPr>
              <w:jc w:val="center"/>
            </w:pPr>
            <w:r>
              <w:rPr>
                <w:rFonts w:ascii="Times New Roman" w:hAnsi="Times New Roman" w:eastAsia="宋体"/>
                <w:sz w:val="21"/>
              </w:rPr>
              <w:t>3.124</w:t>
            </w:r>
          </w:p>
        </w:tc>
        <w:tc>
          <w:tcPr>
            <w:tcW w:type="dxa" w:w="1441"/>
            <w:tcBorders/>
          </w:tcPr>
          <w:p>
            <w:pPr>
              <w:jc w:val="center"/>
            </w:pPr>
            <w:r>
              <w:rPr>
                <w:rFonts w:ascii="Times New Roman" w:hAnsi="Times New Roman" w:eastAsia="宋体"/>
                <w:sz w:val="21"/>
              </w:rPr>
              <w:t>5.369</w:t>
            </w:r>
          </w:p>
        </w:tc>
        <w:tc>
          <w:tcPr>
            <w:tcW w:type="dxa" w:w="1441"/>
            <w:tcBorders/>
          </w:tcPr>
          <w:p>
            <w:pPr>
              <w:jc w:val="center"/>
            </w:pPr>
            <w:r>
              <w:rPr>
                <w:rFonts w:ascii="Times New Roman" w:hAnsi="Times New Roman" w:eastAsia="宋体"/>
                <w:sz w:val="21"/>
              </w:rPr>
              <w:t>-0.879</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AE应用效果</w:t>
            </w:r>
          </w:p>
        </w:tc>
        <w:tc>
          <w:tcPr>
            <w:tcW w:type="dxa" w:w="1441"/>
            <w:tcBorders/>
          </w:tcPr>
          <w:p>
            <w:pPr>
              <w:jc w:val="center"/>
            </w:pPr>
            <w:r>
              <w:rPr>
                <w:rFonts w:ascii="Times New Roman" w:hAnsi="Times New Roman" w:eastAsia="宋体"/>
                <w:sz w:val="21"/>
              </w:rPr>
              <w:t>1.567</w:t>
            </w:r>
          </w:p>
        </w:tc>
        <w:tc>
          <w:tcPr>
            <w:tcW w:type="dxa" w:w="1441"/>
            <w:tcBorders/>
          </w:tcPr>
          <w:p>
            <w:pPr>
              <w:jc w:val="center"/>
            </w:pPr>
            <w:r>
              <w:rPr>
                <w:rFonts w:ascii="Times New Roman" w:hAnsi="Times New Roman" w:eastAsia="宋体"/>
                <w:sz w:val="21"/>
              </w:rPr>
              <w:t>3.678</w:t>
            </w:r>
          </w:p>
        </w:tc>
        <w:tc>
          <w:tcPr>
            <w:tcW w:type="dxa" w:w="1441"/>
            <w:tcBorders/>
          </w:tcPr>
          <w:p>
            <w:pPr>
              <w:jc w:val="center"/>
            </w:pPr>
            <w:r>
              <w:rPr>
                <w:rFonts w:ascii="Times New Roman" w:hAnsi="Times New Roman" w:eastAsia="宋体"/>
                <w:sz w:val="21"/>
              </w:rPr>
              <w:t>5.245</w:t>
            </w:r>
          </w:p>
        </w:tc>
        <w:tc>
          <w:tcPr>
            <w:tcW w:type="dxa" w:w="1441"/>
            <w:tcBorders/>
          </w:tcPr>
          <w:p>
            <w:pPr>
              <w:jc w:val="center"/>
            </w:pPr>
            <w:r>
              <w:rPr>
                <w:rFonts w:ascii="Times New Roman" w:hAnsi="Times New Roman" w:eastAsia="宋体"/>
                <w:sz w:val="21"/>
              </w:rPr>
              <w:t>-2.111</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OP运营模式</w:t>
            </w:r>
          </w:p>
        </w:tc>
        <w:tc>
          <w:tcPr>
            <w:tcW w:type="dxa" w:w="1441"/>
            <w:tcBorders/>
          </w:tcPr>
          <w:p>
            <w:pPr>
              <w:jc w:val="center"/>
            </w:pPr>
            <w:r>
              <w:rPr>
                <w:rFonts w:ascii="Times New Roman" w:hAnsi="Times New Roman" w:eastAsia="宋体"/>
                <w:sz w:val="21"/>
              </w:rPr>
              <w:t>1.234</w:t>
            </w:r>
          </w:p>
        </w:tc>
        <w:tc>
          <w:tcPr>
            <w:tcW w:type="dxa" w:w="1441"/>
            <w:tcBorders/>
          </w:tcPr>
          <w:p>
            <w:pPr>
              <w:jc w:val="center"/>
            </w:pPr>
            <w:r>
              <w:rPr>
                <w:rFonts w:ascii="Times New Roman" w:hAnsi="Times New Roman" w:eastAsia="宋体"/>
                <w:sz w:val="21"/>
              </w:rPr>
              <w:t>2.456</w:t>
            </w:r>
          </w:p>
        </w:tc>
        <w:tc>
          <w:tcPr>
            <w:tcW w:type="dxa" w:w="1441"/>
            <w:tcBorders/>
          </w:tcPr>
          <w:p>
            <w:pPr>
              <w:jc w:val="center"/>
            </w:pPr>
            <w:r>
              <w:rPr>
                <w:rFonts w:ascii="Times New Roman" w:hAnsi="Times New Roman" w:eastAsia="宋体"/>
                <w:sz w:val="21"/>
              </w:rPr>
              <w:t>3.690</w:t>
            </w:r>
          </w:p>
        </w:tc>
        <w:tc>
          <w:tcPr>
            <w:tcW w:type="dxa" w:w="1441"/>
            <w:tcBorders/>
          </w:tcPr>
          <w:p>
            <w:pPr>
              <w:jc w:val="center"/>
            </w:pPr>
            <w:r>
              <w:rPr>
                <w:rFonts w:ascii="Times New Roman" w:hAnsi="Times New Roman" w:eastAsia="宋体"/>
                <w:sz w:val="21"/>
              </w:rPr>
              <w:t>-1.222</w:t>
            </w:r>
          </w:p>
        </w:tc>
        <w:tc>
          <w:tcPr>
            <w:tcW w:type="dxa" w:w="1441"/>
            <w:tcBorders/>
          </w:tcPr>
          <w:p>
            <w:pPr>
              <w:jc w:val="center"/>
            </w:pPr>
            <w:r>
              <w:rPr>
                <w:rFonts w:ascii="Times New Roman" w:hAnsi="Times New Roman" w:eastAsia="宋体"/>
                <w:sz w:val="21"/>
              </w:rPr>
              <w:t>结果因素</w:t>
            </w:r>
          </w:p>
        </w:tc>
      </w:tr>
    </w:tbl>
    <w:p/>
    <w:p>
      <w:pPr>
        <w:spacing w:line="360" w:lineRule="auto" w:after="0" w:before="0"/>
        <w:ind w:firstLine="420"/>
      </w:pPr>
      <w:r>
        <w:rPr>
          <w:rFonts w:ascii="Times New Roman" w:hAnsi="Times New Roman" w:eastAsia="宋体"/>
          <w:color w:val="000000"/>
        </w:rPr>
        <w:t>分析结果表明，六个因素可以分为两类：原因因素（原因度为正）和结果因素（原因度为负）。</w:t>
      </w:r>
    </w:p>
    <w:p>
      <w:pPr>
        <w:spacing w:line="360" w:lineRule="auto" w:after="0" w:before="0"/>
        <w:ind w:firstLine="420"/>
      </w:pPr>
      <w:r>
        <w:rPr>
          <w:rFonts w:ascii="Times New Roman" w:hAnsi="Times New Roman" w:eastAsia="宋体"/>
          <w:color w:val="000000"/>
        </w:rPr>
        <w:t>原因因素包括政策法规（PL）和平台建设（OG）。 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spacing w:line="360" w:lineRule="auto" w:after="0" w:before="0"/>
        <w:ind w:firstLine="420"/>
      </w:pPr>
      <w:r>
        <w:rPr>
          <w:rFonts w:ascii="Times New Roman" w:hAnsi="Times New Roman" w:eastAsia="宋体"/>
          <w:color w:val="000000"/>
        </w:rPr>
        <w:t>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spacing w:line="360" w:lineRule="auto" w:after="0" w:before="0"/>
        <w:ind w:firstLine="420"/>
      </w:pPr>
      <w:r>
        <w:rPr>
          <w:rFonts w:ascii="Times New Roman" w:hAnsi="Times New Roman" w:eastAsia="宋体"/>
          <w:color w:val="000000"/>
        </w:rPr>
        <w:t>结果因素包括数据质量（PC）、数据集数量（DQ）、应用效果（AE）和运营模式（OP）。 AE的原因度最低（-2.111），表明应用效果是受影响最大的因素——它受到其他五个因素的共同影响，但很少影响其他因素。DQ的原因度为-0.879，表明数据集数量主要受到政策法规和平台建设的影响，而非主动影响其他因素。</w:t>
      </w:r>
    </w:p>
    <w:p>
      <w:pPr>
        <w:spacing w:line="360" w:lineRule="auto" w:after="0" w:before="0"/>
        <w:ind w:firstLine="420"/>
      </w:pPr>
      <w:r>
        <w:rPr>
          <w:rFonts w:ascii="Times New Roman" w:hAnsi="Times New Roman" w:eastAsia="宋体"/>
          <w:color w:val="000000"/>
        </w:rPr>
        <w:t>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spacing w:line="360" w:lineRule="auto" w:after="0" w:before="0"/>
        <w:ind w:firstLine="420"/>
      </w:pPr>
      <w:r>
        <w:rPr>
          <w:rFonts w:ascii="Times New Roman" w:hAnsi="Times New Roman" w:eastAsia="宋体"/>
          <w:color w:val="000000"/>
        </w:rPr>
        <w:t>中心度分析。 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spacing w:line="360" w:lineRule="auto" w:after="0" w:before="0"/>
        <w:ind w:firstLine="420"/>
      </w:pPr>
      <w:r>
        <w:rPr>
          <w:rFonts w:ascii="Times New Roman" w:hAnsi="Times New Roman" w:eastAsia="宋体"/>
          <w:color w:val="000000"/>
        </w:rPr>
        <w:t>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p>
      <w:pPr>
        <w:spacing w:line="360" w:lineRule="auto" w:after="0" w:before="0"/>
        <w:ind w:firstLine="420"/>
      </w:pPr>
      <w:r>
        <w:rPr>
          <w:rFonts w:ascii="Times New Roman" w:hAnsi="Times New Roman" w:eastAsia="黑体"/>
          <w:b/>
          <w:color w:val="000000"/>
          <w:sz w:val="24"/>
        </w:rPr>
        <w:t>6.2.3 因果关系网络图</w:t>
      </w:r>
    </w:p>
    <w:p>
      <w:pPr>
        <w:spacing w:line="360" w:lineRule="auto" w:after="0" w:before="0"/>
        <w:ind w:firstLine="420"/>
      </w:pPr>
      <w:r>
        <w:rPr>
          <w:rFonts w:ascii="Times New Roman" w:hAnsi="Times New Roman" w:eastAsia="宋体"/>
          <w:color w:val="000000"/>
        </w:rPr>
        <w:t>基于DEMATEL分析结果，本研究构建了因素因果关系网络图（如图6-1所示，略）。网络图揭示了以下传导路径。</w:t>
      </w:r>
    </w:p>
    <w:p>
      <w:pPr>
        <w:spacing w:line="360" w:lineRule="auto" w:after="0" w:before="0"/>
        <w:ind w:firstLine="420"/>
      </w:pPr>
      <w:r>
        <w:rPr>
          <w:rFonts w:ascii="Times New Roman" w:hAnsi="Times New Roman" w:eastAsia="宋体"/>
          <w:color w:val="000000"/>
        </w:rPr>
        <w:t>路径一：政策法规→平台建设→数据质量→应用效果。 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spacing w:line="360" w:lineRule="auto" w:after="0" w:before="0"/>
        <w:ind w:firstLine="420"/>
      </w:pPr>
      <w:r>
        <w:rPr>
          <w:rFonts w:ascii="Times New Roman" w:hAnsi="Times New Roman" w:eastAsia="宋体"/>
          <w:color w:val="000000"/>
        </w:rPr>
        <w:t>路径二：政策法规→数据集数量→应用效果。 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spacing w:line="360" w:lineRule="auto" w:after="0" w:before="0"/>
        <w:ind w:firstLine="420"/>
      </w:pPr>
      <w:r>
        <w:rPr>
          <w:rFonts w:ascii="Times New Roman" w:hAnsi="Times New Roman" w:eastAsia="宋体"/>
          <w:color w:val="000000"/>
        </w:rPr>
        <w:t>路径三：平台建设→运营模式→应用效果。 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p>
      <w:pPr>
        <w:spacing w:line="360" w:lineRule="auto" w:after="0" w:before="0"/>
      </w:pPr>
      <w:r>
        <w:rPr>
          <w:rFonts w:ascii="Times New Roman" w:hAnsi="Times New Roman" w:eastAsia="黑体"/>
          <w:b/>
          <w:color w:val="000000"/>
          <w:sz w:val="24"/>
        </w:rPr>
        <w:t>6.3 fsQCA组态分析</w:t>
      </w:r>
    </w:p>
    <w:p>
      <w:pPr>
        <w:spacing w:line="360" w:lineRule="auto" w:after="0" w:before="0"/>
        <w:ind w:firstLine="420"/>
      </w:pPr>
      <w:r>
        <w:rPr>
          <w:rFonts w:ascii="Times New Roman" w:hAnsi="Times New Roman" w:eastAsia="黑体"/>
          <w:b/>
          <w:color w:val="000000"/>
          <w:sz w:val="24"/>
        </w:rPr>
        <w:t>6.3.1 分析方法与校准</w:t>
      </w:r>
    </w:p>
    <w:p>
      <w:pPr>
        <w:spacing w:line="360" w:lineRule="auto" w:after="0" w:before="0"/>
        <w:ind w:firstLine="420"/>
      </w:pPr>
      <w:r>
        <w:rPr>
          <w:rFonts w:ascii="Times New Roman" w:hAnsi="Times New Roman" w:eastAsia="宋体"/>
          <w:color w:val="000000"/>
        </w:rPr>
        <w:t>fsQCA方法通过分析条件变量的组合效应，识别导致结果变量的多重等效路径。本研究将TOPSIS绩效得分作为结果变量，将六个影响因素（PL、OG、PC、DQ、AE、OP）作为条件变量。</w:t>
      </w:r>
    </w:p>
    <w:p>
      <w:pPr>
        <w:spacing w:line="360" w:lineRule="auto" w:after="0" w:before="0"/>
        <w:ind w:firstLine="420"/>
      </w:pPr>
      <w:r>
        <w:rPr>
          <w:rFonts w:ascii="Times New Roman" w:hAnsi="Times New Roman" w:eastAsia="宋体"/>
          <w:color w:val="000000"/>
        </w:rPr>
        <w:t>变量校准。 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spacing w:line="360" w:lineRule="auto" w:after="0" w:before="0"/>
        <w:ind w:firstLine="420"/>
      </w:pPr>
      <w:r>
        <w:rPr>
          <w:rFonts w:ascii="Times New Roman" w:hAnsi="Times New Roman" w:eastAsia="宋体"/>
          <w:color w:val="000000"/>
        </w:rPr>
        <w:t>真值表构建。 六个条件变量共有2^6=64种可能的条件组合。基于22个样本数据，计算每种组合下的案例数量和结果一致性。将案例数量阈值设为1，一致性阈值设为0.80，将不满足阈值条件的组合标记为"逻辑余项"。</w:t>
      </w:r>
    </w:p>
    <w:p>
      <w:pPr>
        <w:spacing w:line="360" w:lineRule="auto" w:after="0" w:before="0"/>
        <w:ind w:firstLine="420"/>
      </w:pPr>
      <w:r>
        <w:rPr>
          <w:rFonts w:ascii="Times New Roman" w:hAnsi="Times New Roman" w:eastAsia="宋体"/>
          <w:color w:val="000000"/>
        </w:rPr>
        <w:t>布尔最小化。 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p>
      <w:pPr>
        <w:spacing w:line="360" w:lineRule="auto" w:after="0" w:before="0"/>
        <w:ind w:firstLine="420"/>
      </w:pPr>
      <w:r>
        <w:rPr>
          <w:rFonts w:ascii="Times New Roman" w:hAnsi="Times New Roman" w:eastAsia="黑体"/>
          <w:b/>
          <w:color w:val="000000"/>
          <w:sz w:val="24"/>
        </w:rPr>
        <w:t>6.3.2 高绩效组态分析</w:t>
      </w:r>
    </w:p>
    <w:p>
      <w:pPr>
        <w:spacing w:line="360" w:lineRule="auto" w:after="0" w:before="0"/>
        <w:ind w:firstLine="420"/>
      </w:pPr>
      <w:r>
        <w:rPr>
          <w:rFonts w:ascii="Times New Roman" w:hAnsi="Times New Roman" w:eastAsia="宋体"/>
          <w:color w:val="000000"/>
        </w:rPr>
        <w:t>fsQCA分析识别了导致高绩效的三条组态路径，如表6-2所示。</w:t>
      </w:r>
    </w:p>
    <w:p>
      <w:pPr>
        <w:spacing w:line="360" w:lineRule="auto" w:after="0" w:before="0"/>
        <w:ind w:firstLine="420"/>
      </w:pPr>
      <w:r>
        <w:rPr>
          <w:rFonts w:ascii="Times New Roman" w:hAnsi="Times New Roman" w:eastAsia="宋体"/>
          <w:color w:val="000000"/>
        </w:rPr>
        <w:t>表6-2 高绩效平台组态分析结果</w:t>
      </w:r>
    </w:p>
    <w:tbl>
      <w:tblPr>
        <w:tblW w:type="auto" w:w="0"/>
        <w:jc w:val="center"/>
        <w:tblLook w:firstColumn="1" w:firstRow="1" w:lastColumn="0" w:lastRow="0" w:noHBand="0" w:noVBand="1" w:val="04A0"/>
      </w:tblPr>
      <w:tblGrid>
        <w:gridCol w:w="2161"/>
        <w:gridCol w:w="2161"/>
        <w:gridCol w:w="2161"/>
        <w:gridCol w:w="2161"/>
      </w:tblGrid>
      <w:tr>
        <w:tc>
          <w:tcPr>
            <w:tcW w:type="dxa" w:w="2161"/>
            <w:tcBorders/>
          </w:tcPr>
          <w:p>
            <w:pPr>
              <w:jc w:val="center"/>
            </w:pPr>
            <w:r>
              <w:rPr>
                <w:rFonts w:ascii="Times New Roman" w:hAnsi="Times New Roman" w:eastAsia="宋体"/>
                <w:b/>
                <w:sz w:val="21"/>
              </w:rPr>
              <w:t>条件变量</w:t>
            </w:r>
          </w:p>
        </w:tc>
        <w:tc>
          <w:tcPr>
            <w:tcW w:type="dxa" w:w="2161"/>
            <w:tcBorders/>
          </w:tcPr>
          <w:p>
            <w:pPr>
              <w:jc w:val="center"/>
            </w:pPr>
            <w:r>
              <w:rPr>
                <w:rFonts w:ascii="Times New Roman" w:hAnsi="Times New Roman" w:eastAsia="宋体"/>
                <w:b/>
                <w:sz w:val="21"/>
              </w:rPr>
              <w:t>路径H1</w:t>
            </w:r>
          </w:p>
        </w:tc>
        <w:tc>
          <w:tcPr>
            <w:tcW w:type="dxa" w:w="2161"/>
            <w:tcBorders/>
          </w:tcPr>
          <w:p>
            <w:pPr>
              <w:jc w:val="center"/>
            </w:pPr>
            <w:r>
              <w:rPr>
                <w:rFonts w:ascii="Times New Roman" w:hAnsi="Times New Roman" w:eastAsia="宋体"/>
                <w:b/>
                <w:sz w:val="21"/>
              </w:rPr>
              <w:t>路径H2</w:t>
            </w:r>
          </w:p>
        </w:tc>
        <w:tc>
          <w:tcPr>
            <w:tcW w:type="dxa" w:w="2161"/>
            <w:tcBorders/>
          </w:tcPr>
          <w:p>
            <w:pPr>
              <w:jc w:val="center"/>
            </w:pPr>
            <w:r>
              <w:rPr>
                <w:rFonts w:ascii="Times New Roman" w:hAnsi="Times New Roman" w:eastAsia="宋体"/>
                <w:b/>
                <w:sz w:val="21"/>
              </w:rPr>
              <w:t>路径H3</w:t>
            </w:r>
          </w:p>
        </w:tc>
      </w:tr>
      <w:tr>
        <w:tc>
          <w:tcPr>
            <w:tcW w:type="dxa" w:w="2161"/>
            <w:tcBorders/>
          </w:tcPr>
          <w:p>
            <w:pPr>
              <w:jc w:val="center"/>
            </w:pPr>
            <w:r>
              <w:rPr>
                <w:rFonts w:ascii="Times New Roman" w:hAnsi="Times New Roman" w:eastAsia="宋体"/>
                <w:sz w:val="21"/>
              </w:rPr>
              <w:t>PL政策法规</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OG平台建设</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PC数据质量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DQ数据集数量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AE应用效果</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OP运营模式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一致性</w:t>
            </w:r>
          </w:p>
        </w:tc>
        <w:tc>
          <w:tcPr>
            <w:tcW w:type="dxa" w:w="2161"/>
            <w:tcBorders/>
          </w:tcPr>
          <w:p>
            <w:pPr>
              <w:jc w:val="center"/>
            </w:pPr>
            <w:r>
              <w:rPr>
                <w:rFonts w:ascii="Times New Roman" w:hAnsi="Times New Roman" w:eastAsia="宋体"/>
                <w:sz w:val="21"/>
              </w:rPr>
              <w:t>0.92</w:t>
            </w:r>
          </w:p>
        </w:tc>
        <w:tc>
          <w:tcPr>
            <w:tcW w:type="dxa" w:w="2161"/>
            <w:tcBorders/>
          </w:tcPr>
          <w:p>
            <w:pPr>
              <w:jc w:val="center"/>
            </w:pPr>
            <w:r>
              <w:rPr>
                <w:rFonts w:ascii="Times New Roman" w:hAnsi="Times New Roman" w:eastAsia="宋体"/>
                <w:sz w:val="21"/>
              </w:rPr>
              <w:t>0.89</w:t>
            </w:r>
          </w:p>
        </w:tc>
        <w:tc>
          <w:tcPr>
            <w:tcW w:type="dxa" w:w="2161"/>
            <w:tcBorders/>
          </w:tcPr>
          <w:p>
            <w:pPr>
              <w:jc w:val="center"/>
            </w:pPr>
            <w:r>
              <w:rPr>
                <w:rFonts w:ascii="Times New Roman" w:hAnsi="Times New Roman" w:eastAsia="宋体"/>
                <w:sz w:val="21"/>
              </w:rPr>
              <w:t>0.85</w:t>
            </w:r>
          </w:p>
        </w:tc>
      </w:tr>
      <w:tr>
        <w:tc>
          <w:tcPr>
            <w:tcW w:type="dxa" w:w="2161"/>
            <w:tcBorders/>
          </w:tcPr>
          <w:p>
            <w:pPr>
              <w:jc w:val="center"/>
            </w:pPr>
            <w:r>
              <w:rPr>
                <w:rFonts w:ascii="Times New Roman" w:hAnsi="Times New Roman" w:eastAsia="宋体"/>
                <w:sz w:val="21"/>
              </w:rPr>
              <w:t>覆盖率</w:t>
            </w:r>
          </w:p>
        </w:tc>
        <w:tc>
          <w:tcPr>
            <w:tcW w:type="dxa" w:w="2161"/>
            <w:tcBorders/>
          </w:tcPr>
          <w:p>
            <w:pPr>
              <w:jc w:val="center"/>
            </w:pPr>
            <w:r>
              <w:rPr>
                <w:rFonts w:ascii="Times New Roman" w:hAnsi="Times New Roman" w:eastAsia="宋体"/>
                <w:sz w:val="21"/>
              </w:rPr>
              <w:t>0.45</w:t>
            </w:r>
          </w:p>
        </w:tc>
        <w:tc>
          <w:tcPr>
            <w:tcW w:type="dxa" w:w="2161"/>
            <w:tcBorders/>
          </w:tcPr>
          <w:p>
            <w:pPr>
              <w:jc w:val="center"/>
            </w:pPr>
            <w:r>
              <w:rPr>
                <w:rFonts w:ascii="Times New Roman" w:hAnsi="Times New Roman" w:eastAsia="宋体"/>
                <w:sz w:val="21"/>
              </w:rPr>
              <w:t>0.38</w:t>
            </w:r>
          </w:p>
        </w:tc>
        <w:tc>
          <w:tcPr>
            <w:tcW w:type="dxa" w:w="2161"/>
            <w:tcBorders/>
          </w:tcPr>
          <w:p>
            <w:pPr>
              <w:jc w:val="center"/>
            </w:pPr>
            <w:r>
              <w:rPr>
                <w:rFonts w:ascii="Times New Roman" w:hAnsi="Times New Roman" w:eastAsia="宋体"/>
                <w:sz w:val="21"/>
              </w:rPr>
              <w:t>0.28</w:t>
            </w:r>
          </w:p>
        </w:tc>
      </w:tr>
    </w:tbl>
    <w:p/>
    <w:p>
      <w:pPr>
        <w:spacing w:line="360" w:lineRule="auto" w:after="0" w:before="0"/>
        <w:ind w:firstLine="420"/>
      </w:pPr>
      <w:r>
        <w:rPr>
          <w:rFonts w:ascii="Times New Roman" w:hAnsi="Times New Roman" w:eastAsia="宋体"/>
          <w:color w:val="000000"/>
        </w:rPr>
        <w:t>注：●表示核心条件存在，○表示边缘条件存在，空白表示条件可存在可不存在。</w:t>
      </w:r>
    </w:p>
    <w:p>
      <w:pPr>
        <w:spacing w:line="360" w:lineRule="auto" w:after="0" w:before="0"/>
        <w:ind w:firstLine="420"/>
      </w:pPr>
      <w:r>
        <w:rPr>
          <w:rFonts w:ascii="Times New Roman" w:hAnsi="Times New Roman" w:eastAsia="宋体"/>
          <w:color w:val="000000"/>
        </w:rPr>
        <w:t>路径H1：全要素驱动型。 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spacing w:line="360" w:lineRule="auto" w:after="0" w:before="0"/>
        <w:ind w:firstLine="420"/>
      </w:pPr>
      <w:r>
        <w:rPr>
          <w:rFonts w:ascii="Times New Roman" w:hAnsi="Times New Roman" w:eastAsia="宋体"/>
          <w:color w:val="000000"/>
        </w:rPr>
        <w:t>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spacing w:line="360" w:lineRule="auto" w:after="0" w:before="0"/>
        <w:ind w:firstLine="420"/>
      </w:pPr>
      <w:r>
        <w:rPr>
          <w:rFonts w:ascii="Times New Roman" w:hAnsi="Times New Roman" w:eastAsia="宋体"/>
          <w:color w:val="000000"/>
        </w:rPr>
        <w:t>路径H2：制度质量驱动型。 核心条件为PL●、PC●、DQ●，边缘条件为OG○。这条路径对应的平台是北京和上海——这两个平台在政策法规、数据质量和数据集数量三个维度上表现突出，但平台建设和应用效果相对一般。路径H2的一致性为0.89，覆盖率为0.38。</w:t>
      </w:r>
    </w:p>
    <w:p>
      <w:pPr>
        <w:spacing w:line="360" w:lineRule="auto" w:after="0" w:before="0"/>
        <w:ind w:firstLine="420"/>
      </w:pPr>
      <w:r>
        <w:rPr>
          <w:rFonts w:ascii="Times New Roman" w:hAnsi="Times New Roman" w:eastAsia="宋体"/>
          <w:color w:val="000000"/>
        </w:rPr>
        <w:t>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spacing w:line="360" w:lineRule="auto" w:after="0" w:before="0"/>
        <w:ind w:firstLine="420"/>
      </w:pPr>
      <w:r>
        <w:rPr>
          <w:rFonts w:ascii="Times New Roman" w:hAnsi="Times New Roman" w:eastAsia="宋体"/>
          <w:color w:val="000000"/>
        </w:rPr>
        <w:t>路径H3：平台运营驱动型。 核心条件为OG●、DQ●、OP●，边缘条件为PL○。这条路径对应的平台是山东和福建——这两个平台在平台建设、数据集数量和运营模式三个维度上表现突出，但政策法规和应用效果相对一般。路径H3的一致性为0.85，覆盖率为0.28。</w:t>
      </w:r>
    </w:p>
    <w:p>
      <w:pPr>
        <w:spacing w:line="360" w:lineRule="auto" w:after="0" w:before="0"/>
        <w:ind w:firstLine="420"/>
      </w:pPr>
      <w:r>
        <w:rPr>
          <w:rFonts w:ascii="Times New Roman" w:hAnsi="Times New Roman" w:eastAsia="宋体"/>
          <w:color w:val="000000"/>
        </w:rPr>
        <w:t>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p>
      <w:pPr>
        <w:spacing w:line="360" w:lineRule="auto" w:after="0" w:before="0"/>
        <w:ind w:firstLine="420"/>
      </w:pPr>
      <w:r>
        <w:rPr>
          <w:rFonts w:ascii="Times New Roman" w:hAnsi="Times New Roman" w:eastAsia="黑体"/>
          <w:b/>
          <w:color w:val="000000"/>
          <w:sz w:val="24"/>
        </w:rPr>
        <w:t>6.3.3 低绩效组态分析</w:t>
      </w:r>
    </w:p>
    <w:p>
      <w:pPr>
        <w:spacing w:line="360" w:lineRule="auto" w:after="0" w:before="0"/>
        <w:ind w:firstLine="420"/>
      </w:pPr>
      <w:r>
        <w:rPr>
          <w:rFonts w:ascii="Times New Roman" w:hAnsi="Times New Roman" w:eastAsia="宋体"/>
          <w:color w:val="000000"/>
        </w:rPr>
        <w:t>fsQCA分析还识别了导致低绩效的组态路径，如表6-3所示。</w:t>
      </w:r>
    </w:p>
    <w:p>
      <w:pPr>
        <w:spacing w:line="360" w:lineRule="auto" w:after="0" w:before="0"/>
        <w:ind w:firstLine="420"/>
      </w:pPr>
      <w:r>
        <w:rPr>
          <w:rFonts w:ascii="Times New Roman" w:hAnsi="Times New Roman" w:eastAsia="宋体"/>
          <w:color w:val="000000"/>
        </w:rPr>
        <w:t>表6-3 低绩效平台组态分析结果</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条件变量</w:t>
            </w:r>
          </w:p>
        </w:tc>
        <w:tc>
          <w:tcPr>
            <w:tcW w:type="dxa" w:w="2882"/>
            <w:tcBorders/>
          </w:tcPr>
          <w:p>
            <w:pPr>
              <w:jc w:val="center"/>
            </w:pPr>
            <w:r>
              <w:rPr>
                <w:rFonts w:ascii="Times New Roman" w:hAnsi="Times New Roman" w:eastAsia="宋体"/>
                <w:b/>
                <w:sz w:val="21"/>
              </w:rPr>
              <w:t>路径L1</w:t>
            </w:r>
          </w:p>
        </w:tc>
        <w:tc>
          <w:tcPr>
            <w:tcW w:type="dxa" w:w="2882"/>
            <w:tcBorders/>
          </w:tcPr>
          <w:p>
            <w:pPr>
              <w:jc w:val="center"/>
            </w:pPr>
            <w:r>
              <w:rPr>
                <w:rFonts w:ascii="Times New Roman" w:hAnsi="Times New Roman" w:eastAsia="宋体"/>
                <w:b/>
                <w:sz w:val="21"/>
              </w:rPr>
              <w:t>路径L2</w:t>
            </w:r>
          </w:p>
        </w:tc>
      </w:tr>
      <w:tr>
        <w:tc>
          <w:tcPr>
            <w:tcW w:type="dxa" w:w="2882"/>
            <w:tcBorders/>
          </w:tcPr>
          <w:p>
            <w:pPr>
              <w:jc w:val="center"/>
            </w:pPr>
            <w:r>
              <w:rPr>
                <w:rFonts w:ascii="Times New Roman" w:hAnsi="Times New Roman" w:eastAsia="宋体"/>
                <w:sz w:val="21"/>
              </w:rPr>
              <w:t>PL政策法规</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OG平台建设</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PC数据质量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DQ数据集数量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AE应用效果</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OP运营模式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一致性</w:t>
            </w:r>
          </w:p>
        </w:tc>
        <w:tc>
          <w:tcPr>
            <w:tcW w:type="dxa" w:w="2882"/>
            <w:tcBorders/>
          </w:tcPr>
          <w:p>
            <w:pPr>
              <w:jc w:val="center"/>
            </w:pPr>
            <w:r>
              <w:rPr>
                <w:rFonts w:ascii="Times New Roman" w:hAnsi="Times New Roman" w:eastAsia="宋体"/>
                <w:sz w:val="21"/>
              </w:rPr>
              <w:t>0.95</w:t>
            </w:r>
          </w:p>
        </w:tc>
        <w:tc>
          <w:tcPr>
            <w:tcW w:type="dxa" w:w="2882"/>
            <w:tcBorders/>
          </w:tcPr>
          <w:p>
            <w:pPr>
              <w:jc w:val="center"/>
            </w:pPr>
            <w:r>
              <w:rPr>
                <w:rFonts w:ascii="Times New Roman" w:hAnsi="Times New Roman" w:eastAsia="宋体"/>
                <w:sz w:val="21"/>
              </w:rPr>
              <w:t>0.91</w:t>
            </w:r>
          </w:p>
        </w:tc>
      </w:tr>
      <w:tr>
        <w:tc>
          <w:tcPr>
            <w:tcW w:type="dxa" w:w="2882"/>
            <w:tcBorders/>
          </w:tcPr>
          <w:p>
            <w:pPr>
              <w:jc w:val="center"/>
            </w:pPr>
            <w:r>
              <w:rPr>
                <w:rFonts w:ascii="Times New Roman" w:hAnsi="Times New Roman" w:eastAsia="宋体"/>
                <w:sz w:val="21"/>
              </w:rPr>
              <w:t>覆盖率</w:t>
            </w:r>
          </w:p>
        </w:tc>
        <w:tc>
          <w:tcPr>
            <w:tcW w:type="dxa" w:w="2882"/>
            <w:tcBorders/>
          </w:tcPr>
          <w:p>
            <w:pPr>
              <w:jc w:val="center"/>
            </w:pPr>
            <w:r>
              <w:rPr>
                <w:rFonts w:ascii="Times New Roman" w:hAnsi="Times New Roman" w:eastAsia="宋体"/>
                <w:sz w:val="21"/>
              </w:rPr>
              <w:t>0.52</w:t>
            </w:r>
          </w:p>
        </w:tc>
        <w:tc>
          <w:tcPr>
            <w:tcW w:type="dxa" w:w="2882"/>
            <w:tcBorders/>
          </w:tcPr>
          <w:p>
            <w:pPr>
              <w:jc w:val="center"/>
            </w:pPr>
            <w:r>
              <w:rPr>
                <w:rFonts w:ascii="Times New Roman" w:hAnsi="Times New Roman" w:eastAsia="宋体"/>
                <w:sz w:val="21"/>
              </w:rPr>
              <w:t>0.38</w:t>
            </w:r>
          </w:p>
        </w:tc>
      </w:tr>
    </w:tbl>
    <w:p/>
    <w:p>
      <w:pPr>
        <w:spacing w:line="360" w:lineRule="auto" w:after="0" w:before="0"/>
        <w:ind w:firstLine="420"/>
      </w:pPr>
      <w:r>
        <w:rPr>
          <w:rFonts w:ascii="Times New Roman" w:hAnsi="Times New Roman" w:eastAsia="宋体"/>
          <w:color w:val="000000"/>
        </w:rPr>
        <w:t>注：⊗表示核心条件缺失，○表示边缘条件缺失。</w:t>
      </w:r>
    </w:p>
    <w:p>
      <w:pPr>
        <w:spacing w:line="360" w:lineRule="auto" w:after="0" w:before="0"/>
        <w:ind w:firstLine="420"/>
      </w:pPr>
      <w:r>
        <w:rPr>
          <w:rFonts w:ascii="Times New Roman" w:hAnsi="Times New Roman" w:eastAsia="宋体"/>
          <w:color w:val="000000"/>
        </w:rPr>
        <w:t>路径L1：全面匮乏型。 核心条件为PL⊗、OG⊗、PC⊗、DQ⊗、AE⊗、OP⊗。这条路径对应的平台是新疆、黑龙江和山西——这些平台在所有六个因素上均表现不佳，属于"全面落后型"平台。路径L1的一致性为0.95，覆盖率为0.52，表明超过一半的低绩效平台属于这一类型。</w:t>
      </w:r>
    </w:p>
    <w:p>
      <w:pPr>
        <w:spacing w:line="360" w:lineRule="auto" w:after="0" w:before="0"/>
        <w:ind w:firstLine="420"/>
      </w:pPr>
      <w:r>
        <w:rPr>
          <w:rFonts w:ascii="Times New Roman" w:hAnsi="Times New Roman" w:eastAsia="宋体"/>
          <w:color w:val="000000"/>
        </w:rPr>
        <w:t>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spacing w:line="360" w:lineRule="auto" w:after="0" w:before="0"/>
        <w:ind w:firstLine="420"/>
      </w:pPr>
      <w:r>
        <w:rPr>
          <w:rFonts w:ascii="Times New Roman" w:hAnsi="Times New Roman" w:eastAsia="宋体"/>
          <w:color w:val="000000"/>
        </w:rPr>
        <w:t>路径L2：制度缺失型。 核心条件为PL⊗、PC⊗、AE⊗、OP⊗，边缘条件为OG○、DQ○。这条路径对应的平台是云南和广西——这些平台在平台功能和数据集数量方面尚可，但在政策法规、数据质量、应用效果和运营模式方面存在严重不足。</w:t>
      </w:r>
    </w:p>
    <w:p>
      <w:pPr>
        <w:spacing w:line="360" w:lineRule="auto" w:after="0" w:before="0"/>
        <w:ind w:firstLine="420"/>
      </w:pPr>
      <w:r>
        <w:rPr>
          <w:rFonts w:ascii="Times New Roman" w:hAnsi="Times New Roman" w:eastAsia="宋体"/>
          <w:color w:val="000000"/>
        </w:rPr>
        <w:t>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p>
      <w:pPr>
        <w:spacing w:line="360" w:lineRule="auto" w:after="0" w:before="0"/>
        <w:ind w:firstLine="420"/>
      </w:pPr>
      <w:r>
        <w:rPr>
          <w:rFonts w:ascii="Times New Roman" w:hAnsi="Times New Roman" w:eastAsia="黑体"/>
          <w:b/>
          <w:color w:val="000000"/>
          <w:sz w:val="24"/>
        </w:rPr>
        <w:t>6.3.4 必要条件分析</w:t>
      </w:r>
    </w:p>
    <w:p>
      <w:pPr>
        <w:spacing w:line="360" w:lineRule="auto" w:after="0" w:before="0"/>
        <w:ind w:firstLine="420"/>
      </w:pPr>
      <w:r>
        <w:rPr>
          <w:rFonts w:ascii="Times New Roman" w:hAnsi="Times New Roman" w:eastAsia="宋体"/>
          <w:color w:val="000000"/>
        </w:rPr>
        <w:t>fsQCA的必要条件分析检验了单个条件变量是否为高绩效（或低绩效）的必要条件。分析结果如表6-4所示。</w:t>
      </w:r>
    </w:p>
    <w:p>
      <w:pPr>
        <w:spacing w:line="360" w:lineRule="auto" w:after="0" w:before="0"/>
        <w:ind w:firstLine="420"/>
      </w:pPr>
      <w:r>
        <w:rPr>
          <w:rFonts w:ascii="Times New Roman" w:hAnsi="Times New Roman" w:eastAsia="宋体"/>
          <w:color w:val="000000"/>
        </w:rPr>
        <w:t>表6-4 必要条件分析结果</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条件变量</w:t>
            </w:r>
          </w:p>
        </w:tc>
        <w:tc>
          <w:tcPr>
            <w:tcW w:type="dxa" w:w="1729"/>
            <w:tcBorders/>
          </w:tcPr>
          <w:p>
            <w:pPr>
              <w:jc w:val="center"/>
            </w:pPr>
            <w:r>
              <w:rPr>
                <w:rFonts w:ascii="Times New Roman" w:hAnsi="Times New Roman" w:eastAsia="宋体"/>
                <w:b/>
                <w:sz w:val="21"/>
              </w:rPr>
              <w:t>高绩效一致性</w:t>
            </w:r>
          </w:p>
        </w:tc>
        <w:tc>
          <w:tcPr>
            <w:tcW w:type="dxa" w:w="1729"/>
            <w:tcBorders/>
          </w:tcPr>
          <w:p>
            <w:pPr>
              <w:jc w:val="center"/>
            </w:pPr>
            <w:r>
              <w:rPr>
                <w:rFonts w:ascii="Times New Roman" w:hAnsi="Times New Roman" w:eastAsia="宋体"/>
                <w:b/>
                <w:sz w:val="21"/>
              </w:rPr>
              <w:t>高绩效覆盖率</w:t>
            </w:r>
          </w:p>
        </w:tc>
        <w:tc>
          <w:tcPr>
            <w:tcW w:type="dxa" w:w="1729"/>
            <w:tcBorders/>
          </w:tcPr>
          <w:p>
            <w:pPr>
              <w:jc w:val="center"/>
            </w:pPr>
            <w:r>
              <w:rPr>
                <w:rFonts w:ascii="Times New Roman" w:hAnsi="Times New Roman" w:eastAsia="宋体"/>
                <w:b/>
                <w:sz w:val="21"/>
              </w:rPr>
              <w:t>低绩效一致性</w:t>
            </w:r>
          </w:p>
        </w:tc>
        <w:tc>
          <w:tcPr>
            <w:tcW w:type="dxa" w:w="1729"/>
            <w:tcBorders/>
          </w:tcPr>
          <w:p>
            <w:pPr>
              <w:jc w:val="center"/>
            </w:pPr>
            <w:r>
              <w:rPr>
                <w:rFonts w:ascii="Times New Roman" w:hAnsi="Times New Roman" w:eastAsia="宋体"/>
                <w:b/>
                <w:sz w:val="21"/>
              </w:rPr>
              <w:t>低绩效覆盖率</w:t>
            </w:r>
          </w:p>
        </w:tc>
      </w:tr>
      <w:tr>
        <w:tc>
          <w:tcPr>
            <w:tcW w:type="dxa" w:w="1729"/>
            <w:tcBorders/>
          </w:tcPr>
          <w:p>
            <w:pPr>
              <w:jc w:val="center"/>
            </w:pPr>
            <w:r>
              <w:rPr>
                <w:rFonts w:ascii="Times New Roman" w:hAnsi="Times New Roman" w:eastAsia="宋体"/>
                <w:sz w:val="21"/>
              </w:rPr>
              <w:t>PL政策法规</w:t>
            </w:r>
          </w:p>
        </w:tc>
        <w:tc>
          <w:tcPr>
            <w:tcW w:type="dxa" w:w="1729"/>
            <w:tcBorders/>
          </w:tcPr>
          <w:p>
            <w:pPr>
              <w:jc w:val="center"/>
            </w:pPr>
            <w:r>
              <w:rPr>
                <w:rFonts w:ascii="Times New Roman" w:hAnsi="Times New Roman" w:eastAsia="宋体"/>
                <w:sz w:val="21"/>
              </w:rPr>
              <w:t>0.85</w:t>
            </w:r>
          </w:p>
        </w:tc>
        <w:tc>
          <w:tcPr>
            <w:tcW w:type="dxa" w:w="1729"/>
            <w:tcBorders/>
          </w:tcPr>
          <w:p>
            <w:pPr>
              <w:jc w:val="center"/>
            </w:pPr>
            <w:r>
              <w:rPr>
                <w:rFonts w:ascii="Times New Roman" w:hAnsi="Times New Roman" w:eastAsia="宋体"/>
                <w:sz w:val="21"/>
              </w:rPr>
              <w:t>0.72</w:t>
            </w:r>
          </w:p>
        </w:tc>
        <w:tc>
          <w:tcPr>
            <w:tcW w:type="dxa" w:w="1729"/>
            <w:tcBorders/>
          </w:tcPr>
          <w:p>
            <w:pPr>
              <w:jc w:val="center"/>
            </w:pPr>
            <w:r>
              <w:rPr>
                <w:rFonts w:ascii="Times New Roman" w:hAnsi="Times New Roman" w:eastAsia="宋体"/>
                <w:sz w:val="21"/>
              </w:rPr>
              <w:t>0.32</w:t>
            </w:r>
          </w:p>
        </w:tc>
        <w:tc>
          <w:tcPr>
            <w:tcW w:type="dxa" w:w="1729"/>
            <w:tcBorders/>
          </w:tcPr>
          <w:p>
            <w:pPr>
              <w:jc w:val="center"/>
            </w:pPr>
            <w:r>
              <w:rPr>
                <w:rFonts w:ascii="Times New Roman" w:hAnsi="Times New Roman" w:eastAsia="宋体"/>
                <w:sz w:val="21"/>
              </w:rPr>
              <w:t>0.28</w:t>
            </w:r>
          </w:p>
        </w:tc>
      </w:tr>
      <w:tr>
        <w:tc>
          <w:tcPr>
            <w:tcW w:type="dxa" w:w="1729"/>
            <w:tcBorders/>
          </w:tcPr>
          <w:p>
            <w:pPr>
              <w:jc w:val="center"/>
            </w:pPr>
            <w:r>
              <w:rPr>
                <w:rFonts w:ascii="Times New Roman" w:hAnsi="Times New Roman" w:eastAsia="宋体"/>
                <w:sz w:val="21"/>
              </w:rPr>
              <w:t>OG平台建设</w:t>
            </w:r>
          </w:p>
        </w:tc>
        <w:tc>
          <w:tcPr>
            <w:tcW w:type="dxa" w:w="1729"/>
            <w:tcBorders/>
          </w:tcPr>
          <w:p>
            <w:pPr>
              <w:jc w:val="center"/>
            </w:pPr>
            <w:r>
              <w:rPr>
                <w:rFonts w:ascii="Times New Roman" w:hAnsi="Times New Roman" w:eastAsia="宋体"/>
                <w:sz w:val="21"/>
              </w:rPr>
              <w:t>0.78</w:t>
            </w:r>
          </w:p>
        </w:tc>
        <w:tc>
          <w:tcPr>
            <w:tcW w:type="dxa" w:w="1729"/>
            <w:tcBorders/>
          </w:tcPr>
          <w:p>
            <w:pPr>
              <w:jc w:val="center"/>
            </w:pPr>
            <w:r>
              <w:rPr>
                <w:rFonts w:ascii="Times New Roman" w:hAnsi="Times New Roman" w:eastAsia="宋体"/>
                <w:sz w:val="21"/>
              </w:rPr>
              <w:t>0.65</w:t>
            </w:r>
          </w:p>
        </w:tc>
        <w:tc>
          <w:tcPr>
            <w:tcW w:type="dxa" w:w="1729"/>
            <w:tcBorders/>
          </w:tcPr>
          <w:p>
            <w:pPr>
              <w:jc w:val="center"/>
            </w:pPr>
            <w:r>
              <w:rPr>
                <w:rFonts w:ascii="Times New Roman" w:hAnsi="Times New Roman" w:eastAsia="宋体"/>
                <w:sz w:val="21"/>
              </w:rPr>
              <w:t>0.41</w:t>
            </w:r>
          </w:p>
        </w:tc>
        <w:tc>
          <w:tcPr>
            <w:tcW w:type="dxa" w:w="1729"/>
            <w:tcBorders/>
          </w:tcPr>
          <w:p>
            <w:pPr>
              <w:jc w:val="center"/>
            </w:pPr>
            <w:r>
              <w:rPr>
                <w:rFonts w:ascii="Times New Roman" w:hAnsi="Times New Roman" w:eastAsia="宋体"/>
                <w:sz w:val="21"/>
              </w:rPr>
              <w:t>0.35</w:t>
            </w:r>
          </w:p>
        </w:tc>
      </w:tr>
      <w:tr>
        <w:tc>
          <w:tcPr>
            <w:tcW w:type="dxa" w:w="1729"/>
            <w:tcBorders/>
          </w:tcPr>
          <w:p>
            <w:pPr>
              <w:jc w:val="center"/>
            </w:pPr>
            <w:r>
              <w:rPr>
                <w:rFonts w:ascii="Times New Roman" w:hAnsi="Times New Roman" w:eastAsia="宋体"/>
                <w:sz w:val="21"/>
              </w:rPr>
              <w:t>PC数据质量</w:t>
            </w:r>
          </w:p>
        </w:tc>
        <w:tc>
          <w:tcPr>
            <w:tcW w:type="dxa" w:w="1729"/>
            <w:tcBorders/>
          </w:tcPr>
          <w:p>
            <w:pPr>
              <w:jc w:val="center"/>
            </w:pPr>
            <w:r>
              <w:rPr>
                <w:rFonts w:ascii="Times New Roman" w:hAnsi="Times New Roman" w:eastAsia="宋体"/>
                <w:sz w:val="21"/>
              </w:rPr>
              <w:t>0.82</w:t>
            </w:r>
          </w:p>
        </w:tc>
        <w:tc>
          <w:tcPr>
            <w:tcW w:type="dxa" w:w="1729"/>
            <w:tcBorders/>
          </w:tcPr>
          <w:p>
            <w:pPr>
              <w:jc w:val="center"/>
            </w:pPr>
            <w:r>
              <w:rPr>
                <w:rFonts w:ascii="Times New Roman" w:hAnsi="Times New Roman" w:eastAsia="宋体"/>
                <w:sz w:val="21"/>
              </w:rPr>
              <w:t>0.68</w:t>
            </w:r>
          </w:p>
        </w:tc>
        <w:tc>
          <w:tcPr>
            <w:tcW w:type="dxa" w:w="1729"/>
            <w:tcBorders/>
          </w:tcPr>
          <w:p>
            <w:pPr>
              <w:jc w:val="center"/>
            </w:pPr>
            <w:r>
              <w:rPr>
                <w:rFonts w:ascii="Times New Roman" w:hAnsi="Times New Roman" w:eastAsia="宋体"/>
                <w:sz w:val="21"/>
              </w:rPr>
              <w:t>0.38</w:t>
            </w:r>
          </w:p>
        </w:tc>
        <w:tc>
          <w:tcPr>
            <w:tcW w:type="dxa" w:w="1729"/>
            <w:tcBorders/>
          </w:tcPr>
          <w:p>
            <w:pPr>
              <w:jc w:val="center"/>
            </w:pPr>
            <w:r>
              <w:rPr>
                <w:rFonts w:ascii="Times New Roman" w:hAnsi="Times New Roman" w:eastAsia="宋体"/>
                <w:sz w:val="21"/>
              </w:rPr>
              <w:t>0.32</w:t>
            </w:r>
          </w:p>
        </w:tc>
      </w:tr>
      <w:tr>
        <w:tc>
          <w:tcPr>
            <w:tcW w:type="dxa" w:w="1729"/>
            <w:tcBorders/>
          </w:tcPr>
          <w:p>
            <w:pPr>
              <w:jc w:val="center"/>
            </w:pPr>
            <w:r>
              <w:rPr>
                <w:rFonts w:ascii="Times New Roman" w:hAnsi="Times New Roman" w:eastAsia="宋体"/>
                <w:sz w:val="21"/>
              </w:rPr>
              <w:t>DQ数据集数量</w:t>
            </w:r>
          </w:p>
        </w:tc>
        <w:tc>
          <w:tcPr>
            <w:tcW w:type="dxa" w:w="1729"/>
            <w:tcBorders/>
          </w:tcPr>
          <w:p>
            <w:pPr>
              <w:jc w:val="center"/>
            </w:pPr>
            <w:r>
              <w:rPr>
                <w:rFonts w:ascii="Times New Roman" w:hAnsi="Times New Roman" w:eastAsia="宋体"/>
                <w:sz w:val="21"/>
              </w:rPr>
              <w:t>0.71</w:t>
            </w:r>
          </w:p>
        </w:tc>
        <w:tc>
          <w:tcPr>
            <w:tcW w:type="dxa" w:w="1729"/>
            <w:tcBorders/>
          </w:tcPr>
          <w:p>
            <w:pPr>
              <w:jc w:val="center"/>
            </w:pPr>
            <w:r>
              <w:rPr>
                <w:rFonts w:ascii="Times New Roman" w:hAnsi="Times New Roman" w:eastAsia="宋体"/>
                <w:sz w:val="21"/>
              </w:rPr>
              <w:t>0.58</w:t>
            </w:r>
          </w:p>
        </w:tc>
        <w:tc>
          <w:tcPr>
            <w:tcW w:type="dxa" w:w="1729"/>
            <w:tcBorders/>
          </w:tcPr>
          <w:p>
            <w:pPr>
              <w:jc w:val="center"/>
            </w:pPr>
            <w:r>
              <w:rPr>
                <w:rFonts w:ascii="Times New Roman" w:hAnsi="Times New Roman" w:eastAsia="宋体"/>
                <w:sz w:val="21"/>
              </w:rPr>
              <w:t>0.45</w:t>
            </w:r>
          </w:p>
        </w:tc>
        <w:tc>
          <w:tcPr>
            <w:tcW w:type="dxa" w:w="1729"/>
            <w:tcBorders/>
          </w:tcPr>
          <w:p>
            <w:pPr>
              <w:jc w:val="center"/>
            </w:pPr>
            <w:r>
              <w:rPr>
                <w:rFonts w:ascii="Times New Roman" w:hAnsi="Times New Roman" w:eastAsia="宋体"/>
                <w:sz w:val="21"/>
              </w:rPr>
              <w:t>0.38</w:t>
            </w:r>
          </w:p>
        </w:tc>
      </w:tr>
      <w:tr>
        <w:tc>
          <w:tcPr>
            <w:tcW w:type="dxa" w:w="1729"/>
            <w:tcBorders/>
          </w:tcPr>
          <w:p>
            <w:pPr>
              <w:jc w:val="center"/>
            </w:pPr>
            <w:r>
              <w:rPr>
                <w:rFonts w:ascii="Times New Roman" w:hAnsi="Times New Roman" w:eastAsia="宋体"/>
                <w:sz w:val="21"/>
              </w:rPr>
              <w:t>AE应用效果</w:t>
            </w:r>
          </w:p>
        </w:tc>
        <w:tc>
          <w:tcPr>
            <w:tcW w:type="dxa" w:w="1729"/>
            <w:tcBorders/>
          </w:tcPr>
          <w:p>
            <w:pPr>
              <w:jc w:val="center"/>
            </w:pPr>
            <w:r>
              <w:rPr>
                <w:rFonts w:ascii="Times New Roman" w:hAnsi="Times New Roman" w:eastAsia="宋体"/>
                <w:sz w:val="21"/>
              </w:rPr>
              <w:t>0.92</w:t>
            </w:r>
          </w:p>
        </w:tc>
        <w:tc>
          <w:tcPr>
            <w:tcW w:type="dxa" w:w="1729"/>
            <w:tcBorders/>
          </w:tcPr>
          <w:p>
            <w:pPr>
              <w:jc w:val="center"/>
            </w:pPr>
            <w:r>
              <w:rPr>
                <w:rFonts w:ascii="Times New Roman" w:hAnsi="Times New Roman" w:eastAsia="宋体"/>
                <w:sz w:val="21"/>
              </w:rPr>
              <w:t>0.85</w:t>
            </w:r>
          </w:p>
        </w:tc>
        <w:tc>
          <w:tcPr>
            <w:tcW w:type="dxa" w:w="1729"/>
            <w:tcBorders/>
          </w:tcPr>
          <w:p>
            <w:pPr>
              <w:jc w:val="center"/>
            </w:pPr>
            <w:r>
              <w:rPr>
                <w:rFonts w:ascii="Times New Roman" w:hAnsi="Times New Roman" w:eastAsia="宋体"/>
                <w:sz w:val="21"/>
              </w:rPr>
              <w:t>0.15</w:t>
            </w:r>
          </w:p>
        </w:tc>
        <w:tc>
          <w:tcPr>
            <w:tcW w:type="dxa" w:w="1729"/>
            <w:tcBorders/>
          </w:tcPr>
          <w:p>
            <w:pPr>
              <w:jc w:val="center"/>
            </w:pPr>
            <w:r>
              <w:rPr>
                <w:rFonts w:ascii="Times New Roman" w:hAnsi="Times New Roman" w:eastAsia="宋体"/>
                <w:sz w:val="21"/>
              </w:rPr>
              <w:t>0.12</w:t>
            </w:r>
          </w:p>
        </w:tc>
      </w:tr>
      <w:tr>
        <w:tc>
          <w:tcPr>
            <w:tcW w:type="dxa" w:w="1729"/>
            <w:tcBorders/>
          </w:tcPr>
          <w:p>
            <w:pPr>
              <w:jc w:val="center"/>
            </w:pPr>
            <w:r>
              <w:rPr>
                <w:rFonts w:ascii="Times New Roman" w:hAnsi="Times New Roman" w:eastAsia="宋体"/>
                <w:sz w:val="21"/>
              </w:rPr>
              <w:t>OP运营模式</w:t>
            </w:r>
          </w:p>
        </w:tc>
        <w:tc>
          <w:tcPr>
            <w:tcW w:type="dxa" w:w="1729"/>
            <w:tcBorders/>
          </w:tcPr>
          <w:p>
            <w:pPr>
              <w:jc w:val="center"/>
            </w:pPr>
            <w:r>
              <w:rPr>
                <w:rFonts w:ascii="Times New Roman" w:hAnsi="Times New Roman" w:eastAsia="宋体"/>
                <w:sz w:val="21"/>
              </w:rPr>
              <w:t>0.68</w:t>
            </w:r>
          </w:p>
        </w:tc>
        <w:tc>
          <w:tcPr>
            <w:tcW w:type="dxa" w:w="1729"/>
            <w:tcBorders/>
          </w:tcPr>
          <w:p>
            <w:pPr>
              <w:jc w:val="center"/>
            </w:pPr>
            <w:r>
              <w:rPr>
                <w:rFonts w:ascii="Times New Roman" w:hAnsi="Times New Roman" w:eastAsia="宋体"/>
                <w:sz w:val="21"/>
              </w:rPr>
              <w:t>0.55</w:t>
            </w:r>
          </w:p>
        </w:tc>
        <w:tc>
          <w:tcPr>
            <w:tcW w:type="dxa" w:w="1729"/>
            <w:tcBorders/>
          </w:tcPr>
          <w:p>
            <w:pPr>
              <w:jc w:val="center"/>
            </w:pPr>
            <w:r>
              <w:rPr>
                <w:rFonts w:ascii="Times New Roman" w:hAnsi="Times New Roman" w:eastAsia="宋体"/>
                <w:sz w:val="21"/>
              </w:rPr>
              <w:t>0.48</w:t>
            </w:r>
          </w:p>
        </w:tc>
        <w:tc>
          <w:tcPr>
            <w:tcW w:type="dxa" w:w="1729"/>
            <w:tcBorders/>
          </w:tcPr>
          <w:p>
            <w:pPr>
              <w:jc w:val="center"/>
            </w:pPr>
            <w:r>
              <w:rPr>
                <w:rFonts w:ascii="Times New Roman" w:hAnsi="Times New Roman" w:eastAsia="宋体"/>
                <w:sz w:val="21"/>
              </w:rPr>
              <w:t>0.42</w:t>
            </w:r>
          </w:p>
        </w:tc>
      </w:tr>
    </w:tbl>
    <w:p/>
    <w:p>
      <w:pPr>
        <w:spacing w:line="360" w:lineRule="auto" w:after="0" w:before="0"/>
        <w:ind w:firstLine="420"/>
      </w:pPr>
      <w:r>
        <w:rPr>
          <w:rFonts w:ascii="Times New Roman" w:hAnsi="Times New Roman" w:eastAsia="宋体"/>
          <w:color w:val="000000"/>
        </w:rPr>
        <w:t>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spacing w:line="360" w:lineRule="auto" w:after="0" w:before="0"/>
        <w:ind w:firstLine="420"/>
      </w:pPr>
      <w:r>
        <w:rPr>
          <w:rFonts w:ascii="Times New Roman" w:hAnsi="Times New Roman" w:eastAsia="宋体"/>
          <w:color w:val="000000"/>
        </w:rPr>
        <w:t>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p>
      <w:pPr>
        <w:spacing w:line="360" w:lineRule="auto" w:after="0" w:before="0"/>
      </w:pPr>
      <w:r>
        <w:rPr>
          <w:rFonts w:ascii="Times New Roman" w:hAnsi="Times New Roman" w:eastAsia="黑体"/>
          <w:b/>
          <w:color w:val="000000"/>
          <w:sz w:val="24"/>
        </w:rPr>
        <w:t>6.4 DEMATEL与fsQCA交叉验证</w:t>
      </w:r>
    </w:p>
    <w:p>
      <w:pPr>
        <w:spacing w:line="360" w:lineRule="auto" w:after="0" w:before="0"/>
        <w:ind w:firstLine="420"/>
      </w:pPr>
      <w:r>
        <w:rPr>
          <w:rFonts w:ascii="Times New Roman" w:hAnsi="Times New Roman" w:eastAsia="黑体"/>
          <w:b/>
          <w:color w:val="000000"/>
          <w:sz w:val="24"/>
        </w:rPr>
        <w:t>6.4.1 两种方法的结论一致性</w:t>
      </w:r>
    </w:p>
    <w:p>
      <w:pPr>
        <w:spacing w:line="360" w:lineRule="auto" w:after="0" w:before="0"/>
        <w:ind w:firstLine="420"/>
      </w:pPr>
      <w:r>
        <w:rPr>
          <w:rFonts w:ascii="Times New Roman" w:hAnsi="Times New Roman" w:eastAsia="宋体"/>
          <w:color w:val="000000"/>
        </w:rPr>
        <w:t>DEMATEL和fsQCA两种方法的结论具有较高的互补性和一致性。</w:t>
      </w:r>
    </w:p>
    <w:p>
      <w:pPr>
        <w:spacing w:line="360" w:lineRule="auto" w:after="0" w:before="0"/>
        <w:ind w:firstLine="420"/>
      </w:pPr>
      <w:r>
        <w:rPr>
          <w:rFonts w:ascii="Times New Roman" w:hAnsi="Times New Roman" w:eastAsia="宋体"/>
          <w:color w:val="000000"/>
        </w:rPr>
        <w:t>DEMATEL分析表明，政策法规（PL）和平台建设（OG）是原因因素，位于因素网络的上游；fsQCA分析表明，PL和OG是高绩效路径中的核心条件。两种方法的结论一致：PL和OG是影响绩效的关键驱动因素。</w:t>
      </w:r>
    </w:p>
    <w:p>
      <w:pPr>
        <w:spacing w:line="360" w:lineRule="auto" w:after="0" w:before="0"/>
        <w:ind w:firstLine="420"/>
      </w:pPr>
      <w:r>
        <w:rPr>
          <w:rFonts w:ascii="Times New Roman" w:hAnsi="Times New Roman" w:eastAsia="宋体"/>
          <w:color w:val="000000"/>
        </w:rPr>
        <w:t>DEMATEL分析表明，应用效果（AE）是结果因素，位于因素网络的下游；fsQCA分析表明，AE是高绩效的近似必要条件。两种方法的结论互补：DEMATEL揭示了AE的"结果属性"（受其他因素影响），fsQCA揭示了AE的"必要属性"（高绩效不可或缺）。</w:t>
      </w:r>
    </w:p>
    <w:p>
      <w:pPr>
        <w:spacing w:line="360" w:lineRule="auto" w:after="0" w:before="0"/>
        <w:ind w:firstLine="420"/>
      </w:pPr>
      <w:r>
        <w:rPr>
          <w:rFonts w:ascii="Times New Roman" w:hAnsi="Times New Roman" w:eastAsia="宋体"/>
          <w:color w:val="000000"/>
        </w:rPr>
        <w:t>DEMATEL分析揭示了因素之间的因果关系和传导路径；fsQCA分析揭示了因素之间的组合效应和等效路径。两种方法的结合，提供了从"机制"到"路径"的完整解释——DEMATEL解释了"为什么绩效有差异"，fsQCA解释了"如何组合才能高绩效"。</w:t>
      </w:r>
    </w:p>
    <w:p>
      <w:pPr>
        <w:spacing w:line="360" w:lineRule="auto" w:after="0" w:before="0"/>
        <w:ind w:firstLine="420"/>
      </w:pPr>
      <w:r>
        <w:rPr>
          <w:rFonts w:ascii="Times New Roman" w:hAnsi="Times New Roman" w:eastAsia="黑体"/>
          <w:b/>
          <w:color w:val="000000"/>
          <w:sz w:val="24"/>
        </w:rPr>
        <w:t>6.4.2 差异化优化策略的理论基础</w:t>
      </w:r>
    </w:p>
    <w:p>
      <w:pPr>
        <w:spacing w:line="360" w:lineRule="auto" w:after="0" w:before="0"/>
        <w:ind w:firstLine="420"/>
      </w:pPr>
      <w:r>
        <w:rPr>
          <w:rFonts w:ascii="Times New Roman" w:hAnsi="Times New Roman" w:eastAsia="宋体"/>
          <w:color w:val="000000"/>
        </w:rPr>
        <w:t>基于DEMATEL和fsQCA的交叉验证结果，本研究提出了差异化的优化策略框架。</w:t>
      </w:r>
    </w:p>
    <w:p>
      <w:pPr>
        <w:spacing w:line="360" w:lineRule="auto" w:after="0" w:before="0"/>
        <w:ind w:firstLine="420"/>
      </w:pPr>
      <w:r>
        <w:rPr>
          <w:rFonts w:ascii="Times New Roman" w:hAnsi="Times New Roman" w:eastAsia="宋体"/>
          <w:color w:val="000000"/>
        </w:rPr>
        <w:t>对于原因因素（PL、OG），应采取"源头治理"策略——通过完善政策法规、优化平台功能，从因素网络的上游进行干预，产生连锁改善效应。原因因素的改善具有"杠杆效应"——PL的改善能够带动OG、PC、DQ等多个下游因素的改善。</w:t>
      </w:r>
    </w:p>
    <w:p>
      <w:pPr>
        <w:spacing w:line="360" w:lineRule="auto" w:after="0" w:before="0"/>
        <w:ind w:firstLine="420"/>
      </w:pPr>
      <w:r>
        <w:rPr>
          <w:rFonts w:ascii="Times New Roman" w:hAnsi="Times New Roman" w:eastAsia="宋体"/>
          <w:color w:val="000000"/>
        </w:rPr>
        <w:t>对于中心度高的因素（PC、OG），应采取"重点突破"策略——数据质量和平台建设是因素网络的核心节点，对这两个因素的改善能够最大程度地影响整个网络。</w:t>
      </w:r>
    </w:p>
    <w:p>
      <w:pPr>
        <w:spacing w:line="360" w:lineRule="auto" w:after="0" w:before="0"/>
        <w:ind w:firstLine="420"/>
      </w:pPr>
      <w:r>
        <w:rPr>
          <w:rFonts w:ascii="Times New Roman" w:hAnsi="Times New Roman" w:eastAsia="宋体"/>
          <w:color w:val="000000"/>
        </w:rPr>
        <w:t>对于必要条件（AE），应采取"底线保障"策略——应用效果是绩效的门槛条件，任何平台都必须首先保障数据利用的基本水平，然后才能追求其他维度的优化。</w:t>
      </w:r>
    </w:p>
    <w:p>
      <w:pPr>
        <w:spacing w:line="360" w:lineRule="auto" w:after="0" w:before="0"/>
        <w:ind w:firstLine="420"/>
      </w:pPr>
      <w:r>
        <w:rPr>
          <w:rFonts w:ascii="Times New Roman" w:hAnsi="Times New Roman" w:eastAsia="宋体"/>
          <w:color w:val="000000"/>
        </w:rPr>
        <w:t>对于高绩效平台，应根据其组态路径（H1、H2、H3）设计差异化的维持和提升策略——全要素驱动型平台应防止"短板退化"，制度质量驱动型平台应加强平台建设和生态培育，平台运营驱动型平台应完善制度建设和质量管控。</w:t>
      </w:r>
    </w:p>
    <w:p>
      <w:pPr>
        <w:spacing w:line="360" w:lineRule="auto" w:after="0" w:before="0"/>
        <w:ind w:firstLine="420"/>
      </w:pPr>
      <w:r>
        <w:rPr>
          <w:rFonts w:ascii="Times New Roman" w:hAnsi="Times New Roman" w:eastAsia="宋体"/>
          <w:color w:val="000000"/>
        </w:rPr>
        <w:t>对于低绩效平台，应根据其组态路径（L1、L2）设计差异化的追赶策略——全面匮乏型平台需要外部支援和系统改善，制度缺失型平台需要优先完善制度保障和质量管控。</w:t>
      </w:r>
    </w:p>
    <w:p>
      <w:pPr>
        <w:spacing w:line="360" w:lineRule="auto" w:after="0" w:before="0"/>
      </w:pPr>
      <w:r>
        <w:rPr>
          <w:rFonts w:ascii="Times New Roman" w:hAnsi="Times New Roman" w:eastAsia="黑体"/>
          <w:b/>
          <w:color w:val="000000"/>
          <w:sz w:val="24"/>
        </w:rPr>
        <w:t>6.5 本章小结</w:t>
      </w:r>
    </w:p>
    <w:p>
      <w:pPr>
        <w:spacing w:line="360" w:lineRule="auto" w:after="0" w:before="0"/>
        <w:ind w:firstLine="420"/>
      </w:pPr>
      <w:r>
        <w:rPr>
          <w:rFonts w:ascii="Times New Roman" w:hAnsi="Times New Roman" w:eastAsia="宋体"/>
          <w:color w:val="000000"/>
        </w:rPr>
        <w:t>本章运用DEMATEL和fsQCA方法，对政府数据开放平台绩效的影响因素进行了因果分析和组态分析。主要发现如下：</w:t>
      </w:r>
    </w:p>
    <w:p>
      <w:pPr>
        <w:spacing w:line="360" w:lineRule="auto" w:after="0" w:before="0"/>
        <w:ind w:firstLine="420"/>
      </w:pPr>
      <w:r>
        <w:rPr>
          <w:rFonts w:ascii="Times New Roman" w:hAnsi="Times New Roman" w:eastAsia="宋体"/>
          <w:color w:val="000000"/>
        </w:rPr>
        <w:t>第一，政策法规（PL）和平台建设（OG）是原因因素，位于因素网络的上游；应用效果（AE）、数据质量（PC）、数据集数量（DQ）和运营模式（OP）是结果因素，位于因素网络的下游。对原因因素的干预具有杠杆效应。</w:t>
      </w:r>
    </w:p>
    <w:p>
      <w:pPr>
        <w:spacing w:line="360" w:lineRule="auto" w:after="0" w:before="0"/>
        <w:ind w:firstLine="420"/>
      </w:pPr>
      <w:r>
        <w:rPr>
          <w:rFonts w:ascii="Times New Roman" w:hAnsi="Times New Roman" w:eastAsia="宋体"/>
          <w:color w:val="000000"/>
        </w:rPr>
        <w:t>第二，存在三条高绩效路径：全要素驱动型（PL●+OG●+PC●+AE●）、制度质量驱动型（PL●+PC●+DQ●）和平台运营驱动型（OG●+DQ●+OP●）。不同路径对应不同类型的高绩效平台。</w:t>
      </w:r>
    </w:p>
    <w:p>
      <w:pPr>
        <w:spacing w:line="360" w:lineRule="auto" w:after="0" w:before="0"/>
        <w:ind w:firstLine="420"/>
      </w:pPr>
      <w:r>
        <w:rPr>
          <w:rFonts w:ascii="Times New Roman" w:hAnsi="Times New Roman" w:eastAsia="宋体"/>
          <w:color w:val="000000"/>
        </w:rPr>
        <w:t>第三，应用效果（AE）是高绩效的近似必要条件——没有数据利用就没有高绩效，但仅有数据利用也不足以保证高绩效。</w:t>
      </w:r>
    </w:p>
    <w:p>
      <w:pPr>
        <w:spacing w:line="360" w:lineRule="auto" w:after="0" w:before="0"/>
        <w:ind w:firstLine="420"/>
      </w:pPr>
      <w:r>
        <w:rPr>
          <w:rFonts w:ascii="Times New Roman" w:hAnsi="Times New Roman" w:eastAsia="宋体"/>
          <w:color w:val="000000"/>
        </w:rPr>
        <w:t>第四，低绩效平台可以分为全面匮乏型（所有因素均缺失）和制度缺失型（制度、质量、应用、运营缺失）两种类型，需要采取不同的追赶策略。</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第对策建议</w:t>
      </w:r>
    </w:p>
    <w:p>
      <w:pPr>
        <w:spacing w:line="360" w:lineRule="auto" w:after="0" w:before="0"/>
      </w:pPr>
      <w:r>
        <w:rPr>
          <w:rFonts w:ascii="Times New Roman" w:hAnsi="Times New Roman" w:eastAsia="黑体"/>
          <w:b/>
          <w:color w:val="000000"/>
          <w:sz w:val="24"/>
        </w:rPr>
        <w:t>7.1 绩效差异的深层原因解释</w:t>
      </w:r>
    </w:p>
    <w:p>
      <w:pPr>
        <w:spacing w:line="360" w:lineRule="auto" w:after="0" w:before="0"/>
        <w:ind w:firstLine="420"/>
      </w:pPr>
      <w:r>
        <w:rPr>
          <w:rFonts w:ascii="Times New Roman" w:hAnsi="Times New Roman" w:eastAsia="黑体"/>
          <w:b/>
          <w:color w:val="000000"/>
          <w:sz w:val="24"/>
        </w:rPr>
        <w:t>7.1.1 高绩效平台的共性特征</w:t>
      </w:r>
    </w:p>
    <w:p>
      <w:pPr>
        <w:spacing w:line="360" w:lineRule="auto" w:after="0" w:before="0"/>
        <w:ind w:firstLine="420"/>
      </w:pPr>
      <w:r>
        <w:rPr>
          <w:rFonts w:ascii="Times New Roman" w:hAnsi="Times New Roman" w:eastAsia="宋体"/>
          <w:color w:val="000000"/>
        </w:rPr>
        <w:t>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spacing w:line="360" w:lineRule="auto" w:after="0" w:before="0"/>
        <w:ind w:firstLine="420"/>
      </w:pPr>
      <w:r>
        <w:rPr>
          <w:rFonts w:ascii="Times New Roman" w:hAnsi="Times New Roman" w:eastAsia="宋体"/>
          <w:color w:val="000000"/>
        </w:rPr>
        <w:t>路径一：数字政府改革引领型（广东、浙江、上海）</w:t>
      </w:r>
    </w:p>
    <w:p>
      <w:pPr>
        <w:spacing w:line="360" w:lineRule="auto" w:after="0" w:before="0"/>
        <w:ind w:firstLine="420"/>
      </w:pPr>
      <w:r>
        <w:rPr>
          <w:rFonts w:ascii="Times New Roman" w:hAnsi="Times New Roman" w:eastAsia="宋体"/>
          <w:color w:val="000000"/>
        </w:rPr>
        <w:t>这一类型的平台将开放政府数据纳入整体数字政府改革框架，获得了最高层级的政治支持和资源配置。以广东省为例，"数字广东"建设作为省级战略，"开放广东"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spacing w:line="360" w:lineRule="auto" w:after="0" w:before="0"/>
        <w:ind w:firstLine="420"/>
      </w:pPr>
      <w:r>
        <w:rPr>
          <w:rFonts w:ascii="Times New Roman" w:hAnsi="Times New Roman" w:eastAsia="宋体"/>
          <w:color w:val="000000"/>
        </w:rPr>
        <w:t>路径二：政策先行制度保障型（山东、湖北、贵州）</w:t>
      </w:r>
    </w:p>
    <w:p>
      <w:pPr>
        <w:spacing w:line="360" w:lineRule="auto" w:after="0" w:before="0"/>
        <w:ind w:firstLine="420"/>
      </w:pPr>
      <w:r>
        <w:rPr>
          <w:rFonts w:ascii="Times New Roman" w:hAnsi="Times New Roman" w:eastAsia="宋体"/>
          <w:color w:val="000000"/>
        </w:rPr>
        <w:t>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spacing w:line="360" w:lineRule="auto" w:after="0" w:before="0"/>
        <w:ind w:firstLine="420"/>
      </w:pPr>
      <w:r>
        <w:rPr>
          <w:rFonts w:ascii="Times New Roman" w:hAnsi="Times New Roman" w:eastAsia="宋体"/>
          <w:color w:val="000000"/>
        </w:rPr>
        <w:t>路径三：需求导向应用驱动型（海南、重庆、四川、广西）</w:t>
      </w:r>
    </w:p>
    <w:p>
      <w:pPr>
        <w:spacing w:line="360" w:lineRule="auto" w:after="0" w:before="0"/>
        <w:ind w:firstLine="420"/>
      </w:pPr>
      <w:r>
        <w:rPr>
          <w:rFonts w:ascii="Times New Roman" w:hAnsi="Times New Roman" w:eastAsia="宋体"/>
          <w:color w:val="000000"/>
        </w:rPr>
        <w:t>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p>
      <w:pPr>
        <w:spacing w:line="360" w:lineRule="auto" w:after="0" w:before="0"/>
        <w:ind w:firstLine="420"/>
      </w:pPr>
      <w:r>
        <w:rPr>
          <w:rFonts w:ascii="Times New Roman" w:hAnsi="Times New Roman" w:eastAsia="黑体"/>
          <w:b/>
          <w:color w:val="000000"/>
          <w:sz w:val="24"/>
        </w:rPr>
        <w:t>7.1.2 低绩效平台的差异化困境</w:t>
      </w:r>
    </w:p>
    <w:p>
      <w:pPr>
        <w:spacing w:line="360" w:lineRule="auto" w:after="0" w:before="0"/>
        <w:ind w:firstLine="420"/>
      </w:pPr>
      <w:r>
        <w:rPr>
          <w:rFonts w:ascii="Times New Roman" w:hAnsi="Times New Roman" w:eastAsia="宋体"/>
          <w:color w:val="000000"/>
        </w:rPr>
        <w:t>低绩效平台（TOPSIS得分&lt;0.18，共11个）并非同质群体，而是呈现出差异化的发展困境。基于fsQCA分析识别的两类低绩效，本研究进一步剖析其深层原因：</w:t>
      </w:r>
    </w:p>
    <w:p>
      <w:pPr>
        <w:spacing w:line="360" w:lineRule="auto" w:after="0" w:before="0"/>
        <w:ind w:firstLine="420"/>
      </w:pPr>
      <w:r>
        <w:rPr>
          <w:rFonts w:ascii="Times New Roman" w:hAnsi="Times New Roman" w:eastAsia="宋体"/>
          <w:color w:val="000000"/>
        </w:rPr>
        <w:t>类型A："有平台无作为"型（福建、辽宁、江苏、湖南、江西、吉林、内蒙古、天津，共8个）</w:t>
      </w:r>
    </w:p>
    <w:p>
      <w:pPr>
        <w:spacing w:line="360" w:lineRule="auto" w:after="0" w:before="0"/>
        <w:ind w:firstLine="420"/>
      </w:pPr>
      <w:r>
        <w:rPr>
          <w:rFonts w:ascii="Times New Roman" w:hAnsi="Times New Roman" w:eastAsia="宋体"/>
          <w:color w:val="000000"/>
        </w:rPr>
        <w:t>这类平台的共同特征是平台功能基本完善（PC=1）、有组织保障（OG=1）、数据质量尚可（DQ=1），但缺乏专项政策法规（PL=0）、应用推广不足（AE=0）、开放程度有限（OP=0）。其绩效低下的深层原因包括：</w:t>
      </w:r>
    </w:p>
    <w:p>
      <w:pPr>
        <w:spacing w:line="360" w:lineRule="auto" w:after="0" w:before="0"/>
        <w:ind w:firstLine="420"/>
      </w:pPr>
      <w:r>
        <w:rPr>
          <w:rFonts w:ascii="Times New Roman" w:hAnsi="Times New Roman" w:eastAsia="宋体"/>
          <w:color w:val="000000"/>
        </w:rPr>
        <w:t>制度缺位导致的动力不足。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spacing w:line="360" w:lineRule="auto" w:after="0" w:before="0"/>
        <w:ind w:firstLine="420"/>
      </w:pPr>
      <w:r>
        <w:rPr>
          <w:rFonts w:ascii="Times New Roman" w:hAnsi="Times New Roman" w:eastAsia="宋体"/>
          <w:color w:val="000000"/>
        </w:rPr>
        <w:t>"数据孤岛"难以打破。即便平台功能完善，如果缺乏跨部门协调机制，各部门仍倾向于将数据"攥在手里"。这涉及数据安全的担忧、部门利益的考量、以及数据质量不达标怕被问责的顾虑。没有省级政策的强制推动，"数据孤岛"难以从根本上打破。</w:t>
      </w:r>
    </w:p>
    <w:p>
      <w:pPr>
        <w:spacing w:line="360" w:lineRule="auto" w:after="0" w:before="0"/>
        <w:ind w:firstLine="420"/>
      </w:pPr>
      <w:r>
        <w:rPr>
          <w:rFonts w:ascii="Times New Roman" w:hAnsi="Times New Roman" w:eastAsia="宋体"/>
          <w:color w:val="000000"/>
        </w:rPr>
        <w:t>应用推广不足导致价值难以证明。缺乏应用案例展示，数据开放的社会价值和经济价值无法显性化，进一步削弱了政府部门的开放动力，形成"越不开放越没应用，越没应用越不开放"的恶性循环。</w:t>
      </w:r>
    </w:p>
    <w:p>
      <w:pPr>
        <w:spacing w:line="360" w:lineRule="auto" w:after="0" w:before="0"/>
        <w:ind w:firstLine="420"/>
      </w:pPr>
      <w:r>
        <w:rPr>
          <w:rFonts w:ascii="Times New Roman" w:hAnsi="Times New Roman" w:eastAsia="宋体"/>
          <w:color w:val="000000"/>
        </w:rPr>
        <w:t>类型B："平台转型/停滞"型（河南、云南、山西，共3个）</w:t>
      </w:r>
    </w:p>
    <w:p>
      <w:pPr>
        <w:spacing w:line="360" w:lineRule="auto" w:after="0" w:before="0"/>
        <w:ind w:firstLine="420"/>
      </w:pPr>
      <w:r>
        <w:rPr>
          <w:rFonts w:ascii="Times New Roman" w:hAnsi="Times New Roman" w:eastAsia="宋体"/>
          <w:color w:val="000000"/>
        </w:rPr>
        <w:t>这类平台的共同特征是所有六个因素均为0，平台已经转型或基本停滞。其深层原因更为复杂：</w:t>
      </w:r>
    </w:p>
    <w:p>
      <w:pPr>
        <w:spacing w:line="360" w:lineRule="auto" w:after="0" w:before="0"/>
        <w:ind w:firstLine="420"/>
      </w:pPr>
      <w:r>
        <w:rPr>
          <w:rFonts w:ascii="Times New Roman" w:hAnsi="Times New Roman" w:eastAsia="宋体"/>
          <w:color w:val="000000"/>
        </w:rPr>
        <w:t>河南省：从"开放"到"运营"的战略转向。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spacing w:line="360" w:lineRule="auto" w:after="0" w:before="0"/>
        <w:ind w:firstLine="420"/>
      </w:pPr>
      <w:r>
        <w:rPr>
          <w:rFonts w:ascii="Times New Roman" w:hAnsi="Times New Roman" w:eastAsia="宋体"/>
          <w:color w:val="000000"/>
        </w:rPr>
        <w:t>云南省：平台与交易市场的融合。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spacing w:line="360" w:lineRule="auto" w:after="0" w:before="0"/>
        <w:ind w:firstLine="420"/>
      </w:pPr>
      <w:r>
        <w:rPr>
          <w:rFonts w:ascii="Times New Roman" w:hAnsi="Times New Roman" w:eastAsia="宋体"/>
          <w:color w:val="000000"/>
        </w:rPr>
        <w:t>山西省：平台"僵尸化"。山西省平台虽然仍在运行，但数据集数量仅124个，更新频率极低，基本可以判定为"僵尸平台"。这反映了资源枯竭型省份在数字化转型中的困境——有限的财政和人力难以支撑平台的持续运营。</w:t>
      </w:r>
    </w:p>
    <w:p>
      <w:pPr>
        <w:spacing w:line="360" w:lineRule="auto" w:after="0" w:before="0"/>
        <w:ind w:firstLine="420"/>
      </w:pPr>
      <w:r>
        <w:rPr>
          <w:rFonts w:ascii="Times New Roman" w:hAnsi="Times New Roman" w:eastAsia="黑体"/>
          <w:b/>
          <w:color w:val="000000"/>
          <w:sz w:val="24"/>
        </w:rPr>
        <w:t>7.1.3 区域差异的制度解释</w:t>
      </w:r>
    </w:p>
    <w:p>
      <w:pPr>
        <w:spacing w:line="360" w:lineRule="auto" w:after="0" w:before="0"/>
        <w:ind w:firstLine="420"/>
      </w:pPr>
      <w:r>
        <w:rPr>
          <w:rFonts w:ascii="Times New Roman" w:hAnsi="Times New Roman" w:eastAsia="宋体"/>
          <w:color w:val="000000"/>
        </w:rPr>
        <w:t>结合东中西部区域划分，平台绩效差异呈现出明显的空间格局：</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区域</w:t>
            </w:r>
          </w:p>
        </w:tc>
        <w:tc>
          <w:tcPr>
            <w:tcW w:type="dxa" w:w="1441"/>
            <w:tcBorders/>
          </w:tcPr>
          <w:p>
            <w:pPr>
              <w:jc w:val="center"/>
            </w:pPr>
            <w:r>
              <w:rPr>
                <w:rFonts w:ascii="Times New Roman" w:hAnsi="Times New Roman" w:eastAsia="宋体"/>
                <w:b/>
                <w:sz w:val="21"/>
              </w:rPr>
              <w:t>省份数</w:t>
            </w:r>
          </w:p>
        </w:tc>
        <w:tc>
          <w:tcPr>
            <w:tcW w:type="dxa" w:w="1441"/>
            <w:tcBorders/>
          </w:tcPr>
          <w:p>
            <w:pPr>
              <w:jc w:val="center"/>
            </w:pPr>
            <w:r>
              <w:rPr>
                <w:rFonts w:ascii="Times New Roman" w:hAnsi="Times New Roman" w:eastAsia="宋体"/>
                <w:b/>
                <w:sz w:val="21"/>
              </w:rPr>
              <w:t>高绩效数</w:t>
            </w:r>
          </w:p>
        </w:tc>
        <w:tc>
          <w:tcPr>
            <w:tcW w:type="dxa" w:w="1441"/>
            <w:tcBorders/>
          </w:tcPr>
          <w:p>
            <w:pPr>
              <w:jc w:val="center"/>
            </w:pPr>
            <w:r>
              <w:rPr>
                <w:rFonts w:ascii="Times New Roman" w:hAnsi="Times New Roman" w:eastAsia="宋体"/>
                <w:b/>
                <w:sz w:val="21"/>
              </w:rPr>
              <w:t>高绩效率</w:t>
            </w:r>
          </w:p>
        </w:tc>
        <w:tc>
          <w:tcPr>
            <w:tcW w:type="dxa" w:w="1441"/>
            <w:tcBorders/>
          </w:tcPr>
          <w:p>
            <w:pPr>
              <w:jc w:val="center"/>
            </w:pPr>
            <w:r>
              <w:rPr>
                <w:rFonts w:ascii="Times New Roman" w:hAnsi="Times New Roman" w:eastAsia="宋体"/>
                <w:b/>
                <w:sz w:val="21"/>
              </w:rPr>
              <w:t>平均TOPSIS</w:t>
            </w:r>
          </w:p>
        </w:tc>
        <w:tc>
          <w:tcPr>
            <w:tcW w:type="dxa" w:w="1441"/>
            <w:tcBorders/>
          </w:tcPr>
          <w:p>
            <w:pPr>
              <w:jc w:val="center"/>
            </w:pPr>
            <w:r>
              <w:rPr>
                <w:rFonts w:ascii="Times New Roman" w:hAnsi="Times New Roman" w:eastAsia="宋体"/>
                <w:b/>
                <w:sz w:val="21"/>
              </w:rPr>
              <w:t>特征</w:t>
            </w:r>
          </w:p>
        </w:tc>
      </w:tr>
      <w:tr>
        <w:tc>
          <w:tcPr>
            <w:tcW w:type="dxa" w:w="1441"/>
            <w:tcBorders/>
          </w:tcPr>
          <w:p>
            <w:pPr>
              <w:jc w:val="center"/>
            </w:pPr>
            <w:r>
              <w:rPr>
                <w:rFonts w:ascii="Times New Roman" w:hAnsi="Times New Roman" w:eastAsia="宋体"/>
                <w:sz w:val="21"/>
              </w:rPr>
              <w:t>东部</w:t>
            </w:r>
          </w:p>
        </w:tc>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55.6%</w:t>
            </w:r>
          </w:p>
        </w:tc>
        <w:tc>
          <w:tcPr>
            <w:tcW w:type="dxa" w:w="1441"/>
            <w:tcBorders/>
          </w:tcPr>
          <w:p>
            <w:pPr>
              <w:jc w:val="center"/>
            </w:pPr>
            <w:r>
              <w:rPr>
                <w:rFonts w:ascii="Times New Roman" w:hAnsi="Times New Roman" w:eastAsia="宋体"/>
                <w:sz w:val="21"/>
              </w:rPr>
              <w:t>0.295</w:t>
            </w:r>
          </w:p>
        </w:tc>
        <w:tc>
          <w:tcPr>
            <w:tcW w:type="dxa" w:w="1441"/>
            <w:tcBorders/>
          </w:tcPr>
          <w:p>
            <w:pPr>
              <w:jc w:val="center"/>
            </w:pPr>
            <w:r>
              <w:rPr>
                <w:rFonts w:ascii="Times New Roman" w:hAnsi="Times New Roman" w:eastAsia="宋体"/>
                <w:sz w:val="21"/>
              </w:rPr>
              <w:t>头部集中，但分化严重</w:t>
            </w:r>
          </w:p>
        </w:tc>
      </w:tr>
      <w:tr>
        <w:tc>
          <w:tcPr>
            <w:tcW w:type="dxa" w:w="1441"/>
            <w:tcBorders/>
          </w:tcPr>
          <w:p>
            <w:pPr>
              <w:jc w:val="center"/>
            </w:pPr>
            <w:r>
              <w:rPr>
                <w:rFonts w:ascii="Times New Roman" w:hAnsi="Times New Roman" w:eastAsia="宋体"/>
                <w:sz w:val="21"/>
              </w:rPr>
              <w:t>中部</w:t>
            </w:r>
          </w:p>
        </w:tc>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33.3%</w:t>
            </w:r>
          </w:p>
        </w:tc>
        <w:tc>
          <w:tcPr>
            <w:tcW w:type="dxa" w:w="1441"/>
            <w:tcBorders/>
          </w:tcPr>
          <w:p>
            <w:pPr>
              <w:jc w:val="center"/>
            </w:pPr>
            <w:r>
              <w:rPr>
                <w:rFonts w:ascii="Times New Roman" w:hAnsi="Times New Roman" w:eastAsia="宋体"/>
                <w:sz w:val="21"/>
              </w:rPr>
              <w:t>0.183</w:t>
            </w:r>
          </w:p>
        </w:tc>
        <w:tc>
          <w:tcPr>
            <w:tcW w:type="dxa" w:w="1441"/>
            <w:tcBorders/>
          </w:tcPr>
          <w:p>
            <w:pPr>
              <w:jc w:val="center"/>
            </w:pPr>
            <w:r>
              <w:rPr>
                <w:rFonts w:ascii="Times New Roman" w:hAnsi="Times New Roman" w:eastAsia="宋体"/>
                <w:sz w:val="21"/>
              </w:rPr>
              <w:t>整体中等，有提升空间</w:t>
            </w:r>
          </w:p>
        </w:tc>
      </w:tr>
      <w:tr>
        <w:tc>
          <w:tcPr>
            <w:tcW w:type="dxa" w:w="1441"/>
            <w:tcBorders/>
          </w:tcPr>
          <w:p>
            <w:pPr>
              <w:jc w:val="center"/>
            </w:pPr>
            <w:r>
              <w:rPr>
                <w:rFonts w:ascii="Times New Roman" w:hAnsi="Times New Roman" w:eastAsia="宋体"/>
                <w:sz w:val="21"/>
              </w:rPr>
              <w:t>西部</w:t>
            </w:r>
          </w:p>
        </w:tc>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50.0%</w:t>
            </w:r>
          </w:p>
        </w:tc>
        <w:tc>
          <w:tcPr>
            <w:tcW w:type="dxa" w:w="1441"/>
            <w:tcBorders/>
          </w:tcPr>
          <w:p>
            <w:pPr>
              <w:jc w:val="center"/>
            </w:pPr>
            <w:r>
              <w:rPr>
                <w:rFonts w:ascii="Times New Roman" w:hAnsi="Times New Roman" w:eastAsia="宋体"/>
                <w:sz w:val="21"/>
              </w:rPr>
              <w:t>0.200</w:t>
            </w:r>
          </w:p>
        </w:tc>
        <w:tc>
          <w:tcPr>
            <w:tcW w:type="dxa" w:w="1441"/>
            <w:tcBorders/>
          </w:tcPr>
          <w:p>
            <w:pPr>
              <w:jc w:val="center"/>
            </w:pPr>
            <w:r>
              <w:rPr>
                <w:rFonts w:ascii="Times New Roman" w:hAnsi="Times New Roman" w:eastAsia="宋体"/>
                <w:sz w:val="21"/>
              </w:rPr>
              <w:t>贵阳模式带动，表现不俗</w:t>
            </w:r>
          </w:p>
        </w:tc>
      </w:tr>
      <w:tr>
        <w:tc>
          <w:tcPr>
            <w:tcW w:type="dxa" w:w="1441"/>
            <w:tcBorders/>
          </w:tcPr>
          <w:p>
            <w:pPr>
              <w:jc w:val="center"/>
            </w:pPr>
            <w:r>
              <w:rPr>
                <w:rFonts w:ascii="Times New Roman" w:hAnsi="Times New Roman" w:eastAsia="宋体"/>
                <w:sz w:val="21"/>
              </w:rPr>
              <w:t>东北</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33.3%</w:t>
            </w:r>
          </w:p>
        </w:tc>
        <w:tc>
          <w:tcPr>
            <w:tcW w:type="dxa" w:w="1441"/>
            <w:tcBorders/>
          </w:tcPr>
          <w:p>
            <w:pPr>
              <w:jc w:val="center"/>
            </w:pPr>
            <w:r>
              <w:rPr>
                <w:rFonts w:ascii="Times New Roman" w:hAnsi="Times New Roman" w:eastAsia="宋体"/>
                <w:sz w:val="21"/>
              </w:rPr>
              <w:t>0.175</w:t>
            </w:r>
          </w:p>
        </w:tc>
        <w:tc>
          <w:tcPr>
            <w:tcW w:type="dxa" w:w="1441"/>
            <w:tcBorders/>
          </w:tcPr>
          <w:p>
            <w:pPr>
              <w:jc w:val="center"/>
            </w:pPr>
            <w:r>
              <w:rPr>
                <w:rFonts w:ascii="Times New Roman" w:hAnsi="Times New Roman" w:eastAsia="宋体"/>
                <w:sz w:val="21"/>
              </w:rPr>
              <w:t>整体偏低，振兴任务重</w:t>
            </w:r>
          </w:p>
        </w:tc>
      </w:tr>
    </w:tbl>
    <w:p/>
    <w:p>
      <w:pPr>
        <w:spacing w:line="360" w:lineRule="auto" w:after="0" w:before="0"/>
        <w:ind w:firstLine="420"/>
      </w:pPr>
      <w:r>
        <w:rPr>
          <w:rFonts w:ascii="Times New Roman" w:hAnsi="Times New Roman" w:eastAsia="宋体"/>
          <w:color w:val="000000"/>
        </w:rPr>
        <w:t>表7-1 平台绩效的区域差异（基于服务器实际运行结果）</w:t>
      </w:r>
    </w:p>
    <w:p>
      <w:pPr>
        <w:spacing w:line="360" w:lineRule="auto" w:after="0" w:before="0"/>
        <w:ind w:firstLine="420"/>
      </w:pPr>
      <w:r>
        <w:rPr>
          <w:rFonts w:ascii="Times New Roman" w:hAnsi="Times New Roman" w:eastAsia="宋体"/>
          <w:color w:val="000000"/>
        </w:rPr>
        <w:t>东部地区的"头尾分化"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spacing w:line="360" w:lineRule="auto" w:after="0" w:before="0"/>
        <w:ind w:firstLine="420"/>
      </w:pPr>
      <w:r>
        <w:rPr>
          <w:rFonts w:ascii="Times New Roman" w:hAnsi="Times New Roman" w:eastAsia="宋体"/>
          <w:color w:val="000000"/>
        </w:rPr>
        <w:t>西部地区的"贵阳模式"具有启示意义。贵州省凭借大数据综合试验区的政策优势，实现了"后发赶超"。这表明在开放政府数据领域，制度创新和政策支持可以弥补经济基础的不足。</w:t>
      </w:r>
    </w:p>
    <w:p>
      <w:pPr>
        <w:spacing w:line="360" w:lineRule="auto" w:after="0" w:before="0"/>
      </w:pPr>
      <w:r>
        <w:rPr>
          <w:rFonts w:ascii="Times New Roman" w:hAnsi="Times New Roman" w:eastAsia="黑体"/>
          <w:b/>
          <w:color w:val="000000"/>
          <w:sz w:val="24"/>
        </w:rPr>
        <w:t>7.2 平台转型趋势分析</w:t>
      </w:r>
    </w:p>
    <w:p>
      <w:pPr>
        <w:spacing w:line="360" w:lineRule="auto" w:after="0" w:before="0"/>
        <w:ind w:firstLine="420"/>
      </w:pPr>
      <w:r>
        <w:rPr>
          <w:rFonts w:ascii="Times New Roman" w:hAnsi="Times New Roman" w:eastAsia="黑体"/>
          <w:b/>
          <w:color w:val="000000"/>
          <w:sz w:val="24"/>
        </w:rPr>
        <w:t>7.2.1 从"开放"到"运营"：数据要素市场化背景下的平台转型</w:t>
      </w:r>
    </w:p>
    <w:p>
      <w:pPr>
        <w:spacing w:line="360" w:lineRule="auto" w:after="0" w:before="0"/>
        <w:ind w:firstLine="420"/>
      </w:pPr>
      <w:r>
        <w:rPr>
          <w:rFonts w:ascii="Times New Roman" w:hAnsi="Times New Roman" w:eastAsia="宋体"/>
          <w:color w:val="000000"/>
        </w:rPr>
        <w:t>2024年以来，随着"数据要素×"行动计划的推进和数据要素市场化配置改革的深化，部分省级平台开始出现从"开放"向"运营"的转型趋势。这一趋势的核心特征是：</w:t>
      </w:r>
    </w:p>
    <w:p>
      <w:pPr>
        <w:spacing w:line="360" w:lineRule="auto" w:after="0" w:before="0"/>
        <w:ind w:firstLine="420"/>
      </w:pPr>
      <w:r>
        <w:rPr>
          <w:rFonts w:ascii="Times New Roman" w:hAnsi="Times New Roman" w:eastAsia="宋体"/>
          <w:color w:val="000000"/>
        </w:rPr>
        <w:t>价值取向转变：从"公共服务"转向"资产运营"。传统开放政府数据强调公共属性，数据免费向社会开放；而数据运营则强调数据的经济价值，通过确权、定价、交易实现数据资产的增值。</w:t>
      </w:r>
    </w:p>
    <w:p>
      <w:pPr>
        <w:spacing w:line="360" w:lineRule="auto" w:after="0" w:before="0"/>
        <w:ind w:firstLine="420"/>
      </w:pPr>
      <w:r>
        <w:rPr>
          <w:rFonts w:ascii="Times New Roman" w:hAnsi="Times New Roman" w:eastAsia="宋体"/>
          <w:color w:val="000000"/>
        </w:rPr>
        <w:t>平台功能拓展：从"数据发布"转向"要素配置"。转型后的平台不仅发布数据，还提供数据确权登记、质量评估、供需撮合、交易结算等市场化服务。</w:t>
      </w:r>
    </w:p>
    <w:p>
      <w:pPr>
        <w:spacing w:line="360" w:lineRule="auto" w:after="0" w:before="0"/>
        <w:ind w:firstLine="420"/>
      </w:pPr>
      <w:r>
        <w:rPr>
          <w:rFonts w:ascii="Times New Roman" w:hAnsi="Times New Roman" w:eastAsia="宋体"/>
          <w:color w:val="000000"/>
        </w:rPr>
        <w:t>参与主体多元：从"政府-公众"二元关系转向"政府-企业-个人"多元生态。数据运营引入了数据商、第三方服务机构等市场化主体。</w:t>
      </w:r>
    </w:p>
    <w:p>
      <w:pPr>
        <w:spacing w:line="360" w:lineRule="auto" w:after="0" w:before="0"/>
        <w:ind w:firstLine="420"/>
      </w:pPr>
      <w:r>
        <w:rPr>
          <w:rFonts w:ascii="Times New Roman" w:hAnsi="Times New Roman" w:eastAsia="黑体"/>
          <w:b/>
          <w:color w:val="000000"/>
          <w:sz w:val="24"/>
        </w:rPr>
        <w:t>7.2.2 转型动因分析</w:t>
      </w:r>
    </w:p>
    <w:p>
      <w:pPr>
        <w:spacing w:line="360" w:lineRule="auto" w:after="0" w:before="0"/>
        <w:ind w:firstLine="420"/>
      </w:pPr>
      <w:r>
        <w:rPr>
          <w:rFonts w:ascii="Times New Roman" w:hAnsi="Times New Roman" w:eastAsia="宋体"/>
          <w:color w:val="000000"/>
        </w:rPr>
        <w:t>平台转型的深层动因包括：</w:t>
      </w:r>
    </w:p>
    <w:p>
      <w:pPr>
        <w:spacing w:line="360" w:lineRule="auto" w:after="0" w:before="0"/>
        <w:ind w:firstLine="420"/>
      </w:pPr>
      <w:r>
        <w:rPr>
          <w:rFonts w:ascii="Times New Roman" w:hAnsi="Times New Roman" w:eastAsia="宋体"/>
          <w:color w:val="000000"/>
        </w:rPr>
        <w:t>财政压力驱动。地方政府面临"土地财政"退潮和"过紧日子"的双重压力，寻求数据资产的变现途径。数据被认为是可以替代土地的新型生产要素和财政收入来源。</w:t>
      </w:r>
    </w:p>
    <w:p>
      <w:pPr>
        <w:spacing w:line="360" w:lineRule="auto" w:after="0" w:before="0"/>
        <w:ind w:firstLine="420"/>
      </w:pPr>
      <w:r>
        <w:rPr>
          <w:rFonts w:ascii="Times New Roman" w:hAnsi="Times New Roman" w:eastAsia="宋体"/>
          <w:color w:val="000000"/>
        </w:rPr>
        <w:t>政策导向驱动。国家数据局的成立和"数据要素×"行动计划的出台，为数据要素市场化提供了顶层政策支持。地方政府积极响应，将平台建设与数据要素市场化改革挂钩。</w:t>
      </w:r>
    </w:p>
    <w:p>
      <w:pPr>
        <w:spacing w:line="360" w:lineRule="auto" w:after="0" w:before="0"/>
        <w:ind w:firstLine="420"/>
      </w:pPr>
      <w:r>
        <w:rPr>
          <w:rFonts w:ascii="Times New Roman" w:hAnsi="Times New Roman" w:eastAsia="宋体"/>
          <w:color w:val="000000"/>
        </w:rPr>
        <w:t>技术赋能驱动。区块链、隐私计算、联邦学习等技术的发展，使得数据"可用不可见"成为可能，为数据安全流通提供了技术保障，降低了数据开放的安全顾虑。</w:t>
      </w:r>
    </w:p>
    <w:p>
      <w:pPr>
        <w:spacing w:line="360" w:lineRule="auto" w:after="0" w:before="0"/>
        <w:ind w:firstLine="420"/>
      </w:pPr>
      <w:r>
        <w:rPr>
          <w:rFonts w:ascii="Times New Roman" w:hAnsi="Times New Roman" w:eastAsia="黑体"/>
          <w:b/>
          <w:color w:val="000000"/>
          <w:sz w:val="24"/>
        </w:rPr>
        <w:t>7.2.3 转型风险与应对</w:t>
      </w:r>
    </w:p>
    <w:p>
      <w:pPr>
        <w:spacing w:line="360" w:lineRule="auto" w:after="0" w:before="0"/>
        <w:ind w:firstLine="420"/>
      </w:pPr>
      <w:r>
        <w:rPr>
          <w:rFonts w:ascii="Times New Roman" w:hAnsi="Times New Roman" w:eastAsia="宋体"/>
          <w:color w:val="000000"/>
        </w:rPr>
        <w:t>平台转型也带来潜在风险：</w:t>
      </w:r>
    </w:p>
    <w:p>
      <w:pPr>
        <w:spacing w:line="360" w:lineRule="auto" w:after="0" w:before="0"/>
        <w:ind w:firstLine="420"/>
      </w:pPr>
      <w:r>
        <w:rPr>
          <w:rFonts w:ascii="Times New Roman" w:hAnsi="Times New Roman" w:eastAsia="宋体"/>
          <w:color w:val="000000"/>
        </w:rPr>
        <w:t>公共性丧失风险。如果所有公共数据都走向市场化交易，可能损害公众的知情权和数据获取权，违背开放政府数据的初衷。</w:t>
      </w:r>
    </w:p>
    <w:p>
      <w:pPr>
        <w:spacing w:line="360" w:lineRule="auto" w:after="0" w:before="0"/>
        <w:ind w:firstLine="420"/>
      </w:pPr>
      <w:r>
        <w:rPr>
          <w:rFonts w:ascii="Times New Roman" w:hAnsi="Times New Roman" w:eastAsia="宋体"/>
          <w:color w:val="000000"/>
        </w:rPr>
        <w:t>公平性风险。数据运营可能加剧数字鸿沟——有能力支付的企业获得更多数据资源，而普通公众和小微企业被排除在外。</w:t>
      </w:r>
    </w:p>
    <w:p>
      <w:pPr>
        <w:spacing w:line="360" w:lineRule="auto" w:after="0" w:before="0"/>
        <w:ind w:firstLine="420"/>
      </w:pPr>
      <w:r>
        <w:rPr>
          <w:rFonts w:ascii="Times New Roman" w:hAnsi="Times New Roman" w:eastAsia="宋体"/>
          <w:color w:val="000000"/>
        </w:rPr>
        <w:t>治理碎片化风险。各地数据运营规则不统一，可能形成新的"数据割据"。</w:t>
      </w:r>
    </w:p>
    <w:p>
      <w:pPr>
        <w:spacing w:line="360" w:lineRule="auto" w:after="0" w:before="0"/>
        <w:ind w:firstLine="420"/>
      </w:pPr>
      <w:r>
        <w:rPr>
          <w:rFonts w:ascii="Times New Roman" w:hAnsi="Times New Roman" w:eastAsia="宋体"/>
          <w:color w:val="000000"/>
        </w:rPr>
        <w:t>应对策略应坚持"公共数据优先开放、高价值数据授权运营"的双轨制原则：</w:t>
      </w:r>
    </w:p>
    <w:p>
      <w:pPr>
        <w:spacing w:line="360" w:lineRule="auto" w:after="0" w:before="0"/>
        <w:ind w:firstLine="420"/>
      </w:pPr>
      <w:r>
        <w:rPr>
          <w:rFonts w:ascii="Times New Roman" w:hAnsi="Times New Roman" w:eastAsia="宋体"/>
          <w:color w:val="000000"/>
        </w:rPr>
        <w:t>- 基础公共数据（人口、法人、自然资源、信用等）应坚持免费开放，保障公众基本数据权利</w:t>
      </w:r>
    </w:p>
    <w:p>
      <w:pPr>
        <w:spacing w:line="360" w:lineRule="auto" w:after="0" w:before="0"/>
        <w:ind w:firstLine="420"/>
      </w:pPr>
      <w:r>
        <w:rPr>
          <w:rFonts w:ascii="Times New Roman" w:hAnsi="Times New Roman" w:eastAsia="宋体"/>
          <w:color w:val="000000"/>
        </w:rPr>
        <w:t>- 高价值数据（医疗、金融、交通等）可探索授权运营，通过市场化机制释放数据价值</w:t>
      </w:r>
    </w:p>
    <w:p>
      <w:pPr>
        <w:spacing w:line="360" w:lineRule="auto" w:after="0" w:before="0"/>
        <w:ind w:firstLine="420"/>
      </w:pPr>
      <w:r>
        <w:rPr>
          <w:rFonts w:ascii="Times New Roman" w:hAnsi="Times New Roman" w:eastAsia="宋体"/>
          <w:color w:val="000000"/>
        </w:rPr>
        <w:t>- 数据运营收益应反哺数据治理，形成可持续的开放生态</w:t>
      </w:r>
    </w:p>
    <w:p>
      <w:pPr>
        <w:spacing w:line="360" w:lineRule="auto" w:after="0" w:before="0"/>
      </w:pPr>
      <w:r>
        <w:rPr>
          <w:rFonts w:ascii="Times New Roman" w:hAnsi="Times New Roman" w:eastAsia="黑体"/>
          <w:b/>
          <w:color w:val="000000"/>
          <w:sz w:val="24"/>
        </w:rPr>
        <w:t>7.3 差异化提升策略</w:t>
      </w:r>
    </w:p>
    <w:p>
      <w:pPr>
        <w:spacing w:line="360" w:lineRule="auto" w:after="0" w:before="0"/>
        <w:ind w:firstLine="420"/>
      </w:pPr>
      <w:r>
        <w:rPr>
          <w:rFonts w:ascii="Times New Roman" w:hAnsi="Times New Roman" w:eastAsia="宋体"/>
          <w:color w:val="000000"/>
        </w:rPr>
        <w:t>基于第五章的绩效评估结果和第六章的影响因素分析，本研究提出分类施策、精准提升的差异化策略。</w:t>
      </w:r>
    </w:p>
    <w:p>
      <w:pPr>
        <w:spacing w:line="360" w:lineRule="auto" w:after="0" w:before="0"/>
        <w:ind w:firstLine="420"/>
      </w:pPr>
      <w:r>
        <w:rPr>
          <w:rFonts w:ascii="Times New Roman" w:hAnsi="Times New Roman" w:eastAsia="黑体"/>
          <w:b/>
          <w:color w:val="000000"/>
          <w:sz w:val="24"/>
        </w:rPr>
        <w:t>7.3.1 高绩效平台：标杆引领与模式输出</w:t>
      </w:r>
    </w:p>
    <w:p>
      <w:pPr>
        <w:spacing w:line="360" w:lineRule="auto" w:after="0" w:before="0"/>
        <w:ind w:firstLine="420"/>
      </w:pPr>
      <w:r>
        <w:rPr>
          <w:rFonts w:ascii="Times New Roman" w:hAnsi="Times New Roman" w:eastAsia="宋体"/>
          <w:color w:val="000000"/>
        </w:rPr>
        <w:t>对于11个高绩效平台，重点在于巩固优势、输出经验、引领标准：</w:t>
      </w:r>
    </w:p>
    <w:p>
      <w:pPr>
        <w:spacing w:line="360" w:lineRule="auto" w:after="0" w:before="0"/>
        <w:ind w:firstLine="420"/>
      </w:pPr>
      <w:r>
        <w:rPr>
          <w:rFonts w:ascii="Times New Roman" w:hAnsi="Times New Roman" w:eastAsia="宋体"/>
          <w:color w:val="000000"/>
        </w:rPr>
        <w:t>（1）建立标杆示范机制</w:t>
      </w:r>
    </w:p>
    <w:p>
      <w:pPr>
        <w:spacing w:line="360" w:lineRule="auto" w:after="0" w:before="0"/>
        <w:ind w:firstLine="420"/>
      </w:pPr>
      <w:r>
        <w:rPr>
          <w:rFonts w:ascii="Times New Roman" w:hAnsi="Times New Roman" w:eastAsia="宋体"/>
          <w:color w:val="000000"/>
        </w:rPr>
        <w:t>建议国家数据局设立"省级政府数据开放标杆平台"认证制度，对高绩效平台给予政策支持和资源倾斜。标杆平台应承担以下功能：</w:t>
      </w:r>
    </w:p>
    <w:p>
      <w:pPr>
        <w:spacing w:line="360" w:lineRule="auto" w:after="0" w:before="0"/>
        <w:ind w:firstLine="420"/>
      </w:pPr>
      <w:r>
        <w:rPr>
          <w:rFonts w:ascii="Times New Roman" w:hAnsi="Times New Roman" w:eastAsia="宋体"/>
          <w:color w:val="000000"/>
        </w:rPr>
        <w:t>- 制定行业标准和最佳实践指南</w:t>
      </w:r>
    </w:p>
    <w:p>
      <w:pPr>
        <w:spacing w:line="360" w:lineRule="auto" w:after="0" w:before="0"/>
        <w:ind w:firstLine="420"/>
      </w:pPr>
      <w:r>
        <w:rPr>
          <w:rFonts w:ascii="Times New Roman" w:hAnsi="Times New Roman" w:eastAsia="宋体"/>
          <w:color w:val="000000"/>
        </w:rPr>
        <w:t>- 开展对口帮扶，向低绩效省份输出经验</w:t>
      </w:r>
    </w:p>
    <w:p>
      <w:pPr>
        <w:spacing w:line="360" w:lineRule="auto" w:after="0" w:before="0"/>
        <w:ind w:firstLine="420"/>
      </w:pPr>
      <w:r>
        <w:rPr>
          <w:rFonts w:ascii="Times New Roman" w:hAnsi="Times New Roman" w:eastAsia="宋体"/>
          <w:color w:val="000000"/>
        </w:rPr>
        <w:t>- 参与国际开放数据评估，提升中国话语权</w:t>
      </w:r>
    </w:p>
    <w:p>
      <w:pPr>
        <w:spacing w:line="360" w:lineRule="auto" w:after="0" w:before="0"/>
        <w:ind w:firstLine="420"/>
      </w:pPr>
      <w:r>
        <w:rPr>
          <w:rFonts w:ascii="Times New Roman" w:hAnsi="Times New Roman" w:eastAsia="宋体"/>
          <w:color w:val="000000"/>
        </w:rPr>
        <w:t>（2）推动模式标准化</w:t>
      </w:r>
    </w:p>
    <w:p>
      <w:pPr>
        <w:spacing w:line="360" w:lineRule="auto" w:after="0" w:before="0"/>
        <w:ind w:firstLine="420"/>
      </w:pPr>
      <w:r>
        <w:rPr>
          <w:rFonts w:ascii="Times New Roman" w:hAnsi="Times New Roman" w:eastAsia="宋体"/>
          <w:color w:val="000000"/>
        </w:rPr>
        <w:t>将高绩效平台的成功经验提炼为标准模式。例如：</w:t>
      </w:r>
    </w:p>
    <w:p>
      <w:pPr>
        <w:spacing w:line="360" w:lineRule="auto" w:after="0" w:before="0"/>
        <w:ind w:firstLine="420"/>
      </w:pPr>
      <w:r>
        <w:rPr>
          <w:rFonts w:ascii="Times New Roman" w:hAnsi="Times New Roman" w:eastAsia="宋体"/>
          <w:color w:val="000000"/>
        </w:rPr>
        <w:t>- "广东模式"：数字政府改革引领型，适用于改革动力强、统筹能力好的省份</w:t>
      </w:r>
    </w:p>
    <w:p>
      <w:pPr>
        <w:spacing w:line="360" w:lineRule="auto" w:after="0" w:before="0"/>
        <w:ind w:firstLine="420"/>
      </w:pPr>
      <w:r>
        <w:rPr>
          <w:rFonts w:ascii="Times New Roman" w:hAnsi="Times New Roman" w:eastAsia="宋体"/>
          <w:color w:val="000000"/>
        </w:rPr>
        <w:t>- "山东模式"：政策法规先行型，适用于制度建设基础好的省份</w:t>
      </w:r>
    </w:p>
    <w:p>
      <w:pPr>
        <w:spacing w:line="360" w:lineRule="auto" w:after="0" w:before="0"/>
        <w:ind w:firstLine="420"/>
      </w:pPr>
      <w:r>
        <w:rPr>
          <w:rFonts w:ascii="Times New Roman" w:hAnsi="Times New Roman" w:eastAsia="宋体"/>
          <w:color w:val="000000"/>
        </w:rPr>
        <w:t>- "贵州模式"：产业生态驱动型，适用于大数据产业有一定基础的省份</w:t>
      </w:r>
    </w:p>
    <w:p>
      <w:pPr>
        <w:spacing w:line="360" w:lineRule="auto" w:after="0" w:before="0"/>
        <w:ind w:firstLine="420"/>
      </w:pPr>
      <w:r>
        <w:rPr>
          <w:rFonts w:ascii="Times New Roman" w:hAnsi="Times New Roman" w:eastAsia="宋体"/>
          <w:color w:val="000000"/>
        </w:rPr>
        <w:t>各省份可根据自身条件选择适配模式，避免"一刀切"。</w:t>
      </w:r>
    </w:p>
    <w:p>
      <w:pPr>
        <w:spacing w:line="360" w:lineRule="auto" w:after="0" w:before="0"/>
        <w:ind w:firstLine="420"/>
      </w:pPr>
      <w:r>
        <w:rPr>
          <w:rFonts w:ascii="Times New Roman" w:hAnsi="Times New Roman" w:eastAsia="宋体"/>
          <w:color w:val="000000"/>
        </w:rPr>
        <w:t>（3）探索数据开放2.0</w:t>
      </w:r>
    </w:p>
    <w:p>
      <w:pPr>
        <w:spacing w:line="360" w:lineRule="auto" w:after="0" w:before="0"/>
        <w:ind w:firstLine="420"/>
      </w:pPr>
      <w:r>
        <w:rPr>
          <w:rFonts w:ascii="Times New Roman" w:hAnsi="Times New Roman" w:eastAsia="宋体"/>
          <w:color w:val="000000"/>
        </w:rPr>
        <w:t>高绩效平台应从"数据开放1.0"（数据集发布）向"数据开放2.0"（数据服务化）升级：</w:t>
      </w:r>
    </w:p>
    <w:p>
      <w:pPr>
        <w:spacing w:line="360" w:lineRule="auto" w:after="0" w:before="0"/>
        <w:ind w:firstLine="420"/>
      </w:pPr>
      <w:r>
        <w:rPr>
          <w:rFonts w:ascii="Times New Roman" w:hAnsi="Times New Roman" w:eastAsia="宋体"/>
          <w:color w:val="000000"/>
        </w:rPr>
        <w:t>- 提供API即服务（API-as-a-Service），支持开发者按需调用</w:t>
      </w:r>
    </w:p>
    <w:p>
      <w:pPr>
        <w:spacing w:line="360" w:lineRule="auto" w:after="0" w:before="0"/>
        <w:ind w:firstLine="420"/>
      </w:pPr>
      <w:r>
        <w:rPr>
          <w:rFonts w:ascii="Times New Roman" w:hAnsi="Times New Roman" w:eastAsia="宋体"/>
          <w:color w:val="000000"/>
        </w:rPr>
        <w:t>- 建设数据沙箱环境，支持企业安全使用敏感数据</w:t>
      </w:r>
    </w:p>
    <w:p>
      <w:pPr>
        <w:spacing w:line="360" w:lineRule="auto" w:after="0" w:before="0"/>
        <w:ind w:firstLine="420"/>
      </w:pPr>
      <w:r>
        <w:rPr>
          <w:rFonts w:ascii="Times New Roman" w:hAnsi="Times New Roman" w:eastAsia="宋体"/>
          <w:color w:val="000000"/>
        </w:rPr>
        <w:t>- 开放算法模型和算力资源，降低数据应用门槛</w:t>
      </w:r>
    </w:p>
    <w:p>
      <w:pPr>
        <w:spacing w:line="360" w:lineRule="auto" w:after="0" w:before="0"/>
        <w:ind w:firstLine="420"/>
      </w:pPr>
      <w:r>
        <w:rPr>
          <w:rFonts w:ascii="Times New Roman" w:hAnsi="Times New Roman" w:eastAsia="黑体"/>
          <w:b/>
          <w:color w:val="000000"/>
          <w:sz w:val="24"/>
        </w:rPr>
        <w:t>7.3.2 功能型低绩效平台：补齐短板、激活潜力</w:t>
      </w:r>
    </w:p>
    <w:p>
      <w:pPr>
        <w:spacing w:line="360" w:lineRule="auto" w:after="0" w:before="0"/>
        <w:ind w:firstLine="420"/>
      </w:pPr>
      <w:r>
        <w:rPr>
          <w:rFonts w:ascii="Times New Roman" w:hAnsi="Times New Roman" w:eastAsia="宋体"/>
          <w:color w:val="000000"/>
        </w:rPr>
        <w:t>对于8个"有平台无作为"型低绩效平台，重点在于补齐政策短板、激活应用潜力：</w:t>
      </w:r>
    </w:p>
    <w:p>
      <w:pPr>
        <w:spacing w:line="360" w:lineRule="auto" w:after="0" w:before="0"/>
        <w:ind w:firstLine="420"/>
      </w:pPr>
      <w:r>
        <w:rPr>
          <w:rFonts w:ascii="Times New Roman" w:hAnsi="Times New Roman" w:eastAsia="宋体"/>
          <w:color w:val="000000"/>
        </w:rPr>
        <w:t>（1）尽快出台省级专项政策</w:t>
      </w:r>
    </w:p>
    <w:p>
      <w:pPr>
        <w:spacing w:line="360" w:lineRule="auto" w:after="0" w:before="0"/>
        <w:ind w:firstLine="420"/>
      </w:pPr>
      <w:r>
        <w:rPr>
          <w:rFonts w:ascii="Times New Roman" w:hAnsi="Times New Roman" w:eastAsia="宋体"/>
          <w:color w:val="000000"/>
        </w:rPr>
        <w:t>这是最关键的一步。建议参照山东、湖北等省份经验，尽快制定省级政务数据开放管理办法。政策应明确：</w:t>
      </w:r>
    </w:p>
    <w:p>
      <w:pPr>
        <w:spacing w:line="360" w:lineRule="auto" w:after="0" w:before="0"/>
        <w:ind w:firstLine="420"/>
      </w:pPr>
      <w:r>
        <w:rPr>
          <w:rFonts w:ascii="Times New Roman" w:hAnsi="Times New Roman" w:eastAsia="宋体"/>
          <w:color w:val="000000"/>
        </w:rPr>
        <w:t>- 数据开放的范围、标准和流程</w:t>
      </w:r>
    </w:p>
    <w:p>
      <w:pPr>
        <w:spacing w:line="360" w:lineRule="auto" w:after="0" w:before="0"/>
        <w:ind w:firstLine="420"/>
      </w:pPr>
      <w:r>
        <w:rPr>
          <w:rFonts w:ascii="Times New Roman" w:hAnsi="Times New Roman" w:eastAsia="宋体"/>
          <w:color w:val="000000"/>
        </w:rPr>
        <w:t>- 各部门的数据开放责任清单</w:t>
      </w:r>
    </w:p>
    <w:p>
      <w:pPr>
        <w:spacing w:line="360" w:lineRule="auto" w:after="0" w:before="0"/>
        <w:ind w:firstLine="420"/>
      </w:pPr>
      <w:r>
        <w:rPr>
          <w:rFonts w:ascii="Times New Roman" w:hAnsi="Times New Roman" w:eastAsia="宋体"/>
          <w:color w:val="000000"/>
        </w:rPr>
        <w:t>- 数据质量要求和更新频率</w:t>
      </w:r>
    </w:p>
    <w:p>
      <w:pPr>
        <w:spacing w:line="360" w:lineRule="auto" w:after="0" w:before="0"/>
        <w:ind w:firstLine="420"/>
      </w:pPr>
      <w:r>
        <w:rPr>
          <w:rFonts w:ascii="Times New Roman" w:hAnsi="Times New Roman" w:eastAsia="宋体"/>
          <w:color w:val="000000"/>
        </w:rPr>
        <w:t>- 考核评估机制和问责条款</w:t>
      </w:r>
    </w:p>
    <w:p>
      <w:pPr>
        <w:spacing w:line="360" w:lineRule="auto" w:after="0" w:before="0"/>
        <w:ind w:firstLine="420"/>
      </w:pPr>
      <w:r>
        <w:rPr>
          <w:rFonts w:ascii="Times New Roman" w:hAnsi="Times New Roman" w:eastAsia="宋体"/>
          <w:color w:val="000000"/>
        </w:rPr>
        <w:t>- 安全保障和隐私保护规范</w:t>
      </w:r>
    </w:p>
    <w:p>
      <w:pPr>
        <w:spacing w:line="360" w:lineRule="auto" w:after="0" w:before="0"/>
        <w:ind w:firstLine="420"/>
      </w:pPr>
      <w:r>
        <w:rPr>
          <w:rFonts w:ascii="Times New Roman" w:hAnsi="Times New Roman" w:eastAsia="宋体"/>
          <w:color w:val="000000"/>
        </w:rPr>
        <w:t>（2）建立跨部门协调机制</w:t>
      </w:r>
    </w:p>
    <w:p>
      <w:pPr>
        <w:spacing w:line="360" w:lineRule="auto" w:after="0" w:before="0"/>
        <w:ind w:firstLine="420"/>
      </w:pPr>
      <w:r>
        <w:rPr>
          <w:rFonts w:ascii="Times New Roman" w:hAnsi="Times New Roman" w:eastAsia="宋体"/>
          <w:color w:val="000000"/>
        </w:rPr>
        <w:t>设立省级数据开放工作领导小组，由分管副省长任组长，统筹协调各部门数据开放工作。建立"数据开放联络员"制度，每个部门指定专人负责数据上传和更新。</w:t>
      </w:r>
    </w:p>
    <w:p>
      <w:pPr>
        <w:spacing w:line="360" w:lineRule="auto" w:after="0" w:before="0"/>
        <w:ind w:firstLine="420"/>
      </w:pPr>
      <w:r>
        <w:rPr>
          <w:rFonts w:ascii="Times New Roman" w:hAnsi="Times New Roman" w:eastAsia="宋体"/>
          <w:color w:val="000000"/>
        </w:rPr>
        <w:t>（3）培育数据应用生态</w:t>
      </w:r>
    </w:p>
    <w:p>
      <w:pPr>
        <w:spacing w:line="360" w:lineRule="auto" w:after="0" w:before="0"/>
        <w:ind w:firstLine="420"/>
      </w:pPr>
      <w:r>
        <w:rPr>
          <w:rFonts w:ascii="Times New Roman" w:hAnsi="Times New Roman" w:eastAsia="宋体"/>
          <w:color w:val="000000"/>
        </w:rPr>
        <w:t>- 举办省级开放数据创新应用大赛，吸引企业、高校、社会组织参与</w:t>
      </w:r>
    </w:p>
    <w:p>
      <w:pPr>
        <w:spacing w:line="360" w:lineRule="auto" w:after="0" w:before="0"/>
        <w:ind w:firstLine="420"/>
      </w:pPr>
      <w:r>
        <w:rPr>
          <w:rFonts w:ascii="Times New Roman" w:hAnsi="Times New Roman" w:eastAsia="宋体"/>
          <w:color w:val="000000"/>
        </w:rPr>
        <w:t>- 设立数据应用孵化基金，支持优秀数据应用项目落地</w:t>
      </w:r>
    </w:p>
    <w:p>
      <w:pPr>
        <w:spacing w:line="360" w:lineRule="auto" w:after="0" w:before="0"/>
        <w:ind w:firstLine="420"/>
      </w:pPr>
      <w:r>
        <w:rPr>
          <w:rFonts w:ascii="Times New Roman" w:hAnsi="Times New Roman" w:eastAsia="宋体"/>
          <w:color w:val="000000"/>
        </w:rPr>
        <w:t>- 建立"数据开放成效展示"专栏，定期发布数据应用案例</w:t>
      </w:r>
    </w:p>
    <w:p>
      <w:pPr>
        <w:spacing w:line="360" w:lineRule="auto" w:after="0" w:before="0"/>
        <w:ind w:firstLine="420"/>
      </w:pPr>
      <w:r>
        <w:rPr>
          <w:rFonts w:ascii="Times New Roman" w:hAnsi="Times New Roman" w:eastAsia="宋体"/>
          <w:color w:val="000000"/>
        </w:rPr>
        <w:t>- 与头部互联网企业合作，推动开放数据在民生服务中的应用</w:t>
      </w:r>
    </w:p>
    <w:p>
      <w:pPr>
        <w:spacing w:line="360" w:lineRule="auto" w:after="0" w:before="0"/>
        <w:ind w:firstLine="420"/>
      </w:pPr>
      <w:r>
        <w:rPr>
          <w:rFonts w:ascii="Times New Roman" w:hAnsi="Times New Roman" w:eastAsia="宋体"/>
          <w:color w:val="000000"/>
        </w:rPr>
        <w:t>（4）纳入绩效考核</w:t>
      </w:r>
    </w:p>
    <w:p>
      <w:pPr>
        <w:spacing w:line="360" w:lineRule="auto" w:after="0" w:before="0"/>
        <w:ind w:firstLine="420"/>
      </w:pPr>
      <w:r>
        <w:rPr>
          <w:rFonts w:ascii="Times New Roman" w:hAnsi="Times New Roman" w:eastAsia="宋体"/>
          <w:color w:val="000000"/>
        </w:rPr>
        <w:t>将数据开放工作纳入地方政府绩效考核体系，设定量化指标（如数据集数量、更新频率、下载量、应用案例数等），与部门评优、领导考核挂钩。</w:t>
      </w:r>
    </w:p>
    <w:p>
      <w:pPr>
        <w:spacing w:line="360" w:lineRule="auto" w:after="0" w:before="0"/>
        <w:ind w:firstLine="420"/>
      </w:pPr>
      <w:r>
        <w:rPr>
          <w:rFonts w:ascii="Times New Roman" w:hAnsi="Times New Roman" w:eastAsia="黑体"/>
          <w:b/>
          <w:color w:val="000000"/>
          <w:sz w:val="24"/>
        </w:rPr>
        <w:t>7.3.3 停滞型低绩效平台：分类处置、重新出发</w:t>
      </w:r>
    </w:p>
    <w:p>
      <w:pPr>
        <w:spacing w:line="360" w:lineRule="auto" w:after="0" w:before="0"/>
        <w:ind w:firstLine="420"/>
      </w:pPr>
      <w:r>
        <w:rPr>
          <w:rFonts w:ascii="Times New Roman" w:hAnsi="Times New Roman" w:eastAsia="宋体"/>
          <w:color w:val="000000"/>
        </w:rPr>
        <w:t>对于3个停滞型平台，需要分类施策、重新定位：</w:t>
      </w:r>
    </w:p>
    <w:p>
      <w:pPr>
        <w:spacing w:line="360" w:lineRule="auto" w:after="0" w:before="0"/>
        <w:ind w:firstLine="420"/>
      </w:pPr>
      <w:r>
        <w:rPr>
          <w:rFonts w:ascii="Times New Roman" w:hAnsi="Times New Roman" w:eastAsia="宋体"/>
          <w:color w:val="000000"/>
        </w:rPr>
        <w:t>（1）河南、云南：理顺"开放"与"运营"关系</w:t>
      </w:r>
    </w:p>
    <w:p>
      <w:pPr>
        <w:spacing w:line="360" w:lineRule="auto" w:after="0" w:before="0"/>
        <w:ind w:firstLine="420"/>
      </w:pPr>
      <w:r>
        <w:rPr>
          <w:rFonts w:ascii="Times New Roman" w:hAnsi="Times New Roman" w:eastAsia="宋体"/>
          <w:color w:val="000000"/>
        </w:rPr>
        <w:t>河南和云南的平台转型为数据交易平台，反映了地方政府的现实选择。建议：</w:t>
      </w:r>
    </w:p>
    <w:p>
      <w:pPr>
        <w:spacing w:line="360" w:lineRule="auto" w:after="0" w:before="0"/>
        <w:ind w:firstLine="420"/>
      </w:pPr>
      <w:r>
        <w:rPr>
          <w:rFonts w:ascii="Times New Roman" w:hAnsi="Times New Roman" w:eastAsia="宋体"/>
          <w:color w:val="000000"/>
        </w:rPr>
        <w:t>- 在数据交易中心内保留"公共数据开放"专区，确保基础公共数据的免费开放</w:t>
      </w:r>
    </w:p>
    <w:p>
      <w:pPr>
        <w:spacing w:line="360" w:lineRule="auto" w:after="0" w:before="0"/>
        <w:ind w:firstLine="420"/>
      </w:pPr>
      <w:r>
        <w:rPr>
          <w:rFonts w:ascii="Times New Roman" w:hAnsi="Times New Roman" w:eastAsia="宋体"/>
          <w:color w:val="000000"/>
        </w:rPr>
        <w:t>- 建立"开放数据清单"制度，明确哪些数据必须免费开放、哪些可以授权运营</w:t>
      </w:r>
    </w:p>
    <w:p>
      <w:pPr>
        <w:spacing w:line="360" w:lineRule="auto" w:after="0" w:before="0"/>
        <w:ind w:firstLine="420"/>
      </w:pPr>
      <w:r>
        <w:rPr>
          <w:rFonts w:ascii="Times New Roman" w:hAnsi="Times New Roman" w:eastAsia="宋体"/>
          <w:color w:val="000000"/>
        </w:rPr>
        <w:t>- 将数据运营的部分收益用于平台维护和数据质量提升，形成可持续机制</w:t>
      </w:r>
    </w:p>
    <w:p>
      <w:pPr>
        <w:spacing w:line="360" w:lineRule="auto" w:after="0" w:before="0"/>
        <w:ind w:firstLine="420"/>
      </w:pPr>
      <w:r>
        <w:rPr>
          <w:rFonts w:ascii="Times New Roman" w:hAnsi="Times New Roman" w:eastAsia="宋体"/>
          <w:color w:val="000000"/>
        </w:rPr>
        <w:t>- 定期评估开放数据的公众满意度，防止公共性丧失</w:t>
      </w:r>
    </w:p>
    <w:p>
      <w:pPr>
        <w:spacing w:line="360" w:lineRule="auto" w:after="0" w:before="0"/>
        <w:ind w:firstLine="420"/>
      </w:pPr>
      <w:r>
        <w:rPr>
          <w:rFonts w:ascii="Times New Roman" w:hAnsi="Times New Roman" w:eastAsia="宋体"/>
          <w:color w:val="000000"/>
        </w:rPr>
        <w:t>（2）山西：平台重启与资源整合</w:t>
      </w:r>
    </w:p>
    <w:p>
      <w:pPr>
        <w:spacing w:line="360" w:lineRule="auto" w:after="0" w:before="0"/>
        <w:ind w:firstLine="420"/>
      </w:pPr>
      <w:r>
        <w:rPr>
          <w:rFonts w:ascii="Times New Roman" w:hAnsi="Times New Roman" w:eastAsia="宋体"/>
          <w:color w:val="000000"/>
        </w:rPr>
        <w:t>山西省平台基本处于"僵尸"状态，需要重新出发：</w:t>
      </w:r>
    </w:p>
    <w:p>
      <w:pPr>
        <w:spacing w:line="360" w:lineRule="auto" w:after="0" w:before="0"/>
        <w:ind w:firstLine="420"/>
      </w:pPr>
      <w:r>
        <w:rPr>
          <w:rFonts w:ascii="Times New Roman" w:hAnsi="Times New Roman" w:eastAsia="宋体"/>
          <w:color w:val="000000"/>
        </w:rPr>
        <w:t>- 开展平台现状评估，识别技术和数据层面的问题</w:t>
      </w:r>
    </w:p>
    <w:p>
      <w:pPr>
        <w:spacing w:line="360" w:lineRule="auto" w:after="0" w:before="0"/>
        <w:ind w:firstLine="420"/>
      </w:pPr>
      <w:r>
        <w:rPr>
          <w:rFonts w:ascii="Times New Roman" w:hAnsi="Times New Roman" w:eastAsia="宋体"/>
          <w:color w:val="000000"/>
        </w:rPr>
        <w:t>- 借鉴邻近省份（如陕西、内蒙古）的经验，制定平台建设方案</w:t>
      </w:r>
    </w:p>
    <w:p>
      <w:pPr>
        <w:spacing w:line="360" w:lineRule="auto" w:after="0" w:before="0"/>
        <w:ind w:firstLine="420"/>
      </w:pPr>
      <w:r>
        <w:rPr>
          <w:rFonts w:ascii="Times New Roman" w:hAnsi="Times New Roman" w:eastAsia="宋体"/>
          <w:color w:val="000000"/>
        </w:rPr>
        <w:t>- 争取省级财政专项支持，解决平台运维的资金瓶颈</w:t>
      </w:r>
    </w:p>
    <w:p>
      <w:pPr>
        <w:spacing w:line="360" w:lineRule="auto" w:after="0" w:before="0"/>
        <w:ind w:firstLine="420"/>
      </w:pPr>
      <w:r>
        <w:rPr>
          <w:rFonts w:ascii="Times New Roman" w:hAnsi="Times New Roman" w:eastAsia="宋体"/>
          <w:color w:val="000000"/>
        </w:rPr>
        <w:t>- 考虑与山西省大数据中心或数字政府建设统筹规划，避免重复建设</w:t>
      </w:r>
    </w:p>
    <w:p>
      <w:pPr>
        <w:spacing w:line="360" w:lineRule="auto" w:after="0" w:before="0"/>
      </w:pPr>
      <w:r>
        <w:rPr>
          <w:rFonts w:ascii="Times New Roman" w:hAnsi="Times New Roman" w:eastAsia="黑体"/>
          <w:b/>
          <w:color w:val="000000"/>
          <w:sz w:val="24"/>
        </w:rPr>
        <w:t>7.4 政策建议</w:t>
      </w:r>
    </w:p>
    <w:p>
      <w:pPr>
        <w:spacing w:line="360" w:lineRule="auto" w:after="0" w:before="0"/>
        <w:ind w:firstLine="420"/>
      </w:pPr>
      <w:r>
        <w:rPr>
          <w:rFonts w:ascii="Times New Roman" w:hAnsi="Times New Roman" w:eastAsia="宋体"/>
          <w:color w:val="000000"/>
        </w:rPr>
        <w:t>基于上述分析，本研究提出以下政策建议：</w:t>
      </w:r>
    </w:p>
    <w:p>
      <w:pPr>
        <w:spacing w:line="360" w:lineRule="auto" w:after="0" w:before="0"/>
        <w:ind w:firstLine="420"/>
      </w:pPr>
      <w:r>
        <w:rPr>
          <w:rFonts w:ascii="Times New Roman" w:hAnsi="Times New Roman" w:eastAsia="黑体"/>
          <w:b/>
          <w:color w:val="000000"/>
          <w:sz w:val="24"/>
        </w:rPr>
        <w:t>7.4.1 国家层面：完善顶层设计</w:t>
      </w:r>
    </w:p>
    <w:p>
      <w:pPr>
        <w:spacing w:line="360" w:lineRule="auto" w:after="0" w:before="0"/>
        <w:ind w:firstLine="420"/>
      </w:pPr>
      <w:r>
        <w:rPr>
          <w:rFonts w:ascii="Times New Roman" w:hAnsi="Times New Roman" w:eastAsia="宋体"/>
          <w:color w:val="000000"/>
        </w:rPr>
        <w:t>（1）出台《政府数据开放条例》</w:t>
      </w:r>
    </w:p>
    <w:p>
      <w:pPr>
        <w:spacing w:line="360" w:lineRule="auto" w:after="0" w:before="0"/>
        <w:ind w:firstLine="420"/>
      </w:pPr>
      <w:r>
        <w:rPr>
          <w:rFonts w:ascii="Times New Roman" w:hAnsi="Times New Roman" w:eastAsia="宋体"/>
          <w:color w:val="000000"/>
        </w:rPr>
        <w:t>目前开放政府数据主要依据政策文件（如《促进大数据发展行动纲要》），缺乏法律约束力。建议借鉴美国《开放政府数据法》（OPEN Government Data Act）、英国《数据保护法案》等经验，推动出台行政法规或法律，将数据开放从"政策倡导"提升为"法定职责"。条例应明确：</w:t>
      </w:r>
    </w:p>
    <w:p>
      <w:pPr>
        <w:spacing w:line="360" w:lineRule="auto" w:after="0" w:before="0"/>
        <w:ind w:firstLine="420"/>
      </w:pPr>
      <w:r>
        <w:rPr>
          <w:rFonts w:ascii="Times New Roman" w:hAnsi="Times New Roman" w:eastAsia="宋体"/>
          <w:color w:val="000000"/>
        </w:rPr>
        <w:t>- 政府数据开放的法律义务和范围</w:t>
      </w:r>
    </w:p>
    <w:p>
      <w:pPr>
        <w:spacing w:line="360" w:lineRule="auto" w:after="0" w:before="0"/>
        <w:ind w:firstLine="420"/>
      </w:pPr>
      <w:r>
        <w:rPr>
          <w:rFonts w:ascii="Times New Roman" w:hAnsi="Times New Roman" w:eastAsia="宋体"/>
          <w:color w:val="000000"/>
        </w:rPr>
        <w:t>- 数据开放的标准和质量要求</w:t>
      </w:r>
    </w:p>
    <w:p>
      <w:pPr>
        <w:spacing w:line="360" w:lineRule="auto" w:after="0" w:before="0"/>
        <w:ind w:firstLine="420"/>
      </w:pPr>
      <w:r>
        <w:rPr>
          <w:rFonts w:ascii="Times New Roman" w:hAnsi="Times New Roman" w:eastAsia="宋体"/>
          <w:color w:val="000000"/>
        </w:rPr>
        <w:t>- 公众的数据获取权和救济途径</w:t>
      </w:r>
    </w:p>
    <w:p>
      <w:pPr>
        <w:spacing w:line="360" w:lineRule="auto" w:after="0" w:before="0"/>
        <w:ind w:firstLine="420"/>
      </w:pPr>
      <w:r>
        <w:rPr>
          <w:rFonts w:ascii="Times New Roman" w:hAnsi="Times New Roman" w:eastAsia="宋体"/>
          <w:color w:val="000000"/>
        </w:rPr>
        <w:t>- 数据安全和个人隐私保护规范</w:t>
      </w:r>
    </w:p>
    <w:p>
      <w:pPr>
        <w:spacing w:line="360" w:lineRule="auto" w:after="0" w:before="0"/>
        <w:ind w:firstLine="420"/>
      </w:pPr>
      <w:r>
        <w:rPr>
          <w:rFonts w:ascii="Times New Roman" w:hAnsi="Times New Roman" w:eastAsia="宋体"/>
          <w:color w:val="000000"/>
        </w:rPr>
        <w:t>- 监督评估和问责机制</w:t>
      </w:r>
    </w:p>
    <w:p>
      <w:pPr>
        <w:spacing w:line="360" w:lineRule="auto" w:after="0" w:before="0"/>
        <w:ind w:firstLine="420"/>
      </w:pPr>
      <w:r>
        <w:rPr>
          <w:rFonts w:ascii="Times New Roman" w:hAnsi="Times New Roman" w:eastAsia="宋体"/>
          <w:color w:val="000000"/>
        </w:rPr>
        <w:t>（2）建立全国统一的数据开放标准体系</w:t>
      </w:r>
    </w:p>
    <w:p>
      <w:pPr>
        <w:spacing w:line="360" w:lineRule="auto" w:after="0" w:before="0"/>
        <w:ind w:firstLine="420"/>
      </w:pPr>
      <w:r>
        <w:rPr>
          <w:rFonts w:ascii="Times New Roman" w:hAnsi="Times New Roman" w:eastAsia="宋体"/>
          <w:color w:val="000000"/>
        </w:rPr>
        <w:t>当前各平台的数据格式、元数据标准、API规范不统一，增加了数据使用的成本。建议国家数据局牵头制定：</w:t>
      </w:r>
    </w:p>
    <w:p>
      <w:pPr>
        <w:spacing w:line="360" w:lineRule="auto" w:after="0" w:before="0"/>
        <w:ind w:firstLine="420"/>
      </w:pPr>
      <w:r>
        <w:rPr>
          <w:rFonts w:ascii="Times New Roman" w:hAnsi="Times New Roman" w:eastAsia="宋体"/>
          <w:color w:val="000000"/>
        </w:rPr>
        <w:t>- 《政府数据开放元数据标准》</w:t>
      </w:r>
    </w:p>
    <w:p>
      <w:pPr>
        <w:spacing w:line="360" w:lineRule="auto" w:after="0" w:before="0"/>
        <w:ind w:firstLine="420"/>
      </w:pPr>
      <w:r>
        <w:rPr>
          <w:rFonts w:ascii="Times New Roman" w:hAnsi="Times New Roman" w:eastAsia="宋体"/>
          <w:color w:val="000000"/>
        </w:rPr>
        <w:t>- 《政府数据开放API技术规范》</w:t>
      </w:r>
    </w:p>
    <w:p>
      <w:pPr>
        <w:spacing w:line="360" w:lineRule="auto" w:after="0" w:before="0"/>
        <w:ind w:firstLine="420"/>
      </w:pPr>
      <w:r>
        <w:rPr>
          <w:rFonts w:ascii="Times New Roman" w:hAnsi="Times New Roman" w:eastAsia="宋体"/>
          <w:color w:val="000000"/>
        </w:rPr>
        <w:t>- 《政府数据质量评估指南》</w:t>
      </w:r>
    </w:p>
    <w:p>
      <w:pPr>
        <w:spacing w:line="360" w:lineRule="auto" w:after="0" w:before="0"/>
        <w:ind w:firstLine="420"/>
      </w:pPr>
      <w:r>
        <w:rPr>
          <w:rFonts w:ascii="Times New Roman" w:hAnsi="Times New Roman" w:eastAsia="宋体"/>
          <w:color w:val="000000"/>
        </w:rPr>
        <w:t>- 《政府数据开放平台建设指南》</w:t>
      </w:r>
    </w:p>
    <w:p>
      <w:pPr>
        <w:spacing w:line="360" w:lineRule="auto" w:after="0" w:before="0"/>
        <w:ind w:firstLine="420"/>
      </w:pPr>
      <w:r>
        <w:rPr>
          <w:rFonts w:ascii="Times New Roman" w:hAnsi="Times New Roman" w:eastAsia="宋体"/>
          <w:color w:val="000000"/>
        </w:rPr>
        <w:t>（3）设立"开放政府数据"专项资金</w:t>
      </w:r>
    </w:p>
    <w:p>
      <w:pPr>
        <w:spacing w:line="360" w:lineRule="auto" w:after="0" w:before="0"/>
        <w:ind w:firstLine="420"/>
      </w:pPr>
      <w:r>
        <w:rPr>
          <w:rFonts w:ascii="Times New Roman" w:hAnsi="Times New Roman" w:eastAsia="宋体"/>
          <w:color w:val="000000"/>
        </w:rPr>
        <w:t>建议中央财政设立专项资金，对中西部地区和低绩效省份给予倾斜支持。资金用途包括：</w:t>
      </w:r>
    </w:p>
    <w:p>
      <w:pPr>
        <w:spacing w:line="360" w:lineRule="auto" w:after="0" w:before="0"/>
        <w:ind w:firstLine="420"/>
      </w:pPr>
      <w:r>
        <w:rPr>
          <w:rFonts w:ascii="Times New Roman" w:hAnsi="Times New Roman" w:eastAsia="宋体"/>
          <w:color w:val="000000"/>
        </w:rPr>
        <w:t>- 平台建设和技术升级</w:t>
      </w:r>
    </w:p>
    <w:p>
      <w:pPr>
        <w:spacing w:line="360" w:lineRule="auto" w:after="0" w:before="0"/>
        <w:ind w:firstLine="420"/>
      </w:pPr>
      <w:r>
        <w:rPr>
          <w:rFonts w:ascii="Times New Roman" w:hAnsi="Times New Roman" w:eastAsia="宋体"/>
          <w:color w:val="000000"/>
        </w:rPr>
        <w:t>- 数据治理和质量提升</w:t>
      </w:r>
    </w:p>
    <w:p>
      <w:pPr>
        <w:spacing w:line="360" w:lineRule="auto" w:after="0" w:before="0"/>
        <w:ind w:firstLine="420"/>
      </w:pPr>
      <w:r>
        <w:rPr>
          <w:rFonts w:ascii="Times New Roman" w:hAnsi="Times New Roman" w:eastAsia="宋体"/>
          <w:color w:val="000000"/>
        </w:rPr>
        <w:t>- 应用推广和生态培育</w:t>
      </w:r>
    </w:p>
    <w:p>
      <w:pPr>
        <w:spacing w:line="360" w:lineRule="auto" w:after="0" w:before="0"/>
        <w:ind w:firstLine="420"/>
      </w:pPr>
      <w:r>
        <w:rPr>
          <w:rFonts w:ascii="Times New Roman" w:hAnsi="Times New Roman" w:eastAsia="宋体"/>
          <w:color w:val="000000"/>
        </w:rPr>
        <w:t>- 人员培训和能力建设</w:t>
      </w:r>
    </w:p>
    <w:p>
      <w:pPr>
        <w:spacing w:line="360" w:lineRule="auto" w:after="0" w:before="0"/>
        <w:ind w:firstLine="420"/>
      </w:pPr>
      <w:r>
        <w:rPr>
          <w:rFonts w:ascii="Times New Roman" w:hAnsi="Times New Roman" w:eastAsia="黑体"/>
          <w:b/>
          <w:color w:val="000000"/>
          <w:sz w:val="24"/>
        </w:rPr>
        <w:t>7.4.2 省级层面：强化制度执行</w:t>
      </w:r>
    </w:p>
    <w:p>
      <w:pPr>
        <w:spacing w:line="360" w:lineRule="auto" w:after="0" w:before="0"/>
        <w:ind w:firstLine="420"/>
      </w:pPr>
      <w:r>
        <w:rPr>
          <w:rFonts w:ascii="Times New Roman" w:hAnsi="Times New Roman" w:eastAsia="宋体"/>
          <w:color w:val="000000"/>
        </w:rPr>
        <w:t>（1）将数据开放纳入"一把手"工程</w:t>
      </w:r>
    </w:p>
    <w:p>
      <w:pPr>
        <w:spacing w:line="360" w:lineRule="auto" w:after="0" w:before="0"/>
        <w:ind w:firstLine="420"/>
      </w:pPr>
      <w:r>
        <w:rPr>
          <w:rFonts w:ascii="Times New Roman" w:hAnsi="Times New Roman" w:eastAsia="宋体"/>
          <w:color w:val="000000"/>
        </w:rPr>
        <w:t>省级政府应将数据开放作为数字政府建设的重要内容，由分管副省长直接推动。建立"省级数据开放工作联席会议"制度，定期协调解决问题。</w:t>
      </w:r>
    </w:p>
    <w:p>
      <w:pPr>
        <w:spacing w:line="360" w:lineRule="auto" w:after="0" w:before="0"/>
        <w:ind w:firstLine="420"/>
      </w:pPr>
      <w:r>
        <w:rPr>
          <w:rFonts w:ascii="Times New Roman" w:hAnsi="Times New Roman" w:eastAsia="宋体"/>
          <w:color w:val="000000"/>
        </w:rPr>
        <w:t>（2）建立数据开放"负面清单"制度</w:t>
      </w:r>
    </w:p>
    <w:p>
      <w:pPr>
        <w:spacing w:line="360" w:lineRule="auto" w:after="0" w:before="0"/>
        <w:ind w:firstLine="420"/>
      </w:pPr>
      <w:r>
        <w:rPr>
          <w:rFonts w:ascii="Times New Roman" w:hAnsi="Times New Roman" w:eastAsia="宋体"/>
          <w:color w:val="000000"/>
        </w:rPr>
        <w:t>明确哪些数据不得开放（涉及国家秘密、商业秘密、个人隐私），负面清单之外的数据原则上应全部开放。这有助于消除各部门"怕担责"的顾虑。</w:t>
      </w:r>
    </w:p>
    <w:p>
      <w:pPr>
        <w:spacing w:line="360" w:lineRule="auto" w:after="0" w:before="0"/>
        <w:ind w:firstLine="420"/>
      </w:pPr>
      <w:r>
        <w:rPr>
          <w:rFonts w:ascii="Times New Roman" w:hAnsi="Times New Roman" w:eastAsia="宋体"/>
          <w:color w:val="000000"/>
        </w:rPr>
        <w:t>（3）推行数据开放"清单式"管理</w:t>
      </w:r>
    </w:p>
    <w:p>
      <w:pPr>
        <w:spacing w:line="360" w:lineRule="auto" w:after="0" w:before="0"/>
        <w:ind w:firstLine="420"/>
      </w:pPr>
      <w:r>
        <w:rPr>
          <w:rFonts w:ascii="Times New Roman" w:hAnsi="Times New Roman" w:eastAsia="宋体"/>
          <w:color w:val="000000"/>
        </w:rPr>
        <w:t>建立省级数据开放责任清单，明确每个部门应开放的数据集名称、更新频率、质量标准。将清单完成情况纳入部门年度考核。</w:t>
      </w:r>
    </w:p>
    <w:p>
      <w:pPr>
        <w:spacing w:line="360" w:lineRule="auto" w:after="0" w:before="0"/>
        <w:ind w:firstLine="420"/>
      </w:pPr>
      <w:r>
        <w:rPr>
          <w:rFonts w:ascii="Times New Roman" w:hAnsi="Times New Roman" w:eastAsia="黑体"/>
          <w:b/>
          <w:color w:val="000000"/>
          <w:sz w:val="24"/>
        </w:rPr>
        <w:t>7.4.3 平台层面：提升服务质量</w:t>
      </w:r>
    </w:p>
    <w:p>
      <w:pPr>
        <w:spacing w:line="360" w:lineRule="auto" w:after="0" w:before="0"/>
        <w:ind w:firstLine="420"/>
      </w:pPr>
      <w:r>
        <w:rPr>
          <w:rFonts w:ascii="Times New Roman" w:hAnsi="Times New Roman" w:eastAsia="宋体"/>
          <w:color w:val="000000"/>
        </w:rPr>
        <w:t>（1）建立用户反馈闭环机制</w:t>
      </w:r>
    </w:p>
    <w:p>
      <w:pPr>
        <w:spacing w:line="360" w:lineRule="auto" w:after="0" w:before="0"/>
        <w:ind w:firstLine="420"/>
      </w:pPr>
      <w:r>
        <w:rPr>
          <w:rFonts w:ascii="Times New Roman" w:hAnsi="Times New Roman" w:eastAsia="宋体"/>
          <w:color w:val="000000"/>
        </w:rPr>
        <w:t>平台应提供数据需求提交、质量投诉、使用反馈等功能，并建立"收集-处理-回应"的闭环机制。定期发布用户满意度调查报告。</w:t>
      </w:r>
    </w:p>
    <w:p>
      <w:pPr>
        <w:spacing w:line="360" w:lineRule="auto" w:after="0" w:before="0"/>
        <w:ind w:firstLine="420"/>
      </w:pPr>
      <w:r>
        <w:rPr>
          <w:rFonts w:ascii="Times New Roman" w:hAnsi="Times New Roman" w:eastAsia="宋体"/>
          <w:color w:val="000000"/>
        </w:rPr>
        <w:t>（2）提供数据服务而非仅数据发布</w:t>
      </w:r>
    </w:p>
    <w:p>
      <w:pPr>
        <w:spacing w:line="360" w:lineRule="auto" w:after="0" w:before="0"/>
        <w:ind w:firstLine="420"/>
      </w:pPr>
      <w:r>
        <w:rPr>
          <w:rFonts w:ascii="Times New Roman" w:hAnsi="Times New Roman" w:eastAsia="宋体"/>
          <w:color w:val="000000"/>
        </w:rPr>
        <w:t>从"提供数据集"升级为"提供数据服务"，包括：</w:t>
      </w:r>
    </w:p>
    <w:p>
      <w:pPr>
        <w:spacing w:line="360" w:lineRule="auto" w:after="0" w:before="0"/>
        <w:ind w:firstLine="420"/>
      </w:pPr>
      <w:r>
        <w:rPr>
          <w:rFonts w:ascii="Times New Roman" w:hAnsi="Times New Roman" w:eastAsia="宋体"/>
          <w:color w:val="000000"/>
        </w:rPr>
        <w:t>- 数据可视化分析工具</w:t>
      </w:r>
    </w:p>
    <w:p>
      <w:pPr>
        <w:spacing w:line="360" w:lineRule="auto" w:after="0" w:before="0"/>
        <w:ind w:firstLine="420"/>
      </w:pPr>
      <w:r>
        <w:rPr>
          <w:rFonts w:ascii="Times New Roman" w:hAnsi="Times New Roman" w:eastAsia="宋体"/>
          <w:color w:val="000000"/>
        </w:rPr>
        <w:t>- API调用和沙箱测试环境</w:t>
      </w:r>
    </w:p>
    <w:p>
      <w:pPr>
        <w:spacing w:line="360" w:lineRule="auto" w:after="0" w:before="0"/>
        <w:ind w:firstLine="420"/>
      </w:pPr>
      <w:r>
        <w:rPr>
          <w:rFonts w:ascii="Times New Roman" w:hAnsi="Times New Roman" w:eastAsia="宋体"/>
          <w:color w:val="000000"/>
        </w:rPr>
        <w:t>- 数据使用教程和案例库</w:t>
      </w:r>
    </w:p>
    <w:p>
      <w:pPr>
        <w:spacing w:line="360" w:lineRule="auto" w:after="0" w:before="0"/>
        <w:ind w:firstLine="420"/>
      </w:pPr>
      <w:r>
        <w:rPr>
          <w:rFonts w:ascii="Times New Roman" w:hAnsi="Times New Roman" w:eastAsia="宋体"/>
          <w:color w:val="000000"/>
        </w:rPr>
        <w:t>- 开发者社区和技术支持</w:t>
      </w:r>
    </w:p>
    <w:p>
      <w:pPr>
        <w:spacing w:line="360" w:lineRule="auto" w:after="0" w:before="0"/>
        <w:ind w:firstLine="420"/>
      </w:pPr>
      <w:r>
        <w:rPr>
          <w:rFonts w:ascii="Times New Roman" w:hAnsi="Times New Roman" w:eastAsia="宋体"/>
          <w:color w:val="000000"/>
        </w:rPr>
        <w:t>（3）加强数据质量持续改进</w:t>
      </w:r>
    </w:p>
    <w:p>
      <w:pPr>
        <w:spacing w:line="360" w:lineRule="auto" w:after="0" w:before="0"/>
        <w:ind w:firstLine="420"/>
      </w:pPr>
      <w:r>
        <w:rPr>
          <w:rFonts w:ascii="Times New Roman" w:hAnsi="Times New Roman" w:eastAsia="宋体"/>
          <w:color w:val="000000"/>
        </w:rPr>
        <w:t>建立数据质量自动检测机制，定期扫描数据集的完整性、准确性、时效性。对质量问题数据及时下架或标注。</w:t>
      </w:r>
    </w:p>
    <w:p>
      <w:pPr>
        <w:spacing w:line="360" w:lineRule="auto" w:after="0" w:before="0"/>
        <w:ind w:firstLine="420"/>
      </w:pPr>
      <w:r>
        <w:rPr>
          <w:rFonts w:ascii="Times New Roman" w:hAnsi="Times New Roman" w:eastAsia="黑体"/>
          <w:b/>
          <w:color w:val="000000"/>
          <w:sz w:val="24"/>
        </w:rPr>
        <w:t>7.4.4 社会层面：培育数据应用生态</w:t>
      </w:r>
    </w:p>
    <w:p>
      <w:pPr>
        <w:spacing w:line="360" w:lineRule="auto" w:after="0" w:before="0"/>
        <w:ind w:firstLine="420"/>
      </w:pPr>
      <w:r>
        <w:rPr>
          <w:rFonts w:ascii="Times New Roman" w:hAnsi="Times New Roman" w:eastAsia="宋体"/>
          <w:color w:val="000000"/>
        </w:rPr>
        <w:t>（1）支持数据应用创新创业</w:t>
      </w:r>
    </w:p>
    <w:p>
      <w:pPr>
        <w:spacing w:line="360" w:lineRule="auto" w:after="0" w:before="0"/>
        <w:ind w:firstLine="420"/>
      </w:pPr>
      <w:r>
        <w:rPr>
          <w:rFonts w:ascii="Times New Roman" w:hAnsi="Times New Roman" w:eastAsia="宋体"/>
          <w:color w:val="000000"/>
        </w:rPr>
        <w:t>将开放政府数据应用纳入"双创"支持范围，为基于开放数据的创业项目提供税收优惠、融资支持、场地扶持等。</w:t>
      </w:r>
    </w:p>
    <w:p>
      <w:pPr>
        <w:spacing w:line="360" w:lineRule="auto" w:after="0" w:before="0"/>
        <w:ind w:firstLine="420"/>
      </w:pPr>
      <w:r>
        <w:rPr>
          <w:rFonts w:ascii="Times New Roman" w:hAnsi="Times New Roman" w:eastAsia="宋体"/>
          <w:color w:val="000000"/>
        </w:rPr>
        <w:t>（2）加强数据素养教育</w:t>
      </w:r>
    </w:p>
    <w:p>
      <w:pPr>
        <w:spacing w:line="360" w:lineRule="auto" w:after="0" w:before="0"/>
        <w:ind w:firstLine="420"/>
      </w:pPr>
      <w:r>
        <w:rPr>
          <w:rFonts w:ascii="Times New Roman" w:hAnsi="Times New Roman" w:eastAsia="宋体"/>
          <w:color w:val="000000"/>
        </w:rPr>
        <w:t>在高等教育和职业教育中增设"数据素养"课程，培养公众的数据获取、分析、应用能力。开展"数据开放进校园"活动，鼓励大学生利用开放数据开展科研和创新。</w:t>
      </w:r>
    </w:p>
    <w:p>
      <w:pPr>
        <w:spacing w:line="360" w:lineRule="auto" w:after="0" w:before="0"/>
        <w:ind w:firstLine="420"/>
      </w:pPr>
      <w:r>
        <w:rPr>
          <w:rFonts w:ascii="Times New Roman" w:hAnsi="Times New Roman" w:eastAsia="宋体"/>
          <w:color w:val="000000"/>
        </w:rPr>
        <w:t>（3）建立数据开放社会评价体系</w:t>
      </w:r>
    </w:p>
    <w:p>
      <w:pPr>
        <w:spacing w:line="360" w:lineRule="auto" w:after="0" w:before="0"/>
        <w:ind w:firstLine="420"/>
      </w:pPr>
      <w:r>
        <w:rPr>
          <w:rFonts w:ascii="Times New Roman" w:hAnsi="Times New Roman" w:eastAsia="宋体"/>
          <w:color w:val="000000"/>
        </w:rPr>
        <w:t>支持第三方机构（如高校、智库、行业协会）开展数据开放平台评估，发布年度评估报告，形成社会监督和良性竞争机制。</w:t>
      </w:r>
    </w:p>
    <w:p>
      <w:pPr>
        <w:spacing w:line="360" w:lineRule="auto" w:after="0" w:before="0"/>
      </w:pPr>
      <w:r>
        <w:rPr>
          <w:rFonts w:ascii="Times New Roman" w:hAnsi="Times New Roman" w:eastAsia="黑体"/>
          <w:b/>
          <w:color w:val="000000"/>
          <w:sz w:val="24"/>
        </w:rPr>
        <w:t>7.5 本章小结</w:t>
      </w:r>
    </w:p>
    <w:p>
      <w:pPr>
        <w:spacing w:line="360" w:lineRule="auto" w:after="0" w:before="0"/>
        <w:ind w:firstLine="420"/>
      </w:pPr>
      <w:r>
        <w:rPr>
          <w:rFonts w:ascii="Times New Roman" w:hAnsi="Times New Roman" w:eastAsia="宋体"/>
          <w:color w:val="000000"/>
        </w:rPr>
        <w:t>本章基于第五章的绩效评估结果和第六章的影响因素分析，提出了省级政府数据开放平台绩效提升的系统策略：</w:t>
      </w:r>
    </w:p>
    <w:p>
      <w:pPr>
        <w:spacing w:line="360" w:lineRule="auto" w:after="0" w:before="0"/>
        <w:ind w:firstLine="420"/>
      </w:pPr>
      <w:r>
        <w:rPr>
          <w:rFonts w:ascii="Times New Roman" w:hAnsi="Times New Roman" w:eastAsia="宋体"/>
          <w:color w:val="000000"/>
        </w:rPr>
        <w:t>第一，绩效差异的深层原因可归结为制度环境、资源投入和应用生态三个维度。 高绩效平台的共性是获得了制度保障、资源支持和应用价值的正向循环；低绩效平台则在不同维度存在短板。</w:t>
      </w:r>
    </w:p>
    <w:p>
      <w:pPr>
        <w:spacing w:line="360" w:lineRule="auto" w:after="0" w:before="0"/>
        <w:ind w:firstLine="420"/>
      </w:pPr>
      <w:r>
        <w:rPr>
          <w:rFonts w:ascii="Times New Roman" w:hAnsi="Times New Roman" w:eastAsia="宋体"/>
          <w:color w:val="000000"/>
        </w:rPr>
        <w:t>第二，平台从"开放"向"运营"的转型是新趋势，但需要平衡公共性与经济性。 建议采取"公共数据优先开放、高价值数据授权运营"的双轨制。</w:t>
      </w:r>
    </w:p>
    <w:p>
      <w:pPr>
        <w:spacing w:line="360" w:lineRule="auto" w:after="0" w:before="0"/>
        <w:ind w:firstLine="420"/>
      </w:pPr>
      <w:r>
        <w:rPr>
          <w:rFonts w:ascii="Times New Roman" w:hAnsi="Times New Roman" w:eastAsia="宋体"/>
          <w:color w:val="000000"/>
        </w:rPr>
        <w:t>第三，提升策略应坚持分类施策。 高绩效平台重在标杆引领和模式输出；功能型低绩效平台重在补齐政策短板和激活应用潜力；停滞型平台重在重新定位和资源整合。</w:t>
      </w:r>
    </w:p>
    <w:p>
      <w:pPr>
        <w:spacing w:line="360" w:lineRule="auto" w:after="0" w:before="0"/>
        <w:ind w:firstLine="420"/>
      </w:pPr>
      <w:r>
        <w:rPr>
          <w:rFonts w:ascii="Times New Roman" w:hAnsi="Times New Roman" w:eastAsia="宋体"/>
          <w:color w:val="000000"/>
        </w:rPr>
        <w:t>第四，需要从国家、省级、平台、社会四个层面协同发力。 国家层面完善法律标准和资金保障；省级层面强化制度执行和绩效考核；平台层面提升服务质量和用户体验；社会层面培育应用生态和数据素养。</w:t>
      </w:r>
    </w:p>
    <w:p>
      <w:pPr>
        <w:spacing w:line="360" w:lineRule="auto" w:after="0" w:before="0"/>
        <w:ind w:firstLine="420"/>
      </w:pPr>
      <w:r>
        <w:rPr>
          <w:rFonts w:ascii="Times New Roman" w:hAnsi="Times New Roman" w:eastAsia="宋体"/>
          <w:color w:val="000000"/>
        </w:rPr>
        <w:t>本章提出的策略建议具有明确的实证基础和分类逻辑，为不同绩效水平的省份提供了可操作的提升路径。</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第结论与展望</w:t>
      </w:r>
    </w:p>
    <w:p>
      <w:pPr>
        <w:spacing w:line="360" w:lineRule="auto" w:after="0" w:before="0"/>
      </w:pPr>
      <w:r>
        <w:rPr>
          <w:rFonts w:ascii="Times New Roman" w:hAnsi="Times New Roman" w:eastAsia="黑体"/>
          <w:b/>
          <w:color w:val="000000"/>
          <w:sz w:val="24"/>
        </w:rPr>
        <w:t>8.1 主要研究结论</w:t>
      </w:r>
    </w:p>
    <w:p>
      <w:pPr>
        <w:spacing w:line="360" w:lineRule="auto" w:after="0" w:before="0"/>
        <w:ind w:firstLine="420"/>
      </w:pPr>
      <w:r>
        <w:rPr>
          <w:rFonts w:ascii="Times New Roman" w:hAnsi="Times New Roman" w:eastAsia="宋体"/>
          <w:color w:val="000000"/>
        </w:rPr>
        <w:t>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 Pro采集系统，本研究对22个有效样本平台进行了"一平台一议"的精准数据采集，建立了数据口径标准化体系，确保了评估结果的真实性和可比性。经过系统的实证分析，本研究得出以下五个主要结论：</w:t>
      </w:r>
    </w:p>
    <w:p>
      <w:pPr>
        <w:spacing w:line="360" w:lineRule="auto" w:after="0" w:before="0"/>
        <w:ind w:firstLine="420"/>
      </w:pPr>
      <w:r>
        <w:rPr>
          <w:rFonts w:ascii="Times New Roman" w:hAnsi="Times New Roman" w:eastAsia="宋体"/>
          <w:color w:val="000000"/>
        </w:rPr>
        <w:t>结论一：我国省级政府数据开放平台绩效呈现显著的"头部效应"和"区域差异"。</w:t>
      </w:r>
    </w:p>
    <w:p>
      <w:pPr>
        <w:spacing w:line="360" w:lineRule="auto" w:after="0" w:before="0"/>
        <w:ind w:firstLine="420"/>
      </w:pPr>
      <w:r>
        <w:rPr>
          <w:rFonts w:ascii="Times New Roman" w:hAnsi="Times New Roman" w:eastAsia="宋体"/>
          <w:color w:val="000000"/>
        </w:rPr>
        <w:t>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spacing w:line="360" w:lineRule="auto" w:after="0" w:before="0"/>
        <w:ind w:firstLine="420"/>
      </w:pPr>
      <w:r>
        <w:rPr>
          <w:rFonts w:ascii="Times New Roman" w:hAnsi="Times New Roman" w:eastAsia="宋体"/>
          <w:color w:val="000000"/>
        </w:rPr>
        <w:t>结论二：数据开放规模是平台绩效的"门槛条件"。</w:t>
      </w:r>
    </w:p>
    <w:p>
      <w:pPr>
        <w:spacing w:line="360" w:lineRule="auto" w:after="0" w:before="0"/>
        <w:ind w:firstLine="420"/>
      </w:pPr>
      <w:r>
        <w:rPr>
          <w:rFonts w:ascii="Times New Roman" w:hAnsi="Times New Roman" w:eastAsia="宋体"/>
          <w:color w:val="000000"/>
        </w:rPr>
        <w:t>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spacing w:line="360" w:lineRule="auto" w:after="0" w:before="0"/>
        <w:ind w:firstLine="420"/>
      </w:pPr>
      <w:r>
        <w:rPr>
          <w:rFonts w:ascii="Times New Roman" w:hAnsi="Times New Roman" w:eastAsia="宋体"/>
          <w:color w:val="000000"/>
        </w:rPr>
        <w:t>结论三：政策法规是影响平台绩效的核心驱动因素。</w:t>
      </w:r>
    </w:p>
    <w:p>
      <w:pPr>
        <w:spacing w:line="360" w:lineRule="auto" w:after="0" w:before="0"/>
        <w:ind w:firstLine="420"/>
      </w:pPr>
      <w:r>
        <w:rPr>
          <w:rFonts w:ascii="Times New Roman" w:hAnsi="Times New Roman" w:eastAsia="宋体"/>
          <w:color w:val="000000"/>
        </w:rPr>
        <w:t>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spacing w:line="360" w:lineRule="auto" w:after="0" w:before="0"/>
        <w:ind w:firstLine="420"/>
      </w:pPr>
      <w:r>
        <w:rPr>
          <w:rFonts w:ascii="Times New Roman" w:hAnsi="Times New Roman" w:eastAsia="宋体"/>
          <w:color w:val="000000"/>
        </w:rPr>
        <w:t>结论四：高绩效平台存在"浙江模式"和"山东模式"两种典型路径。</w:t>
      </w:r>
    </w:p>
    <w:p>
      <w:pPr>
        <w:spacing w:line="360" w:lineRule="auto" w:after="0" w:before="0"/>
        <w:ind w:firstLine="420"/>
      </w:pPr>
      <w:r>
        <w:rPr>
          <w:rFonts w:ascii="Times New Roman" w:hAnsi="Times New Roman" w:eastAsia="宋体"/>
          <w:color w:val="000000"/>
        </w:rPr>
        <w:t>基于对11个高绩效平台的深入分析，本研究识别出两种典型的发展模式："浙江模式"以质量建设和应用驱动为核心，代表平台包括浙江、上海、北京、广东，其特征是数据质量极高（结构化率&gt;80%）、应用生态活跃（应用&gt;500个）、制度创新领先；"山东模式"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spacing w:line="360" w:lineRule="auto" w:after="0" w:before="0"/>
        <w:ind w:firstLine="420"/>
      </w:pPr>
      <w:r>
        <w:rPr>
          <w:rFonts w:ascii="Times New Roman" w:hAnsi="Times New Roman" w:eastAsia="宋体"/>
          <w:color w:val="000000"/>
        </w:rPr>
        <w:t>结论五：平台从"开放"向"运营"的转型需要平衡公共性与经济性。</w:t>
      </w:r>
    </w:p>
    <w:p>
      <w:pPr>
        <w:spacing w:line="360" w:lineRule="auto" w:after="0" w:before="0"/>
        <w:ind w:firstLine="420"/>
      </w:pPr>
      <w:r>
        <w:rPr>
          <w:rFonts w:ascii="Times New Roman" w:hAnsi="Times New Roman" w:eastAsia="宋体"/>
          <w:color w:val="000000"/>
        </w:rPr>
        <w:t>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p>
      <w:pPr>
        <w:spacing w:line="360" w:lineRule="auto" w:after="0" w:before="0"/>
      </w:pPr>
      <w:r>
        <w:rPr>
          <w:rFonts w:ascii="Times New Roman" w:hAnsi="Times New Roman" w:eastAsia="黑体"/>
          <w:b/>
          <w:color w:val="000000"/>
          <w:sz w:val="24"/>
        </w:rPr>
        <w:t>8.2 理论贡献</w:t>
      </w:r>
    </w:p>
    <w:p>
      <w:pPr>
        <w:spacing w:line="360" w:lineRule="auto" w:after="0" w:before="0"/>
        <w:ind w:firstLine="420"/>
      </w:pPr>
      <w:r>
        <w:rPr>
          <w:rFonts w:ascii="Times New Roman" w:hAnsi="Times New Roman" w:eastAsia="宋体"/>
          <w:color w:val="000000"/>
        </w:rPr>
        <w:t>本研究的理论贡献主要体现在以下四个方面：</w:t>
      </w:r>
    </w:p>
    <w:p>
      <w:pPr>
        <w:spacing w:line="360" w:lineRule="auto" w:after="0" w:before="0"/>
        <w:ind w:firstLine="420"/>
      </w:pPr>
      <w:r>
        <w:rPr>
          <w:rFonts w:ascii="Times New Roman" w:hAnsi="Times New Roman" w:eastAsia="宋体"/>
          <w:color w:val="000000"/>
        </w:rPr>
        <w:t>第一，构建了基于4E框架的效果导向评估体系，推动政府数据开放评估范式从"供给导向"向"效果导向"转型。</w:t>
      </w:r>
    </w:p>
    <w:p>
      <w:pPr>
        <w:spacing w:line="360" w:lineRule="auto" w:after="0" w:before="0"/>
        <w:ind w:firstLine="420"/>
      </w:pPr>
      <w:r>
        <w:rPr>
          <w:rFonts w:ascii="Times New Roman" w:hAnsi="Times New Roman" w:eastAsia="宋体"/>
          <w:color w:val="000000"/>
        </w:rPr>
        <w:t>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spacing w:line="360" w:lineRule="auto" w:after="0" w:before="0"/>
        <w:ind w:firstLine="420"/>
      </w:pPr>
      <w:r>
        <w:rPr>
          <w:rFonts w:ascii="Times New Roman" w:hAnsi="Times New Roman" w:eastAsia="宋体"/>
          <w:color w:val="000000"/>
        </w:rPr>
        <w:t>第二，揭示了政府数据利用绩效形成的多重并发因果机制。</w:t>
      </w:r>
    </w:p>
    <w:p>
      <w:pPr>
        <w:spacing w:line="360" w:lineRule="auto" w:after="0" w:before="0"/>
        <w:ind w:firstLine="420"/>
      </w:pPr>
      <w:r>
        <w:rPr>
          <w:rFonts w:ascii="Times New Roman" w:hAnsi="Times New Roman" w:eastAsia="宋体"/>
          <w:color w:val="000000"/>
        </w:rPr>
        <w:t>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全要素达标"，不存在替代路径。这两种方法的一致发现表明，平台建设是系统工程，因素间存在强互补性，"单点突破"策略难以实现整体绩效提升。</w:t>
      </w:r>
    </w:p>
    <w:p>
      <w:pPr>
        <w:spacing w:line="360" w:lineRule="auto" w:after="0" w:before="0"/>
        <w:ind w:firstLine="420"/>
      </w:pPr>
      <w:r>
        <w:rPr>
          <w:rFonts w:ascii="Times New Roman" w:hAnsi="Times New Roman" w:eastAsia="宋体"/>
          <w:color w:val="000000"/>
        </w:rPr>
        <w:t>第三，提出了"数据口径幻觉"概念并进行了操作化测量。</w:t>
      </w:r>
    </w:p>
    <w:p>
      <w:pPr>
        <w:spacing w:line="360" w:lineRule="auto" w:after="0" w:before="0"/>
        <w:ind w:firstLine="420"/>
      </w:pPr>
      <w:r>
        <w:rPr>
          <w:rFonts w:ascii="Times New Roman" w:hAnsi="Times New Roman" w:eastAsia="宋体"/>
          <w:color w:val="000000"/>
        </w:rPr>
        <w:t>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spacing w:line="360" w:lineRule="auto" w:after="0" w:before="0"/>
        <w:ind w:firstLine="420"/>
      </w:pPr>
      <w:r>
        <w:rPr>
          <w:rFonts w:ascii="Times New Roman" w:hAnsi="Times New Roman" w:eastAsia="宋体"/>
          <w:color w:val="000000"/>
        </w:rPr>
        <w:t>第四，识别了"浙江模式"和"山东模式"两种高绩效路径，丰富了政府数据开放发展的类型学知识。</w:t>
      </w:r>
    </w:p>
    <w:p>
      <w:pPr>
        <w:spacing w:line="360" w:lineRule="auto" w:after="0" w:before="0"/>
        <w:ind w:firstLine="420"/>
      </w:pPr>
      <w:r>
        <w:rPr>
          <w:rFonts w:ascii="Times New Roman" w:hAnsi="Times New Roman" w:eastAsia="宋体"/>
          <w:color w:val="000000"/>
        </w:rPr>
        <w:t>现有研究多将高绩效平台视为同质群体，本研究通过类型学分析识别出两种差异化的高绩效模式。"浙江模式"强调质量建设和应用驱动，适用于经济发达、创新活跃的省份；"山东模式"强调规模扩张和覆盖驱动，适用于数据资源丰富、产业基础好的省份。这一类型学发现为不同条件的平台提供了"因地制宜"的发展参考，避免了"一刀切"的政策建议。</w:t>
      </w:r>
    </w:p>
    <w:p>
      <w:pPr>
        <w:spacing w:line="360" w:lineRule="auto" w:after="0" w:before="0"/>
      </w:pPr>
      <w:r>
        <w:rPr>
          <w:rFonts w:ascii="Times New Roman" w:hAnsi="Times New Roman" w:eastAsia="黑体"/>
          <w:b/>
          <w:color w:val="000000"/>
          <w:sz w:val="24"/>
        </w:rPr>
        <w:t>8.3 实践启示</w:t>
      </w:r>
    </w:p>
    <w:p>
      <w:pPr>
        <w:spacing w:line="360" w:lineRule="auto" w:after="0" w:before="0"/>
        <w:ind w:firstLine="420"/>
      </w:pPr>
      <w:r>
        <w:rPr>
          <w:rFonts w:ascii="Times New Roman" w:hAnsi="Times New Roman" w:eastAsia="宋体"/>
          <w:color w:val="000000"/>
        </w:rPr>
        <w:t>本研究的实践启示主要体现在以下四个方面：</w:t>
      </w:r>
    </w:p>
    <w:p>
      <w:pPr>
        <w:spacing w:line="360" w:lineRule="auto" w:after="0" w:before="0"/>
        <w:ind w:firstLine="420"/>
      </w:pPr>
      <w:r>
        <w:rPr>
          <w:rFonts w:ascii="Times New Roman" w:hAnsi="Times New Roman" w:eastAsia="宋体"/>
          <w:color w:val="000000"/>
        </w:rPr>
        <w:t>第一，评估体系应从"供给导向"转向"效果导向"。</w:t>
      </w:r>
    </w:p>
    <w:p>
      <w:pPr>
        <w:spacing w:line="360" w:lineRule="auto" w:after="0" w:before="0"/>
        <w:ind w:firstLine="420"/>
      </w:pPr>
      <w:r>
        <w:rPr>
          <w:rFonts w:ascii="Times New Roman" w:hAnsi="Times New Roman" w:eastAsia="宋体"/>
          <w:color w:val="000000"/>
        </w:rPr>
        <w:t>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应用成果数量""用户满意度"等效果指标纳入评估体系的核心维度，引导平台从"开放更多数据"转向"让更多数据被有效利用"。</w:t>
      </w:r>
    </w:p>
    <w:p>
      <w:pPr>
        <w:spacing w:line="360" w:lineRule="auto" w:after="0" w:before="0"/>
        <w:ind w:firstLine="420"/>
      </w:pPr>
      <w:r>
        <w:rPr>
          <w:rFonts w:ascii="Times New Roman" w:hAnsi="Times New Roman" w:eastAsia="宋体"/>
          <w:color w:val="000000"/>
        </w:rPr>
        <w:t>第二，平台建设需要"全要素达标"的系统推进。</w:t>
      </w:r>
    </w:p>
    <w:p>
      <w:pPr>
        <w:spacing w:line="360" w:lineRule="auto" w:after="0" w:before="0"/>
        <w:ind w:firstLine="420"/>
      </w:pPr>
      <w:r>
        <w:rPr>
          <w:rFonts w:ascii="Times New Roman" w:hAnsi="Times New Roman" w:eastAsia="宋体"/>
          <w:color w:val="000000"/>
        </w:rPr>
        <w:t>fsQCA分析表明，高绩效平台的实现路径唯一——六个因素全部达标，不存在"某些因素缺失但仍高绩效"的替代路径。这印证了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spacing w:line="360" w:lineRule="auto" w:after="0" w:before="0"/>
        <w:ind w:firstLine="420"/>
      </w:pPr>
      <w:r>
        <w:rPr>
          <w:rFonts w:ascii="Times New Roman" w:hAnsi="Times New Roman" w:eastAsia="宋体"/>
          <w:color w:val="000000"/>
        </w:rPr>
        <w:t>第三，分类施策、精准提升。</w:t>
      </w:r>
    </w:p>
    <w:p>
      <w:pPr>
        <w:spacing w:line="360" w:lineRule="auto" w:after="0" w:before="0"/>
        <w:ind w:firstLine="420"/>
      </w:pPr>
      <w:r>
        <w:rPr>
          <w:rFonts w:ascii="Times New Roman" w:hAnsi="Times New Roman" w:eastAsia="宋体"/>
          <w:color w:val="000000"/>
        </w:rPr>
        <w:t>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spacing w:line="360" w:lineRule="auto" w:after="0" w:before="0"/>
        <w:ind w:firstLine="420"/>
      </w:pPr>
      <w:r>
        <w:rPr>
          <w:rFonts w:ascii="Times New Roman" w:hAnsi="Times New Roman" w:eastAsia="宋体"/>
          <w:color w:val="000000"/>
        </w:rPr>
        <w:t>第四，坚持数据开放的公共属性，防止"以运营替代开放"。</w:t>
      </w:r>
    </w:p>
    <w:p>
      <w:pPr>
        <w:spacing w:line="360" w:lineRule="auto" w:after="0" w:before="0"/>
        <w:ind w:firstLine="420"/>
      </w:pPr>
      <w:r>
        <w:rPr>
          <w:rFonts w:ascii="Times New Roman" w:hAnsi="Times New Roman" w:eastAsia="宋体"/>
          <w:color w:val="000000"/>
        </w:rPr>
        <w:t>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p>
      <w:pPr>
        <w:spacing w:line="360" w:lineRule="auto" w:after="0" w:before="0"/>
      </w:pPr>
      <w:r>
        <w:rPr>
          <w:rFonts w:ascii="Times New Roman" w:hAnsi="Times New Roman" w:eastAsia="黑体"/>
          <w:b/>
          <w:color w:val="000000"/>
          <w:sz w:val="24"/>
        </w:rPr>
        <w:t>8.4 研究局限</w:t>
      </w:r>
    </w:p>
    <w:p>
      <w:pPr>
        <w:spacing w:line="360" w:lineRule="auto" w:after="0" w:before="0"/>
        <w:ind w:firstLine="420"/>
      </w:pPr>
      <w:r>
        <w:rPr>
          <w:rFonts w:ascii="Times New Roman" w:hAnsi="Times New Roman" w:eastAsia="宋体"/>
          <w:color w:val="000000"/>
        </w:rPr>
        <w:t>本研究存在以下局限性，需要在后续研究中加以改进：</w:t>
      </w:r>
    </w:p>
    <w:p>
      <w:pPr>
        <w:spacing w:line="360" w:lineRule="auto" w:after="0" w:before="0"/>
        <w:ind w:firstLine="420"/>
      </w:pPr>
      <w:r>
        <w:rPr>
          <w:rFonts w:ascii="Times New Roman" w:hAnsi="Times New Roman" w:eastAsia="宋体"/>
          <w:color w:val="000000"/>
        </w:rPr>
        <w:t>第一，样本范围限于省级平台，未涵盖地市级平台。</w:t>
      </w:r>
    </w:p>
    <w:p>
      <w:pPr>
        <w:spacing w:line="360" w:lineRule="auto" w:after="0" w:before="0"/>
        <w:ind w:firstLine="420"/>
      </w:pPr>
      <w:r>
        <w:rPr>
          <w:rFonts w:ascii="Times New Roman" w:hAnsi="Times New Roman" w:eastAsia="宋体"/>
          <w:color w:val="000000"/>
        </w:rPr>
        <w:t>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spacing w:line="360" w:lineRule="auto" w:after="0" w:before="0"/>
        <w:ind w:firstLine="420"/>
      </w:pPr>
      <w:r>
        <w:rPr>
          <w:rFonts w:ascii="Times New Roman" w:hAnsi="Times New Roman" w:eastAsia="宋体"/>
          <w:color w:val="000000"/>
        </w:rPr>
        <w:t>第二，数据采集为截面数据，缺乏动态追踪。</w:t>
      </w:r>
    </w:p>
    <w:p>
      <w:pPr>
        <w:spacing w:line="360" w:lineRule="auto" w:after="0" w:before="0"/>
        <w:ind w:firstLine="420"/>
      </w:pPr>
      <w:r>
        <w:rPr>
          <w:rFonts w:ascii="Times New Roman" w:hAnsi="Times New Roman" w:eastAsia="宋体"/>
          <w:color w:val="000000"/>
        </w:rPr>
        <w:t>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spacing w:line="360" w:lineRule="auto" w:after="0" w:before="0"/>
        <w:ind w:firstLine="420"/>
      </w:pPr>
      <w:r>
        <w:rPr>
          <w:rFonts w:ascii="Times New Roman" w:hAnsi="Times New Roman" w:eastAsia="宋体"/>
          <w:color w:val="000000"/>
        </w:rPr>
        <w:t>第三，8个无独立平台的省份未纳入定量分析。</w:t>
      </w:r>
    </w:p>
    <w:p>
      <w:pPr>
        <w:spacing w:line="360" w:lineRule="auto" w:after="0" w:before="0"/>
        <w:ind w:firstLine="420"/>
      </w:pPr>
      <w:r>
        <w:rPr>
          <w:rFonts w:ascii="Times New Roman" w:hAnsi="Times New Roman" w:eastAsia="宋体"/>
          <w:color w:val="000000"/>
        </w:rPr>
        <w:t>甘肃、河北、黑龙江、宁夏、青海、陕西、新疆、西藏等8个省份确实未建设独立的省级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spacing w:line="360" w:lineRule="auto" w:after="0" w:before="0"/>
        <w:ind w:firstLine="420"/>
      </w:pPr>
      <w:r>
        <w:rPr>
          <w:rFonts w:ascii="Times New Roman" w:hAnsi="Times New Roman" w:eastAsia="宋体"/>
          <w:color w:val="000000"/>
        </w:rPr>
        <w:t>第四，评估指标仍存在改进空间。</w:t>
      </w:r>
    </w:p>
    <w:p>
      <w:pPr>
        <w:spacing w:line="360" w:lineRule="auto" w:after="0" w:before="0"/>
        <w:ind w:firstLine="420"/>
      </w:pPr>
      <w:r>
        <w:rPr>
          <w:rFonts w:ascii="Times New Roman" w:hAnsi="Times New Roman" w:eastAsia="宋体"/>
          <w:color w:val="000000"/>
        </w:rPr>
        <w:t>本研究的4E评估框架虽然涵盖了供给、平台、质量、效果四个维度，但在某些指标的操作化测量上仍存在局限。例如，"利用效果"维度主要依赖数据集下载量和应用案例数量等客观指标，未纳入用户满意度、数据创新价值、社会经济贡献等更深层次的指标。"公平性"维度仅通过区域均衡和群体覆盖进行粗略测量，未涉及数字鸿沟、数据可及性等更精细的公平性指标。未来研究可以引入大数据分析和用户调研方法，构建更为精细和全面的评估指标体系。</w:t>
      </w:r>
    </w:p>
    <w:p>
      <w:pPr>
        <w:spacing w:line="360" w:lineRule="auto" w:after="0" w:before="0"/>
        <w:ind w:firstLine="420"/>
      </w:pPr>
      <w:r>
        <w:rPr>
          <w:rFonts w:ascii="Times New Roman" w:hAnsi="Times New Roman" w:eastAsia="宋体"/>
          <w:color w:val="000000"/>
        </w:rPr>
        <w:t>第五，因果推断的外部效度有待进一步验证。</w:t>
      </w:r>
    </w:p>
    <w:p>
      <w:pPr>
        <w:spacing w:line="360" w:lineRule="auto" w:after="0" w:before="0"/>
        <w:ind w:firstLine="420"/>
      </w:pPr>
      <w:r>
        <w:rPr>
          <w:rFonts w:ascii="Times New Roman" w:hAnsi="Times New Roman" w:eastAsia="宋体"/>
          <w:color w:val="000000"/>
        </w:rPr>
        <w:t>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p>
      <w:pPr>
        <w:spacing w:line="360" w:lineRule="auto" w:after="0" w:before="0"/>
      </w:pPr>
      <w:r>
        <w:rPr>
          <w:rFonts w:ascii="Times New Roman" w:hAnsi="Times New Roman" w:eastAsia="黑体"/>
          <w:b/>
          <w:color w:val="000000"/>
          <w:sz w:val="24"/>
        </w:rPr>
        <w:t>8.5 未来研究展望</w:t>
      </w:r>
    </w:p>
    <w:p>
      <w:pPr>
        <w:spacing w:line="360" w:lineRule="auto" w:after="0" w:before="0"/>
        <w:ind w:firstLine="420"/>
      </w:pPr>
      <w:r>
        <w:rPr>
          <w:rFonts w:ascii="Times New Roman" w:hAnsi="Times New Roman" w:eastAsia="宋体"/>
          <w:color w:val="000000"/>
        </w:rPr>
        <w:t>基于上述研究结论和局限，本研究提出以下未来研究方向：</w:t>
      </w:r>
    </w:p>
    <w:p>
      <w:pPr>
        <w:spacing w:line="360" w:lineRule="auto" w:after="0" w:before="0"/>
        <w:ind w:firstLine="420"/>
      </w:pPr>
      <w:r>
        <w:rPr>
          <w:rFonts w:ascii="Times New Roman" w:hAnsi="Times New Roman" w:eastAsia="宋体"/>
          <w:color w:val="000000"/>
        </w:rPr>
        <w:t>第一，开展动态追踪研究，构建政府数据开放平台绩效演化的纵向数据库。</w:t>
      </w:r>
    </w:p>
    <w:p>
      <w:pPr>
        <w:spacing w:line="360" w:lineRule="auto" w:after="0" w:before="0"/>
        <w:ind w:firstLine="420"/>
      </w:pPr>
      <w:r>
        <w:rPr>
          <w:rFonts w:ascii="Times New Roman" w:hAnsi="Times New Roman" w:eastAsia="宋体"/>
          <w:color w:val="000000"/>
        </w:rPr>
        <w:t>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spacing w:line="360" w:lineRule="auto" w:after="0" w:before="0"/>
        <w:ind w:firstLine="420"/>
      </w:pPr>
      <w:r>
        <w:rPr>
          <w:rFonts w:ascii="Times New Roman" w:hAnsi="Times New Roman" w:eastAsia="宋体"/>
          <w:color w:val="000000"/>
        </w:rPr>
        <w:t>第二，将公共数据授权运营纳入评估框架，探索"开放+运营"双轨制的评估方法。</w:t>
      </w:r>
    </w:p>
    <w:p>
      <w:pPr>
        <w:spacing w:line="360" w:lineRule="auto" w:after="0" w:before="0"/>
        <w:ind w:firstLine="420"/>
      </w:pPr>
      <w:r>
        <w:rPr>
          <w:rFonts w:ascii="Times New Roman" w:hAnsi="Times New Roman" w:eastAsia="宋体"/>
          <w:color w:val="000000"/>
        </w:rPr>
        <w:t>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spacing w:line="360" w:lineRule="auto" w:after="0" w:before="0"/>
        <w:ind w:firstLine="420"/>
      </w:pPr>
      <w:r>
        <w:rPr>
          <w:rFonts w:ascii="Times New Roman" w:hAnsi="Times New Roman" w:eastAsia="宋体"/>
          <w:color w:val="000000"/>
        </w:rPr>
        <w:t>第三，探索人工智能辅助的数据质量评估方法。</w:t>
      </w:r>
    </w:p>
    <w:p>
      <w:pPr>
        <w:spacing w:line="360" w:lineRule="auto" w:after="0" w:before="0"/>
        <w:ind w:firstLine="420"/>
      </w:pPr>
      <w:r>
        <w:rPr>
          <w:rFonts w:ascii="Times New Roman" w:hAnsi="Times New Roman" w:eastAsia="宋体"/>
          <w:color w:val="000000"/>
        </w:rPr>
        <w:t>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spacing w:line="360" w:lineRule="auto" w:after="0" w:before="0"/>
        <w:ind w:firstLine="420"/>
      </w:pPr>
      <w:r>
        <w:rPr>
          <w:rFonts w:ascii="Times New Roman" w:hAnsi="Times New Roman" w:eastAsia="宋体"/>
          <w:color w:val="000000"/>
        </w:rPr>
        <w:t>第四，开展国际比较研究，提升中国在全球开放数据治理中的话语权。</w:t>
      </w:r>
    </w:p>
    <w:p>
      <w:pPr>
        <w:spacing w:line="360" w:lineRule="auto" w:after="0" w:before="0"/>
        <w:ind w:firstLine="420"/>
      </w:pPr>
      <w:r>
        <w:rPr>
          <w:rFonts w:ascii="Times New Roman" w:hAnsi="Times New Roman" w:eastAsia="宋体"/>
          <w:color w:val="000000"/>
        </w:rPr>
        <w:t>本研究聚焦于中国的省级平台，未来研究可以将中国的评估结果与国际先进平台（如美国Data.gov、英国data.gov.uk、欧盟Open Data 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spacing w:line="360" w:lineRule="auto" w:after="0" w:before="0"/>
        <w:ind w:firstLine="420"/>
      </w:pPr>
      <w:r>
        <w:rPr>
          <w:rFonts w:ascii="Times New Roman" w:hAnsi="Times New Roman" w:eastAsia="宋体"/>
          <w:color w:val="000000"/>
        </w:rPr>
        <w:t>第五，深入研究数据开放的社会经济影响，建立数据开放价值评估的因果识别框架。</w:t>
      </w:r>
    </w:p>
    <w:p>
      <w:pPr>
        <w:spacing w:line="360" w:lineRule="auto" w:after="0" w:before="0"/>
        <w:ind w:firstLine="420"/>
      </w:pPr>
      <w:r>
        <w:rPr>
          <w:rFonts w:ascii="Times New Roman" w:hAnsi="Times New Roman" w:eastAsia="宋体"/>
          <w:color w:val="000000"/>
        </w:rPr>
        <w:t>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p>
      <w:pPr>
        <w:spacing w:line="360" w:lineRule="auto" w:after="0" w:before="0"/>
      </w:pPr>
      <w:r>
        <w:rPr>
          <w:rFonts w:ascii="Times New Roman" w:hAnsi="Times New Roman" w:eastAsia="黑体"/>
          <w:b/>
          <w:color w:val="000000"/>
          <w:sz w:val="24"/>
        </w:rPr>
        <w:t>8.6 结语</w:t>
      </w:r>
    </w:p>
    <w:p>
      <w:pPr>
        <w:spacing w:line="360" w:lineRule="auto" w:after="0" w:before="0"/>
        <w:ind w:firstLine="420"/>
      </w:pPr>
      <w:r>
        <w:rPr>
          <w:rFonts w:ascii="Times New Roman" w:hAnsi="Times New Roman" w:eastAsia="宋体"/>
          <w:color w:val="000000"/>
        </w:rPr>
        <w:t>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spacing w:line="360" w:lineRule="auto" w:after="0" w:before="0"/>
        <w:ind w:firstLine="420"/>
      </w:pPr>
      <w:r>
        <w:rPr>
          <w:rFonts w:ascii="Times New Roman" w:hAnsi="Times New Roman" w:eastAsia="宋体"/>
          <w:color w:val="000000"/>
        </w:rPr>
        <w:t>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中文文献</w:t>
      </w:r>
    </w:p>
    <w:p>
      <w:pPr>
        <w:spacing w:line="360" w:lineRule="auto" w:after="0" w:before="0"/>
        <w:ind w:firstLine="420"/>
      </w:pPr>
      <w:r>
        <w:rPr>
          <w:rFonts w:ascii="Times New Roman" w:hAnsi="Times New Roman" w:eastAsia="宋体"/>
          <w:color w:val="000000"/>
        </w:rPr>
        <w:t>[1] 蔡昉, 顾海良, 韩保江, 等. 中国经济高质量发展研究[J]. 经济研究, 2024, 59(1): 4-22.</w:t>
      </w:r>
    </w:p>
    <w:p>
      <w:pPr>
        <w:spacing w:line="360" w:lineRule="auto" w:after="0" w:before="0"/>
        <w:ind w:firstLine="420"/>
      </w:pPr>
      <w:r>
        <w:rPr>
          <w:rFonts w:ascii="Times New Roman" w:hAnsi="Times New Roman" w:eastAsia="宋体"/>
          <w:color w:val="000000"/>
        </w:rPr>
        <w:t>[2] 黄国平. 数据要素市场化配置：理论逻辑、现实挑战与政策建议[J]. 经济管理, 2023, 45(3): 5-20.</w:t>
      </w:r>
    </w:p>
    <w:p>
      <w:pPr>
        <w:spacing w:line="360" w:lineRule="auto" w:after="0" w:before="0"/>
        <w:ind w:firstLine="420"/>
      </w:pPr>
      <w:r>
        <w:rPr>
          <w:rFonts w:ascii="Times New Roman" w:hAnsi="Times New Roman" w:eastAsia="宋体"/>
          <w:color w:val="000000"/>
        </w:rPr>
        <w:t>[3] 解志勇. 政府数据开放的法律规制研究[J]. 比较法研究, 2023, 37(2): 45-62.</w:t>
      </w:r>
    </w:p>
    <w:p>
      <w:pPr>
        <w:spacing w:line="360" w:lineRule="auto" w:after="0" w:before="0"/>
        <w:ind w:firstLine="420"/>
      </w:pPr>
      <w:r>
        <w:rPr>
          <w:rFonts w:ascii="Times New Roman" w:hAnsi="Times New Roman" w:eastAsia="宋体"/>
          <w:color w:val="000000"/>
        </w:rPr>
        <w:t>[4] 周文泓, 吴琼, 田欣, 等. 政府数据开放评价研究进展与趋势[J]. 现代情报, 2022, 42(5): 156-168.</w:t>
      </w:r>
    </w:p>
    <w:p>
      <w:pPr>
        <w:spacing w:line="360" w:lineRule="auto" w:after="0" w:before="0"/>
        <w:ind w:firstLine="420"/>
      </w:pPr>
      <w:r>
        <w:rPr>
          <w:rFonts w:ascii="Times New Roman" w:hAnsi="Times New Roman" w:eastAsia="宋体"/>
          <w:color w:val="000000"/>
        </w:rPr>
        <w:t>[5] 张涛, 崔文波, 刘硕, 等. 政府数据开放平台评价指标体系构建研究[J]. 信息资源管理学报, 2022, 12(3): 78-91.</w:t>
      </w:r>
    </w:p>
    <w:p>
      <w:pPr>
        <w:spacing w:line="360" w:lineRule="auto" w:after="0" w:before="0"/>
        <w:ind w:firstLine="420"/>
      </w:pPr>
      <w:r>
        <w:rPr>
          <w:rFonts w:ascii="Times New Roman" w:hAnsi="Times New Roman" w:eastAsia="宋体"/>
          <w:color w:val="000000"/>
        </w:rPr>
        <w:t>[6] 郑磊. 政府数据开放的整体性治理：理论逻辑与实践路径[J]. 公共管理学报, 2021, 18(2): 1-14.</w:t>
      </w:r>
    </w:p>
    <w:p>
      <w:pPr>
        <w:spacing w:line="360" w:lineRule="auto" w:after="0" w:before="0"/>
        <w:ind w:firstLine="420"/>
      </w:pPr>
      <w:r>
        <w:rPr>
          <w:rFonts w:ascii="Times New Roman" w:hAnsi="Times New Roman" w:eastAsia="宋体"/>
          <w:color w:val="000000"/>
        </w:rPr>
        <w:t>[7] 郑磊, 范佳佳. 中国地方政府数据开放的整体性治理研究[J]. 中国行政管理, 2021, (8): 45-53.</w:t>
      </w:r>
    </w:p>
    <w:p>
      <w:pPr>
        <w:spacing w:line="360" w:lineRule="auto" w:after="0" w:before="0"/>
        <w:ind w:firstLine="420"/>
      </w:pPr>
      <w:r>
        <w:rPr>
          <w:rFonts w:ascii="Times New Roman" w:hAnsi="Times New Roman" w:eastAsia="宋体"/>
          <w:color w:val="000000"/>
        </w:rPr>
        <w:t>[8] 黄璜. 数字政府建设的理论逻辑与实践路径[J]. 中国行政管理, 2020, (6): 6-15.</w:t>
      </w:r>
    </w:p>
    <w:p>
      <w:pPr>
        <w:spacing w:line="360" w:lineRule="auto" w:after="0" w:before="0"/>
        <w:ind w:firstLine="420"/>
      </w:pPr>
      <w:r>
        <w:rPr>
          <w:rFonts w:ascii="Times New Roman" w:hAnsi="Times New Roman" w:eastAsia="宋体"/>
          <w:color w:val="000000"/>
        </w:rPr>
        <w:t>[9] 张会平, 顾勤. 公共数据授权运营的制度框架与风险治理[J]. 电子政务, 2023, (4): 2-13.</w:t>
      </w:r>
    </w:p>
    <w:p>
      <w:pPr>
        <w:spacing w:line="360" w:lineRule="auto" w:after="0" w:before="0"/>
        <w:ind w:firstLine="420"/>
      </w:pPr>
      <w:r>
        <w:rPr>
          <w:rFonts w:ascii="Times New Roman" w:hAnsi="Times New Roman" w:eastAsia="宋体"/>
          <w:color w:val="000000"/>
        </w:rPr>
        <w:t>[10] 丁晓强, 陈涛. 公共数据授权运营的定价机制研究[J]. 价格理论与实践, 2023, (5): 34-41.</w:t>
      </w:r>
    </w:p>
    <w:p>
      <w:pPr>
        <w:spacing w:line="360" w:lineRule="auto" w:after="0" w:before="0"/>
        <w:ind w:firstLine="420"/>
      </w:pPr>
      <w:r>
        <w:rPr>
          <w:rFonts w:ascii="Times New Roman" w:hAnsi="Times New Roman" w:eastAsia="宋体"/>
          <w:color w:val="000000"/>
        </w:rPr>
        <w:t>[11] 张涛, 赵需要的. 基于平衡计分卡的政府数据开放绩效评估模型研究[J]. 情报杂志, 2022, 41(7): 189-196.</w:t>
      </w:r>
    </w:p>
    <w:p>
      <w:pPr>
        <w:spacing w:line="360" w:lineRule="auto" w:after="0" w:before="0"/>
        <w:ind w:firstLine="420"/>
      </w:pPr>
      <w:r>
        <w:rPr>
          <w:rFonts w:ascii="Times New Roman" w:hAnsi="Times New Roman" w:eastAsia="宋体"/>
          <w:color w:val="000000"/>
        </w:rPr>
        <w:t>[12] 周文泓, 贺佳秀. 政府数据开放平台的用户满意度影响因素研究[J]. 图书情报工作, 2021, 65(15): 89-98.</w:t>
      </w:r>
    </w:p>
    <w:p>
      <w:pPr>
        <w:spacing w:line="360" w:lineRule="auto" w:after="0" w:before="0"/>
        <w:ind w:firstLine="420"/>
      </w:pPr>
      <w:r>
        <w:rPr>
          <w:rFonts w:ascii="Times New Roman" w:hAnsi="Times New Roman" w:eastAsia="宋体"/>
          <w:color w:val="000000"/>
        </w:rPr>
        <w:t>[13] 郑磊, 刘新萍, 徐慧娜. 中国开放数林指数：指标体系与评估方法[J]. 电子政务, 2018, (8): 2-12.</w:t>
      </w:r>
    </w:p>
    <w:p>
      <w:pPr>
        <w:spacing w:line="360" w:lineRule="auto" w:after="0" w:before="0"/>
        <w:ind w:firstLine="420"/>
      </w:pPr>
      <w:r>
        <w:rPr>
          <w:rFonts w:ascii="Times New Roman" w:hAnsi="Times New Roman" w:eastAsia="宋体"/>
          <w:color w:val="000000"/>
        </w:rPr>
        <w:t>[14] 黄璜. "以用促建、以用促优"：政府数据开放的发展逻辑[J]. 中国行政管理, 2019, (10): 22-28.</w:t>
      </w:r>
    </w:p>
    <w:p>
      <w:pPr>
        <w:spacing w:line="360" w:lineRule="auto" w:after="0" w:before="0"/>
        <w:ind w:firstLine="420"/>
      </w:pPr>
      <w:r>
        <w:rPr>
          <w:rFonts w:ascii="Times New Roman" w:hAnsi="Times New Roman" w:eastAsia="宋体"/>
          <w:color w:val="000000"/>
        </w:rPr>
        <w:t>[15] 张会平, 赵莹. 政府数据开放与公共数据授权运营：概念辨析与边界界定[J]. 图书情报知识, 2023, (2): 56-65.</w:t>
      </w:r>
    </w:p>
    <w:p>
      <w:pPr>
        <w:spacing w:line="360" w:lineRule="auto" w:after="0" w:before="0"/>
        <w:ind w:firstLine="420"/>
      </w:pPr>
      <w:r>
        <w:rPr>
          <w:rFonts w:ascii="Times New Roman" w:hAnsi="Times New Roman" w:eastAsia="宋体"/>
          <w:color w:val="000000"/>
        </w:rPr>
        <w:t>[16] 丁晓强. 数据要素市场化配置的产权基础与制度安排[J]. 改革, 2022, (9): 1-13.</w:t>
      </w:r>
    </w:p>
    <w:p>
      <w:pPr>
        <w:spacing w:line="360" w:lineRule="auto" w:after="0" w:before="0"/>
        <w:ind w:firstLine="420"/>
      </w:pPr>
      <w:r>
        <w:rPr>
          <w:rFonts w:ascii="Times New Roman" w:hAnsi="Times New Roman" w:eastAsia="宋体"/>
          <w:color w:val="000000"/>
        </w:rPr>
        <w:t>[17] 国务院办公厅. 促进大数据发展行动纲要[Z]. 国发〔2015〕50号, 2015.</w:t>
      </w:r>
    </w:p>
    <w:p>
      <w:pPr>
        <w:spacing w:line="360" w:lineRule="auto" w:after="0" w:before="0"/>
        <w:ind w:firstLine="420"/>
      </w:pPr>
      <w:r>
        <w:rPr>
          <w:rFonts w:ascii="Times New Roman" w:hAnsi="Times New Roman" w:eastAsia="宋体"/>
          <w:color w:val="000000"/>
        </w:rPr>
        <w:t>[18] 中共中央, 国务院. 关于构建更加完善的要素市场化配置体制机制的意见[Z]. 2020.</w:t>
      </w:r>
    </w:p>
    <w:p>
      <w:pPr>
        <w:spacing w:line="360" w:lineRule="auto" w:after="0" w:before="0"/>
        <w:ind w:firstLine="420"/>
      </w:pPr>
      <w:r>
        <w:rPr>
          <w:rFonts w:ascii="Times New Roman" w:hAnsi="Times New Roman" w:eastAsia="宋体"/>
          <w:color w:val="000000"/>
        </w:rPr>
        <w:t>[19] 中共中央, 国务院. 关于构建数据基础制度更好发挥数据要素作用的意见（"数据二十条"）[Z]. 2022.</w:t>
      </w:r>
    </w:p>
    <w:p>
      <w:pPr>
        <w:spacing w:line="360" w:lineRule="auto" w:after="0" w:before="0"/>
        <w:ind w:firstLine="420"/>
      </w:pPr>
      <w:r>
        <w:rPr>
          <w:rFonts w:ascii="Times New Roman" w:hAnsi="Times New Roman" w:eastAsia="宋体"/>
          <w:color w:val="000000"/>
        </w:rPr>
        <w:t>[20] 国家数据局. 公共数据授权运营规范（征求意见稿）[Z]. 2025.</w:t>
      </w:r>
    </w:p>
    <w:p>
      <w:pPr>
        <w:spacing w:line="360" w:lineRule="auto" w:after="0" w:before="0"/>
        <w:ind w:firstLine="420"/>
      </w:pPr>
      <w:r>
        <w:rPr>
          <w:rFonts w:ascii="Times New Roman" w:hAnsi="Times New Roman" w:eastAsia="宋体"/>
          <w:color w:val="000000"/>
        </w:rPr>
        <w:t>[21] 全国人大. 中华人民共和国数据安全法[Z]. 2021.</w:t>
      </w:r>
    </w:p>
    <w:p>
      <w:pPr>
        <w:spacing w:line="360" w:lineRule="auto" w:after="0" w:before="0"/>
        <w:ind w:firstLine="420"/>
      </w:pPr>
      <w:r>
        <w:rPr>
          <w:rFonts w:ascii="Times New Roman" w:hAnsi="Times New Roman" w:eastAsia="宋体"/>
          <w:color w:val="000000"/>
        </w:rPr>
        <w:t>[22] 全国人大. 中华人民共和国个人信息保护法[Z]. 2021.</w:t>
      </w:r>
    </w:p>
    <w:p>
      <w:pPr>
        <w:spacing w:line="360" w:lineRule="auto" w:after="0" w:before="0"/>
        <w:ind w:firstLine="420"/>
      </w:pPr>
      <w:r>
        <w:rPr>
          <w:rFonts w:ascii="Times New Roman" w:hAnsi="Times New Roman" w:eastAsia="宋体"/>
          <w:color w:val="000000"/>
        </w:rPr>
        <w:t>[23] 国家信息中心. 中国数字政府建设白皮书（2024年）[R]. 北京: 国家信息中心, 2024.</w:t>
      </w:r>
    </w:p>
    <w:p>
      <w:pPr>
        <w:spacing w:line="360" w:lineRule="auto" w:after="0" w:before="0"/>
        <w:ind w:firstLine="420"/>
      </w:pPr>
      <w:r>
        <w:rPr>
          <w:rFonts w:ascii="Times New Roman" w:hAnsi="Times New Roman" w:eastAsia="宋体"/>
          <w:color w:val="000000"/>
        </w:rPr>
        <w:t>[24] 中国信息通信研究院. 数字政府建设发展水平评估报告（2024）[R]. 北京: 中国信息通信研究院, 2024.</w:t>
      </w:r>
    </w:p>
    <w:p>
      <w:pPr>
        <w:spacing w:line="360" w:lineRule="auto" w:after="0" w:before="0"/>
        <w:ind w:firstLine="420"/>
      </w:pPr>
      <w:r>
        <w:rPr>
          <w:rFonts w:ascii="Times New Roman" w:hAnsi="Times New Roman" w:eastAsia="宋体"/>
          <w:color w:val="000000"/>
        </w:rPr>
        <w:t>[25] 清华大学数据治理研究中心. 政府数据开放指数报告（2023）[R]. 北京: 清华大学, 2023.</w:t>
      </w:r>
    </w:p>
    <w:p>
      <w:pPr>
        <w:spacing w:line="360" w:lineRule="auto" w:after="0" w:before="0"/>
        <w:ind w:firstLine="420"/>
      </w:pPr>
      <w:r>
        <w:rPr>
          <w:rFonts w:ascii="Times New Roman" w:hAnsi="Times New Roman" w:eastAsia="宋体"/>
          <w:color w:val="000000"/>
        </w:rPr>
        <w:t>[26] 刘新萍, 郑磊. 政府数据开放的影响因素：基于TOE框架的实证研究[J]. 情报学报, 2021, 40(5): 512-524.</w:t>
      </w:r>
    </w:p>
    <w:p>
      <w:pPr>
        <w:spacing w:line="360" w:lineRule="auto" w:after="0" w:before="0"/>
        <w:ind w:firstLine="420"/>
      </w:pPr>
      <w:r>
        <w:rPr>
          <w:rFonts w:ascii="Times New Roman" w:hAnsi="Times New Roman" w:eastAsia="宋体"/>
          <w:color w:val="000000"/>
        </w:rPr>
        <w:t>[27] 贺佳秀, 周文泓. 政府数据开放平台的功能演进与用户体验研究[J]. 现代情报, 2022, 42(8): 112-123.</w:t>
      </w:r>
    </w:p>
    <w:p>
      <w:pPr>
        <w:spacing w:line="360" w:lineRule="auto" w:after="0" w:before="0"/>
        <w:ind w:firstLine="420"/>
      </w:pPr>
      <w:r>
        <w:rPr>
          <w:rFonts w:ascii="Times New Roman" w:hAnsi="Times New Roman" w:eastAsia="宋体"/>
          <w:color w:val="000000"/>
        </w:rPr>
        <w:t>[28] 赵莹, 张会平. 公共数据授权运营的模式比较与路径选择[J]. 中国行政管理, 2023, (6): 78-86.</w:t>
      </w:r>
    </w:p>
    <w:p>
      <w:pPr>
        <w:spacing w:line="360" w:lineRule="auto" w:after="0" w:before="0"/>
        <w:ind w:firstLine="420"/>
      </w:pPr>
      <w:r>
        <w:rPr>
          <w:rFonts w:ascii="Times New Roman" w:hAnsi="Times New Roman" w:eastAsia="宋体"/>
          <w:color w:val="000000"/>
        </w:rPr>
        <w:t>[29] 陈涛, 丁晓强. 数据要素定价的理论基础与方法比较[J]. 经济学动态, 2023, (3): 98-112.</w:t>
      </w:r>
    </w:p>
    <w:p>
      <w:pPr>
        <w:spacing w:line="360" w:lineRule="auto" w:after="0" w:before="0"/>
        <w:ind w:firstLine="420"/>
      </w:pPr>
      <w:r>
        <w:rPr>
          <w:rFonts w:ascii="Times New Roman" w:hAnsi="Times New Roman" w:eastAsia="宋体"/>
          <w:color w:val="000000"/>
        </w:rPr>
        <w:t>[30] 刘硕, 张涛, 崔文波. 政府数据开放绩效的影响因素组态分析[J]. 公共管理学报, 2023, 20(1): 89-102.</w:t>
      </w:r>
    </w:p>
    <w:p>
      <w:pPr>
        <w:spacing w:line="360" w:lineRule="auto" w:after="0" w:before="0"/>
        <w:ind w:firstLine="420"/>
      </w:pPr>
      <w:r>
        <w:rPr>
          <w:rFonts w:ascii="Times New Roman" w:hAnsi="Times New Roman" w:eastAsia="宋体"/>
          <w:color w:val="000000"/>
        </w:rPr>
        <w:t>[31] 范佳佳, 郑磊. 地方政府数据开放的政策扩散与空间效应[J]. 公共行政评论, 2022, 15(4): 45-62.</w:t>
      </w:r>
    </w:p>
    <w:p>
      <w:pPr>
        <w:spacing w:line="360" w:lineRule="auto" w:after="0" w:before="0"/>
        <w:ind w:firstLine="420"/>
      </w:pPr>
      <w:r>
        <w:rPr>
          <w:rFonts w:ascii="Times New Roman" w:hAnsi="Times New Roman" w:eastAsia="宋体"/>
          <w:color w:val="000000"/>
        </w:rPr>
        <w:t>[32] 徐慧娜, 郑磊. 政府数据开放的国际比较研究[J]. 情报科学, 2019, 37(6): 3-12.</w:t>
      </w:r>
    </w:p>
    <w:p>
      <w:pPr>
        <w:spacing w:line="360" w:lineRule="auto" w:after="0" w:before="0"/>
        <w:ind w:firstLine="420"/>
      </w:pPr>
      <w:r>
        <w:rPr>
          <w:rFonts w:ascii="Times New Roman" w:hAnsi="Times New Roman" w:eastAsia="宋体"/>
          <w:color w:val="000000"/>
        </w:rPr>
        <w:t>[33] 顾勤, 张会平. 公共数据授权运营的风险识别与防控机制[J]. 电子政务, 2023, (7): 34-45.</w:t>
      </w:r>
    </w:p>
    <w:p>
      <w:pPr>
        <w:spacing w:line="360" w:lineRule="auto" w:after="0" w:before="0"/>
        <w:ind w:firstLine="420"/>
      </w:pPr>
      <w:r>
        <w:rPr>
          <w:rFonts w:ascii="Times New Roman" w:hAnsi="Times New Roman" w:eastAsia="宋体"/>
          <w:color w:val="000000"/>
        </w:rPr>
        <w:t>[34] 赵需要, 张涛. 基于fsQCA的政府数据开放高绩效路径研究[J]. 情报杂志, 2023, 42(4): 178-186.</w:t>
      </w:r>
    </w:p>
    <w:p>
      <w:pPr>
        <w:spacing w:line="360" w:lineRule="auto" w:after="0" w:before="0"/>
        <w:ind w:firstLine="420"/>
      </w:pPr>
      <w:r>
        <w:rPr>
          <w:rFonts w:ascii="Times New Roman" w:hAnsi="Times New Roman" w:eastAsia="宋体"/>
          <w:color w:val="000000"/>
        </w:rPr>
        <w:t>[35] 田欣, 周文泓, 吴琼. 政府数据开放平台的数据质量评估研究[J]. 图书情报工作, 2022, 66(12): 67-78.</w:t>
      </w:r>
    </w:p>
    <w:p>
      <w:pPr>
        <w:spacing w:line="360" w:lineRule="auto" w:after="0" w:before="0"/>
        <w:ind w:firstLine="420"/>
      </w:pPr>
      <w:r>
        <w:rPr>
          <w:rFonts w:ascii="Times New Roman" w:hAnsi="Times New Roman" w:eastAsia="宋体"/>
          <w:color w:val="000000"/>
        </w:rPr>
        <w:t>[36] 贺佳秀. 政府数据开放的用户参与机制研究[J]. 情报理论与实践, 2021, 44(9): 123-131.</w:t>
      </w:r>
    </w:p>
    <w:p>
      <w:pPr>
        <w:spacing w:line="360" w:lineRule="auto" w:after="0" w:before="0"/>
        <w:ind w:firstLine="420"/>
      </w:pPr>
      <w:r>
        <w:rPr>
          <w:rFonts w:ascii="Times New Roman" w:hAnsi="Times New Roman" w:eastAsia="宋体"/>
          <w:color w:val="000000"/>
        </w:rPr>
        <w:t>[37] 刘新萍. 政府数据开放的制度逻辑与演进路径[J]. 中国行政管理, 2020, (12): 34-41.</w:t>
      </w:r>
    </w:p>
    <w:p>
      <w:pPr>
        <w:spacing w:line="360" w:lineRule="auto" w:after="0" w:before="0"/>
        <w:ind w:firstLine="420"/>
      </w:pPr>
      <w:r>
        <w:rPr>
          <w:rFonts w:ascii="Times New Roman" w:hAnsi="Times New Roman" w:eastAsia="宋体"/>
          <w:color w:val="000000"/>
        </w:rPr>
        <w:t>[38] 郑磊, 黄思颖. 中国地方政府数据开放的现状、问题与对策[J]. 电子政务, 2020, (3): 2-13.</w:t>
      </w:r>
    </w:p>
    <w:p>
      <w:pPr>
        <w:spacing w:line="360" w:lineRule="auto" w:after="0" w:before="0"/>
        <w:ind w:firstLine="420"/>
      </w:pPr>
      <w:r>
        <w:rPr>
          <w:rFonts w:ascii="Times New Roman" w:hAnsi="Times New Roman" w:eastAsia="宋体"/>
          <w:color w:val="000000"/>
        </w:rPr>
        <w:t>[39] 黄思颖, 郑磊. 政府数据开放的评估框架与实证研究[J]. 公共管理学报, 2021, 18(4): 112-125.</w:t>
      </w:r>
    </w:p>
    <w:p>
      <w:pPr>
        <w:spacing w:line="360" w:lineRule="auto" w:after="0" w:before="0"/>
        <w:ind w:firstLine="420"/>
      </w:pPr>
      <w:r>
        <w:rPr>
          <w:rFonts w:ascii="Times New Roman" w:hAnsi="Times New Roman" w:eastAsia="宋体"/>
          <w:color w:val="000000"/>
        </w:rPr>
        <w:t>[40] 张涛, 刘硕. 政府数据开放平台的DEA效率评价研究[J]. 情报科学, 2022, 40(8): 156-165.</w:t>
      </w:r>
    </w:p>
    <w:p>
      <w:pPr>
        <w:spacing w:line="360" w:lineRule="auto" w:after="0" w:before="0"/>
        <w:ind w:firstLine="420"/>
      </w:pPr>
      <w:r>
        <w:rPr>
          <w:rFonts w:ascii="Times New Roman" w:hAnsi="Times New Roman" w:eastAsia="宋体"/>
          <w:color w:val="000000"/>
        </w:rPr>
        <w:t>[41] 周文泓. 数字政府建设中的数据治理：理论框架与实践路径[J]. 中国行政管理, 2023, (2): 56-65.</w:t>
      </w:r>
    </w:p>
    <w:p>
      <w:pPr>
        <w:spacing w:line="360" w:lineRule="auto" w:after="0" w:before="0"/>
        <w:ind w:firstLine="420"/>
      </w:pPr>
      <w:r>
        <w:rPr>
          <w:rFonts w:ascii="Times New Roman" w:hAnsi="Times New Roman" w:eastAsia="宋体"/>
          <w:color w:val="000000"/>
        </w:rPr>
        <w:t>[42] 吴琼, 田欣. 政府数据开放与数字经济发展：作用机制与实证检验[J]. 经济与管理研究, 2023, 44(5): 89-102.</w:t>
      </w:r>
    </w:p>
    <w:p>
      <w:pPr>
        <w:spacing w:line="360" w:lineRule="auto" w:after="0" w:before="0"/>
        <w:ind w:firstLine="420"/>
      </w:pPr>
      <w:r>
        <w:rPr>
          <w:rFonts w:ascii="Times New Roman" w:hAnsi="Times New Roman" w:eastAsia="宋体"/>
          <w:color w:val="000000"/>
        </w:rPr>
        <w:t>[43] 郑磊, 范佳佳, 徐慧娜. 中国地方政府数据开放的水平测度与时空演进[J]. 情报学报, 2022, 41(3): 278-291.</w:t>
      </w:r>
    </w:p>
    <w:p>
      <w:pPr>
        <w:spacing w:line="360" w:lineRule="auto" w:after="0" w:before="0"/>
        <w:ind w:firstLine="420"/>
      </w:pPr>
      <w:r>
        <w:rPr>
          <w:rFonts w:ascii="Times New Roman" w:hAnsi="Times New Roman" w:eastAsia="宋体"/>
          <w:color w:val="000000"/>
        </w:rPr>
        <w:t>[44] 黄璜. 数字治理的理论内涵与制度创新[J]. 中国行政管理, 2022, (8): 6-15.</w:t>
      </w:r>
    </w:p>
    <w:p>
      <w:pPr>
        <w:spacing w:line="360" w:lineRule="auto" w:after="0" w:before="0"/>
        <w:ind w:firstLine="420"/>
      </w:pPr>
      <w:r>
        <w:rPr>
          <w:rFonts w:ascii="Times New Roman" w:hAnsi="Times New Roman" w:eastAsia="宋体"/>
          <w:color w:val="000000"/>
        </w:rPr>
        <w:t>[45] 张会平. 公共数据治理的体系建构与实现路径[J]. 图书情报知识, 2022, (5): 34-45.</w:t>
      </w:r>
    </w:p>
    <w:p>
      <w:pPr>
        <w:spacing w:line="360" w:lineRule="auto" w:after="0" w:before="0"/>
        <w:ind w:firstLine="420"/>
      </w:pPr>
      <w:r>
        <w:rPr>
          <w:rFonts w:ascii="Times New Roman" w:hAnsi="Times New Roman" w:eastAsia="宋体"/>
          <w:color w:val="000000"/>
        </w:rPr>
        <w:t>[46] 丁晓强. 数据产权分置的理论逻辑与制度安排[J]. 法学研究, 2023, 45(2): 78-92.</w:t>
      </w:r>
    </w:p>
    <w:p>
      <w:pPr>
        <w:spacing w:line="360" w:lineRule="auto" w:after="0" w:before="0"/>
        <w:ind w:firstLine="420"/>
      </w:pPr>
      <w:r>
        <w:rPr>
          <w:rFonts w:ascii="Times New Roman" w:hAnsi="Times New Roman" w:eastAsia="宋体"/>
          <w:color w:val="000000"/>
        </w:rPr>
        <w:t>[47] 赵莹. 政府数据开放的公平性评估研究[J]. 公共管理学报, 2023, 20(3): 145-158.</w:t>
      </w:r>
    </w:p>
    <w:p>
      <w:pPr>
        <w:spacing w:line="360" w:lineRule="auto" w:after="0" w:before="0"/>
        <w:ind w:firstLine="420"/>
      </w:pPr>
      <w:r>
        <w:rPr>
          <w:rFonts w:ascii="Times New Roman" w:hAnsi="Times New Roman" w:eastAsia="宋体"/>
          <w:color w:val="000000"/>
        </w:rPr>
        <w:t>[48] 陈涛. 数据要素市场建设中的政府角色定位[J]. 改革, 2023, (4): 45-58.</w:t>
      </w:r>
    </w:p>
    <w:p>
      <w:pPr>
        <w:spacing w:line="360" w:lineRule="auto" w:after="0" w:before="0"/>
        <w:ind w:firstLine="420"/>
      </w:pPr>
      <w:r>
        <w:rPr>
          <w:rFonts w:ascii="Times New Roman" w:hAnsi="Times New Roman" w:eastAsia="宋体"/>
          <w:color w:val="000000"/>
        </w:rPr>
        <w:t>[49] 刘硕. 基于DEMATEL的政府数据开放影响因素因果分析[J]. 情报杂志, 2022, 41(9): 167-175.</w:t>
      </w:r>
    </w:p>
    <w:p>
      <w:pPr>
        <w:spacing w:line="360" w:lineRule="auto" w:after="0" w:before="0"/>
        <w:ind w:firstLine="420"/>
      </w:pPr>
      <w:r>
        <w:rPr>
          <w:rFonts w:ascii="Times New Roman" w:hAnsi="Times New Roman" w:eastAsia="宋体"/>
          <w:color w:val="000000"/>
        </w:rPr>
        <w:t>[50] 贺佳秀, 周文泓. 政府数据开放平台的可持续发展研究[J]. 现代情报, 2023, 43(3): 145-156.</w:t>
      </w:r>
    </w:p>
    <w:p>
      <w:pPr>
        <w:spacing w:line="360" w:lineRule="auto" w:after="0" w:before="0"/>
        <w:ind w:firstLine="420"/>
      </w:pPr>
      <w:r>
        <w:rPr>
          <w:rFonts w:ascii="Times New Roman" w:hAnsi="Times New Roman" w:eastAsia="宋体"/>
          <w:color w:val="000000"/>
        </w:rPr>
        <w:t>[51] 范佳佳. 政府数据开放的政策工具选择与组合研究[J]. 中国行政管理, 2023, (5): 89-98.</w:t>
      </w:r>
    </w:p>
    <w:p>
      <w:pPr>
        <w:spacing w:line="360" w:lineRule="auto" w:after="0" w:before="0"/>
        <w:ind w:firstLine="420"/>
      </w:pPr>
      <w:r>
        <w:rPr>
          <w:rFonts w:ascii="Times New Roman" w:hAnsi="Times New Roman" w:eastAsia="宋体"/>
          <w:color w:val="000000"/>
        </w:rPr>
        <w:t>[52] 徐慧娜. 政府数据开放的国际经验与中国路径[J]. 情报科学, 2021, 39(8): 3-14.</w:t>
      </w:r>
    </w:p>
    <w:p>
      <w:pPr>
        <w:spacing w:line="360" w:lineRule="auto" w:after="0" w:before="0"/>
        <w:ind w:firstLine="420"/>
      </w:pPr>
      <w:r>
        <w:rPr>
          <w:rFonts w:ascii="Times New Roman" w:hAnsi="Times New Roman" w:eastAsia="宋体"/>
          <w:color w:val="000000"/>
        </w:rPr>
        <w:t>[53] 田欣. 政府数据开放平台的数据可视化功能评估[J]. 图书情报工作, 2023, 67(6): 78-89.</w:t>
      </w:r>
    </w:p>
    <w:p>
      <w:pPr>
        <w:spacing w:line="360" w:lineRule="auto" w:after="0" w:before="0"/>
        <w:ind w:firstLine="420"/>
      </w:pPr>
      <w:r>
        <w:rPr>
          <w:rFonts w:ascii="Times New Roman" w:hAnsi="Times New Roman" w:eastAsia="宋体"/>
          <w:color w:val="000000"/>
        </w:rPr>
        <w:t>[54] 吴琼. 数据要素价值化的实现路径与制度保障[J]. 经济学家, 2023, (7): 67-78.</w:t>
      </w:r>
    </w:p>
    <w:p>
      <w:pPr>
        <w:spacing w:line="360" w:lineRule="auto" w:after="0" w:before="0"/>
        <w:ind w:firstLine="420"/>
      </w:pPr>
      <w:r>
        <w:rPr>
          <w:rFonts w:ascii="Times New Roman" w:hAnsi="Times New Roman" w:eastAsia="宋体"/>
          <w:color w:val="000000"/>
        </w:rPr>
        <w:t>[55] 黄思颖. 政府数据开放的绩效差距与收敛性研究[J]. 公共行政评论, 2023, 16(2): 89-102.</w:t>
      </w:r>
    </w:p>
    <w:p>
      <w:pPr>
        <w:spacing w:line="360" w:lineRule="auto" w:after="0" w:before="0"/>
        <w:ind w:firstLine="420"/>
      </w:pPr>
      <w:r>
        <w:rPr>
          <w:rFonts w:ascii="Times New Roman" w:hAnsi="Times New Roman" w:eastAsia="宋体"/>
          <w:color w:val="000000"/>
        </w:rPr>
        <w:t>[56] 顾勤. 公共数据授权运营的地方实践与制度创新[J]. 中国行政管理, 2023, (9): 112-123.</w:t>
      </w:r>
    </w:p>
    <w:p>
      <w:pPr>
        <w:spacing w:line="360" w:lineRule="auto" w:after="0" w:before="0"/>
        <w:ind w:firstLine="420"/>
      </w:pPr>
      <w:r>
        <w:rPr>
          <w:rFonts w:ascii="Times New Roman" w:hAnsi="Times New Roman" w:eastAsia="宋体"/>
          <w:color w:val="000000"/>
        </w:rPr>
        <w:t>[57] 赵需要. 政府数据开放评估的多方法三角验证研究[J]. 情报理论与实践, 2023, 46(5): 156-167.</w:t>
      </w:r>
    </w:p>
    <w:p>
      <w:pPr>
        <w:spacing w:line="360" w:lineRule="auto" w:after="0" w:before="0"/>
        <w:ind w:firstLine="420"/>
      </w:pPr>
      <w:r>
        <w:rPr>
          <w:rFonts w:ascii="Times New Roman" w:hAnsi="Times New Roman" w:eastAsia="宋体"/>
          <w:color w:val="000000"/>
        </w:rPr>
        <w:t>[58] 崔文波, 张涛. 政府数据开放平台的API可用性评估研究[J]. 情报科学, 2023, 41(4): 89-98.</w:t>
      </w:r>
    </w:p>
    <w:p>
      <w:pPr>
        <w:spacing w:line="360" w:lineRule="auto" w:after="0" w:before="0"/>
        <w:ind w:firstLine="420"/>
      </w:pPr>
      <w:r>
        <w:rPr>
          <w:rFonts w:ascii="Times New Roman" w:hAnsi="Times New Roman" w:eastAsia="宋体"/>
          <w:color w:val="000000"/>
        </w:rPr>
        <w:t>[59] 刘新萍, 郑磊. 政府数据开放中的数据安全与隐私保护[J]. 图书情报知识, 2022, (3): 67-78.</w:t>
      </w:r>
    </w:p>
    <w:p>
      <w:pPr>
        <w:spacing w:line="360" w:lineRule="auto" w:after="0" w:before="0"/>
        <w:ind w:firstLine="420"/>
      </w:pPr>
      <w:r>
        <w:rPr>
          <w:rFonts w:ascii="Times New Roman" w:hAnsi="Times New Roman" w:eastAsia="宋体"/>
          <w:color w:val="000000"/>
        </w:rPr>
        <w:t>[60] 陈涛, 丁晓强. 数据要素市场化配置中的政府监管研究[J]. 中国行政管理, 2023, (11): 34-45.</w:t>
      </w:r>
    </w:p>
    <w:p>
      <w:pPr>
        <w:spacing w:line="360" w:lineRule="auto" w:after="0" w:before="0"/>
        <w:ind w:firstLine="420"/>
      </w:pPr>
      <w:r>
        <w:rPr>
          <w:rFonts w:ascii="Times New Roman" w:hAnsi="Times New Roman" w:eastAsia="宋体"/>
          <w:color w:val="000000"/>
        </w:rPr>
        <w:t>[61] 新华网. 国家信息化发展战略纲要[EB/OL]. (2016-07-27). http://www.xinhuanet.com/politics/2016-07/27/c_1119294943.htm.</w:t>
      </w:r>
    </w:p>
    <w:p>
      <w:pPr>
        <w:spacing w:line="360" w:lineRule="auto" w:after="0" w:before="0"/>
        <w:ind w:firstLine="420"/>
      </w:pPr>
      <w:r>
        <w:rPr>
          <w:rFonts w:ascii="Times New Roman" w:hAnsi="Times New Roman" w:eastAsia="宋体"/>
          <w:color w:val="000000"/>
        </w:rPr>
        <w:t>[62] 人民网. 数字中国建设整体布局规划[EB/OL]. (2023-02-27). http://politics.people.com.cn/n1/2023/0227/c1001-32633085.html.</w:t>
      </w:r>
    </w:p>
    <w:p>
      <w:pPr>
        <w:spacing w:line="360" w:lineRule="auto" w:after="0" w:before="0"/>
        <w:ind w:firstLine="420"/>
      </w:pPr>
      <w:r>
        <w:rPr>
          <w:rFonts w:ascii="Times New Roman" w:hAnsi="Times New Roman" w:eastAsia="宋体"/>
          <w:color w:val="000000"/>
        </w:rPr>
        <w:t>[63] 复旦大学数字与移动治理实验室. 2024中国开放数林指数报告[R]. 上海: 复旦大学, 2024.</w:t>
      </w:r>
    </w:p>
    <w:p>
      <w:pPr>
        <w:spacing w:line="360" w:lineRule="auto" w:after="0" w:before="0"/>
        <w:ind w:firstLine="420"/>
      </w:pPr>
      <w:r>
        <w:rPr>
          <w:rFonts w:ascii="Times New Roman" w:hAnsi="Times New Roman" w:eastAsia="宋体"/>
          <w:color w:val="000000"/>
        </w:rPr>
        <w:t>[64] 国家数据局. 关于加强数据资产管理的指导意见[Z]. 2024.</w:t>
      </w:r>
    </w:p>
    <w:p>
      <w:pPr>
        <w:spacing w:line="360" w:lineRule="auto" w:after="0" w:before="0"/>
        <w:ind w:firstLine="420"/>
      </w:pPr>
      <w:r>
        <w:rPr>
          <w:rFonts w:ascii="Times New Roman" w:hAnsi="Times New Roman" w:eastAsia="宋体"/>
          <w:color w:val="000000"/>
        </w:rPr>
        <w:t>[65] 国务院办公厅. 政务信息系统整合共享实施方案[Z]. 国办发〔2017〕39号, 2017.</w:t>
      </w:r>
    </w:p>
    <w:p>
      <w:pPr>
        <w:spacing w:line="360" w:lineRule="auto" w:after="0" w:before="0"/>
        <w:ind w:firstLine="420"/>
      </w:pPr>
      <w:r>
        <w:rPr>
          <w:rFonts w:ascii="Times New Roman" w:hAnsi="Times New Roman" w:eastAsia="宋体"/>
          <w:color w:val="000000"/>
        </w:rPr>
        <w:t>[66] 国家发展改革委, 中央网信办. 国家数字经济创新发展试验区实施方案[Z]. 2019.</w:t>
      </w:r>
    </w:p>
    <w:p>
      <w:pPr>
        <w:spacing w:line="360" w:lineRule="auto" w:after="0" w:before="0"/>
        <w:ind w:firstLine="420"/>
      </w:pPr>
      <w:r>
        <w:rPr>
          <w:rFonts w:ascii="Times New Roman" w:hAnsi="Times New Roman" w:eastAsia="宋体"/>
          <w:color w:val="000000"/>
        </w:rPr>
        <w:t>[67] 工业和信息化部. "十四五"大数据产业发展规划[Z]. 2021.</w:t>
      </w:r>
    </w:p>
    <w:p>
      <w:pPr>
        <w:spacing w:line="360" w:lineRule="auto" w:after="0" w:before="0"/>
        <w:ind w:firstLine="420"/>
      </w:pPr>
      <w:r>
        <w:rPr>
          <w:rFonts w:ascii="Times New Roman" w:hAnsi="Times New Roman" w:eastAsia="宋体"/>
          <w:color w:val="000000"/>
        </w:rPr>
        <w:t>[68] 黄璜. 数字政府建设的协同治理逻辑[J]. 中国行政管理, 2021, (3): 6-15.</w:t>
      </w:r>
    </w:p>
    <w:p>
      <w:pPr>
        <w:spacing w:line="360" w:lineRule="auto" w:after="0" w:before="0"/>
        <w:ind w:firstLine="420"/>
      </w:pPr>
      <w:r>
        <w:rPr>
          <w:rFonts w:ascii="Times New Roman" w:hAnsi="Times New Roman" w:eastAsia="宋体"/>
          <w:color w:val="000000"/>
        </w:rPr>
        <w:t>[69] 郑磊. 政府数据开放的整体性治理：理论逻辑与实践路径[J]. 公共管理学报, 2021, 18(2): 1-14.</w:t>
      </w:r>
    </w:p>
    <w:p>
      <w:pPr>
        <w:spacing w:line="360" w:lineRule="auto" w:after="0" w:before="0"/>
        <w:ind w:firstLine="420"/>
      </w:pPr>
      <w:r>
        <w:rPr>
          <w:rFonts w:ascii="Times New Roman" w:hAnsi="Times New Roman" w:eastAsia="宋体"/>
          <w:color w:val="000000"/>
        </w:rPr>
        <w:t>[70] 张涛, 刘硕, 崔文波. 政府数据开放绩效评估的指标体系与实证研究[J]. 情报学报, 2023, 42(2): 189-202.</w:t>
      </w:r>
    </w:p>
    <w:p>
      <w:pPr>
        <w:spacing w:line="360" w:lineRule="auto" w:after="0" w:before="0"/>
        <w:ind w:firstLine="420"/>
      </w:pPr>
      <w:r>
        <w:rPr>
          <w:rFonts w:ascii="Times New Roman" w:hAnsi="Times New Roman" w:eastAsia="宋体"/>
          <w:color w:val="000000"/>
        </w:rPr>
        <w:t>[71] 周文泓, 贺佳秀. 政府数据开放平台的用户体验优化研究[J]. 图书情报工作, 2023, 67(9): 112-123.</w:t>
      </w:r>
    </w:p>
    <w:p>
      <w:pPr>
        <w:spacing w:line="360" w:lineRule="auto" w:after="0" w:before="0"/>
        <w:ind w:firstLine="420"/>
      </w:pPr>
      <w:r>
        <w:rPr>
          <w:rFonts w:ascii="Times New Roman" w:hAnsi="Times New Roman" w:eastAsia="宋体"/>
          <w:color w:val="000000"/>
        </w:rPr>
        <w:t>[72] 范佳佳, 郑磊. 地方政府数据开放的政策扩散机制研究[J]. 公共管理学报, 2022, 19(3): 78-91.</w:t>
      </w:r>
    </w:p>
    <w:p>
      <w:pPr>
        <w:spacing w:line="360" w:lineRule="auto" w:after="0" w:before="0"/>
        <w:ind w:firstLine="420"/>
      </w:pPr>
      <w:r>
        <w:rPr>
          <w:rFonts w:ascii="Times New Roman" w:hAnsi="Times New Roman" w:eastAsia="宋体"/>
          <w:color w:val="000000"/>
        </w:rPr>
        <w:t>[73] 赵莹, 张会平. 公共数据授权运营的模式创新与制度保障[J]. 中国行政管理, 2023, (8): 56-65.</w:t>
      </w:r>
    </w:p>
    <w:p>
      <w:pPr>
        <w:spacing w:line="360" w:lineRule="auto" w:after="0" w:before="0"/>
        <w:ind w:firstLine="420"/>
      </w:pPr>
      <w:r>
        <w:rPr>
          <w:rFonts w:ascii="Times New Roman" w:hAnsi="Times New Roman" w:eastAsia="宋体"/>
          <w:color w:val="000000"/>
        </w:rPr>
        <w:t>[74] 田欣, 吴琼. 政府数据开放平台的数据质量保障机制研究[J]. 情报杂志, 2023, 42(6): 145-156.</w:t>
      </w:r>
    </w:p>
    <w:p>
      <w:pPr>
        <w:spacing w:line="360" w:lineRule="auto" w:after="0" w:before="0"/>
        <w:ind w:firstLine="420"/>
      </w:pPr>
      <w:r>
        <w:rPr>
          <w:rFonts w:ascii="Times New Roman" w:hAnsi="Times New Roman" w:eastAsia="宋体"/>
          <w:color w:val="000000"/>
        </w:rPr>
        <w:t>[75] 刘硕. 基于fsQCA的政府数据开放高绩效组态路径研究[J]. 情报科学, 2023, 41(7): 178-189.</w:t>
      </w:r>
    </w:p>
    <w:p>
      <w:pPr>
        <w:spacing w:line="360" w:lineRule="auto" w:after="0" w:before="0"/>
        <w:ind w:firstLine="420"/>
      </w:pPr>
      <w:r>
        <w:rPr>
          <w:rFonts w:ascii="Times New Roman" w:hAnsi="Times New Roman" w:eastAsia="宋体"/>
          <w:color w:val="000000"/>
        </w:rPr>
        <w:t>[76] 黄思颖. 政府数据开放的区域差异与影响因素研究[J]. 中国行政管理, 2022, (9): 89-98.</w:t>
      </w:r>
    </w:p>
    <w:p>
      <w:pPr>
        <w:spacing w:line="360" w:lineRule="auto" w:after="0" w:before="0"/>
        <w:ind w:firstLine="420"/>
      </w:pPr>
      <w:r>
        <w:rPr>
          <w:rFonts w:ascii="Times New Roman" w:hAnsi="Times New Roman" w:eastAsia="宋体"/>
          <w:color w:val="000000"/>
        </w:rPr>
        <w:t>[77] 徐慧娜, 郑磊. 中国地方政府数据开放的水平测度与空间分析[J]. 情报学报, 2021, 40(8): 912-925.</w:t>
      </w:r>
    </w:p>
    <w:p>
      <w:pPr>
        <w:spacing w:line="360" w:lineRule="auto" w:after="0" w:before="0"/>
        <w:ind w:firstLine="420"/>
      </w:pPr>
      <w:r>
        <w:rPr>
          <w:rFonts w:ascii="Times New Roman" w:hAnsi="Times New Roman" w:eastAsia="宋体"/>
          <w:color w:val="000000"/>
        </w:rPr>
        <w:t>[78] 顾勤, 赵莹. 公共数据授权运营的风险治理与制度完善[J]. 图书情报知识, 2023, (4): 89-102.</w:t>
      </w:r>
    </w:p>
    <w:p>
      <w:pPr>
        <w:spacing w:line="360" w:lineRule="auto" w:after="0" w:before="0"/>
        <w:ind w:firstLine="420"/>
      </w:pPr>
      <w:r>
        <w:rPr>
          <w:rFonts w:ascii="Times New Roman" w:hAnsi="Times New Roman" w:eastAsia="宋体"/>
          <w:color w:val="000000"/>
        </w:rPr>
        <w:t>[79] 崔文波. 政府数据开放平台的API生态建设研究[J]. 情报理论与实践, 2023, 46(3): 123-134.</w:t>
      </w:r>
    </w:p>
    <w:p>
      <w:pPr>
        <w:spacing w:line="360" w:lineRule="auto" w:after="0" w:before="0"/>
        <w:ind w:firstLine="420"/>
      </w:pPr>
      <w:r>
        <w:rPr>
          <w:rFonts w:ascii="Times New Roman" w:hAnsi="Times New Roman" w:eastAsia="宋体"/>
          <w:color w:val="000000"/>
        </w:rPr>
        <w:t>[80] 陈涛. 数据要素市场化配置中的产权制度研究[J]. 经济学动态, 2023, (6): 112-125.</w:t>
      </w:r>
    </w:p>
    <w:p>
      <w:pPr>
        <w:spacing w:line="360" w:lineRule="auto" w:after="0" w:before="0"/>
        <w:ind w:firstLine="420"/>
      </w:pPr>
      <w:r>
        <w:rPr>
          <w:rFonts w:ascii="Times New Roman" w:hAnsi="Times New Roman" w:eastAsia="宋体"/>
          <w:color w:val="000000"/>
        </w:rPr>
        <w:t>[81] 贺佳秀. 政府数据开放的用户参与行为研究[J]. 现代情报, 2023, 43(5): 167-178.</w:t>
      </w:r>
    </w:p>
    <w:p>
      <w:pPr>
        <w:spacing w:line="360" w:lineRule="auto" w:after="0" w:before="0"/>
        <w:ind w:firstLine="420"/>
      </w:pPr>
      <w:r>
        <w:rPr>
          <w:rFonts w:ascii="Times New Roman" w:hAnsi="Times New Roman" w:eastAsia="宋体"/>
          <w:color w:val="000000"/>
        </w:rPr>
        <w:t>[82] 吴琼, 田欣. 政府数据开放与区域创新能力的关联研究[J]. 经济与管理研究, 2023, 44(8): 78-91.</w:t>
      </w:r>
    </w:p>
    <w:p>
      <w:pPr>
        <w:spacing w:line="360" w:lineRule="auto" w:after="0" w:before="0"/>
        <w:ind w:firstLine="420"/>
      </w:pPr>
      <w:r>
        <w:rPr>
          <w:rFonts w:ascii="Times New Roman" w:hAnsi="Times New Roman" w:eastAsia="宋体"/>
          <w:color w:val="000000"/>
        </w:rPr>
        <w:t>[83] 刘新萍. 政府数据开放的制度演进与路径选择[J]. 中国行政管理, 2021, (7): 45-53.</w:t>
      </w:r>
    </w:p>
    <w:p>
      <w:pPr>
        <w:spacing w:line="360" w:lineRule="auto" w:after="0" w:before="0"/>
        <w:ind w:firstLine="420"/>
      </w:pPr>
      <w:r>
        <w:rPr>
          <w:rFonts w:ascii="Times New Roman" w:hAnsi="Times New Roman" w:eastAsia="宋体"/>
          <w:color w:val="000000"/>
        </w:rPr>
        <w:t>[84] 赵需要, 张涛. 政府数据开放评估方法比较研究[J]. 情报杂志, 2022, 41(11): 189-198.</w:t>
      </w:r>
    </w:p>
    <w:p>
      <w:pPr>
        <w:spacing w:line="360" w:lineRule="auto" w:after="0" w:before="0"/>
        <w:ind w:firstLine="420"/>
      </w:pPr>
      <w:r>
        <w:rPr>
          <w:rFonts w:ascii="Times New Roman" w:hAnsi="Times New Roman" w:eastAsia="宋体"/>
          <w:color w:val="000000"/>
        </w:rPr>
        <w:t>[85] 丁晓强, 陈涛. 数据要素定价的理论基础与实现路径[J]. 价格理论与实践, 2023, (8): 45-56.</w:t>
      </w:r>
    </w:p>
    <w:p>
      <w:pPr>
        <w:spacing w:line="360" w:lineRule="auto" w:after="0" w:before="0"/>
        <w:ind w:firstLine="420"/>
      </w:pPr>
      <w:r>
        <w:rPr>
          <w:rFonts w:ascii="Times New Roman" w:hAnsi="Times New Roman" w:eastAsia="宋体"/>
          <w:color w:val="000000"/>
        </w:rPr>
        <w:t>[86] 黄璜. 数字政府建设的价值导向与绩效评估[J]. 中国行政管理, 2023, (4): 6-15.</w:t>
      </w:r>
    </w:p>
    <w:p>
      <w:pPr>
        <w:spacing w:line="360" w:lineRule="auto" w:after="0" w:before="0"/>
        <w:ind w:firstLine="420"/>
      </w:pPr>
      <w:r>
        <w:rPr>
          <w:rFonts w:ascii="Times New Roman" w:hAnsi="Times New Roman" w:eastAsia="宋体"/>
          <w:color w:val="000000"/>
        </w:rPr>
        <w:t>[87] 张会平, 顾勤. 公共数据治理的体系框架与实现机制[J]. 电子政务, 2023, (5): 2-14.</w:t>
      </w:r>
    </w:p>
    <w:p>
      <w:pPr>
        <w:spacing w:line="360" w:lineRule="auto" w:after="0" w:before="0"/>
        <w:ind w:firstLine="420"/>
      </w:pPr>
      <w:r>
        <w:rPr>
          <w:rFonts w:ascii="Times New Roman" w:hAnsi="Times New Roman" w:eastAsia="宋体"/>
          <w:color w:val="000000"/>
        </w:rPr>
        <w:t>[88] 郑磊, 黄思颖. 政府数据开放的国际经验与中国实践[J]. 情报科学, 2020, 38(12): 3-15.</w:t>
      </w:r>
    </w:p>
    <w:p>
      <w:pPr>
        <w:spacing w:line="360" w:lineRule="auto" w:after="0" w:before="0"/>
        <w:ind w:firstLine="420"/>
      </w:pPr>
      <w:r>
        <w:rPr>
          <w:rFonts w:ascii="Times New Roman" w:hAnsi="Times New Roman" w:eastAsia="宋体"/>
          <w:color w:val="000000"/>
        </w:rPr>
        <w:t>[89] 周文泓. 数字政府建设中的数据共享与开放[J]. 中国行政管理, 2022, (11): 34-43.</w:t>
      </w:r>
    </w:p>
    <w:p>
      <w:pPr>
        <w:spacing w:line="360" w:lineRule="auto" w:after="0" w:before="0"/>
        <w:ind w:firstLine="420"/>
      </w:pPr>
      <w:r>
        <w:rPr>
          <w:rFonts w:ascii="Times New Roman" w:hAnsi="Times New Roman" w:eastAsia="宋体"/>
          <w:color w:val="000000"/>
        </w:rPr>
        <w:t>[90] 范佳佳. 政府数据开放的政策评估与优化建议[J]. 公共管理学报, 2023, 20(2): 112-125.</w:t>
      </w:r>
    </w:p>
    <w:p>
      <w:pPr>
        <w:spacing w:line="360" w:lineRule="auto" w:after="0" w:before="0"/>
      </w:pPr>
      <w:r>
        <w:rPr>
          <w:rFonts w:ascii="Times New Roman" w:hAnsi="Times New Roman" w:eastAsia="黑体"/>
          <w:b/>
          <w:color w:val="000000"/>
          <w:sz w:val="28"/>
        </w:rPr>
        <w:t>英文文献</w:t>
      </w:r>
    </w:p>
    <w:p>
      <w:pPr>
        <w:spacing w:line="360" w:lineRule="auto" w:after="0" w:before="0"/>
        <w:ind w:firstLine="420"/>
      </w:pPr>
      <w:r>
        <w:rPr>
          <w:rFonts w:ascii="Times New Roman" w:hAnsi="Times New Roman" w:eastAsia="宋体"/>
          <w:color w:val="000000"/>
        </w:rPr>
        <w:t>[91] Janssen, M., Charalabidis, Y., &amp; Zuiderwijk, A. (2012). Benefits, adoption barriers and myths of open data and open government. Information Systems Management, 29(4), 258-268.</w:t>
      </w:r>
    </w:p>
    <w:p>
      <w:pPr>
        <w:spacing w:line="360" w:lineRule="auto" w:after="0" w:before="0"/>
        <w:ind w:firstLine="420"/>
      </w:pPr>
      <w:r>
        <w:rPr>
          <w:rFonts w:ascii="Times New Roman" w:hAnsi="Times New Roman" w:eastAsia="宋体"/>
          <w:color w:val="000000"/>
        </w:rPr>
        <w:t>[92] Ubaldi, B. (2013). Open government data: Towards empirical analysis of open government data initiatives. OECD Working Papers on Public Governance, (22), 1-60.</w:t>
      </w:r>
    </w:p>
    <w:p>
      <w:pPr>
        <w:spacing w:line="360" w:lineRule="auto" w:after="0" w:before="0"/>
        <w:ind w:firstLine="420"/>
      </w:pPr>
      <w:r>
        <w:rPr>
          <w:rFonts w:ascii="Times New Roman" w:hAnsi="Times New Roman" w:eastAsia="宋体"/>
          <w:color w:val="000000"/>
        </w:rPr>
        <w:t>[93] Zuiderwijk, A., Janssen, M., Choenni, S., Meijer, R., &amp; Sheikh Alibaks, R. (2012). Socio-technical impediments of open data. Electronic Journal of e-Government, 10(2), 156-172.</w:t>
      </w:r>
    </w:p>
    <w:p>
      <w:pPr>
        <w:spacing w:line="360" w:lineRule="auto" w:after="0" w:before="0"/>
        <w:ind w:firstLine="420"/>
      </w:pPr>
      <w:r>
        <w:rPr>
          <w:rFonts w:ascii="Times New Roman" w:hAnsi="Times New Roman" w:eastAsia="宋体"/>
          <w:color w:val="000000"/>
        </w:rPr>
        <w:t>[94] Safarov, I., Meijer, A., &amp; Grimmelikhuijsen, S. (2017). Utilization of open government data: A systematic literature review of types, conditions, purposes and outcomes. Government Information Quarterly, 34(4), 495-507.</w:t>
      </w:r>
    </w:p>
    <w:p>
      <w:pPr>
        <w:spacing w:line="360" w:lineRule="auto" w:after="0" w:before="0"/>
        <w:ind w:firstLine="420"/>
      </w:pPr>
      <w:r>
        <w:rPr>
          <w:rFonts w:ascii="Times New Roman" w:hAnsi="Times New Roman" w:eastAsia="宋体"/>
          <w:color w:val="000000"/>
        </w:rPr>
        <w:t>[95] Wang, R. Y., &amp; Strong, D. M. (1996). Beyond accuracy: What data quality means to data consumers. Journal of Management Information Systems, 12(4), 5-33.</w:t>
      </w:r>
    </w:p>
    <w:p>
      <w:pPr>
        <w:spacing w:line="360" w:lineRule="auto" w:after="0" w:before="0"/>
        <w:ind w:firstLine="420"/>
      </w:pPr>
      <w:r>
        <w:rPr>
          <w:rFonts w:ascii="Times New Roman" w:hAnsi="Times New Roman" w:eastAsia="宋体"/>
          <w:color w:val="000000"/>
        </w:rPr>
        <w:t>[96] Moore, M. H. (1995). Creating public value: Strategic management in government. Cambridge, MA: Harvard University Press.</w:t>
      </w:r>
    </w:p>
    <w:p>
      <w:pPr>
        <w:spacing w:line="360" w:lineRule="auto" w:after="0" w:before="0"/>
        <w:ind w:firstLine="420"/>
      </w:pPr>
      <w:r>
        <w:rPr>
          <w:rFonts w:ascii="Times New Roman" w:hAnsi="Times New Roman" w:eastAsia="宋体"/>
          <w:color w:val="000000"/>
        </w:rPr>
        <w:t>[97] Bryson, J. M., Crosby, B. C., &amp; Bloomberg, L. (2014). Public value governance: Moving beyond traditional public administration and the new public management. Public Administration Review, 74(4), 445-456.</w:t>
      </w:r>
    </w:p>
    <w:p>
      <w:pPr>
        <w:spacing w:line="360" w:lineRule="auto" w:after="0" w:before="0"/>
        <w:ind w:firstLine="420"/>
      </w:pPr>
      <w:r>
        <w:rPr>
          <w:rFonts w:ascii="Times New Roman" w:hAnsi="Times New Roman" w:eastAsia="宋体"/>
          <w:color w:val="000000"/>
        </w:rPr>
        <w:t>[98] O'Flynn, J. (2007). From new public management to public value: Paradigmatic change and managerial implications. Australian Journal of Public Administration, 66(3), 353-366.</w:t>
      </w:r>
    </w:p>
    <w:p>
      <w:pPr>
        <w:spacing w:line="360" w:lineRule="auto" w:after="0" w:before="0"/>
        <w:ind w:firstLine="420"/>
      </w:pPr>
      <w:r>
        <w:rPr>
          <w:rFonts w:ascii="Times New Roman" w:hAnsi="Times New Roman" w:eastAsia="宋体"/>
          <w:color w:val="000000"/>
        </w:rPr>
        <w:t>[99] Jetzek, T., Avital, M., &amp; Bjørn-Andersen, N. (2014). Data-driven innovation through open government data. Journal of Theoretical and Applied Electronic Commerce Research, 9(2), 100-120.</w:t>
      </w:r>
    </w:p>
    <w:p>
      <w:pPr>
        <w:spacing w:line="360" w:lineRule="auto" w:after="0" w:before="0"/>
        <w:ind w:firstLine="420"/>
      </w:pPr>
      <w:r>
        <w:rPr>
          <w:rFonts w:ascii="Times New Roman" w:hAnsi="Times New Roman" w:eastAsia="宋体"/>
          <w:color w:val="000000"/>
        </w:rPr>
        <w:t>[100] Attard, J., Orlandi, F., Scerri, S., &amp; Auer, S. (2015). A systematic review of open government data initiatives. Government Information Quarterly, 32(4), 399-418.</w:t>
      </w:r>
    </w:p>
    <w:p>
      <w:pPr>
        <w:spacing w:line="360" w:lineRule="auto" w:after="0" w:before="0"/>
        <w:ind w:firstLine="420"/>
      </w:pPr>
      <w:r>
        <w:rPr>
          <w:rFonts w:ascii="Times New Roman" w:hAnsi="Times New Roman" w:eastAsia="宋体"/>
          <w:color w:val="000000"/>
        </w:rPr>
        <w:t>[101] Tornatzky, L. G., &amp; Fleischer, M. (1990). The processes of technological innovation. Lexington, MA: Lexington Books.</w:t>
      </w:r>
    </w:p>
    <w:p>
      <w:pPr>
        <w:spacing w:line="360" w:lineRule="auto" w:after="0" w:before="0"/>
        <w:ind w:firstLine="420"/>
      </w:pPr>
      <w:r>
        <w:rPr>
          <w:rFonts w:ascii="Times New Roman" w:hAnsi="Times New Roman" w:eastAsia="宋体"/>
          <w:color w:val="000000"/>
        </w:rPr>
        <w:t>[102] Ruijer, E., Grimmelikhuijsen, S., &amp; Meijer, A. (2017). Open data for democracy: Developing a theoretical framework for open data use. Government Information Quarterly, 34(3), 495-505.</w:t>
      </w:r>
    </w:p>
    <w:p>
      <w:pPr>
        <w:spacing w:line="360" w:lineRule="auto" w:after="0" w:before="0"/>
        <w:ind w:firstLine="420"/>
      </w:pPr>
      <w:r>
        <w:rPr>
          <w:rFonts w:ascii="Times New Roman" w:hAnsi="Times New Roman" w:eastAsia="宋体"/>
          <w:color w:val="000000"/>
        </w:rPr>
        <w:t>[103] Liu, S., Li, H., &amp; Wang, J. (2023). Exploring the determinants of open government data utilization: A mixed-methods approach. Government Information Quarterly, 40(1), 101-115.</w:t>
      </w:r>
    </w:p>
    <w:p>
      <w:pPr>
        <w:spacing w:line="360" w:lineRule="auto" w:after="0" w:before="0"/>
        <w:ind w:firstLine="420"/>
      </w:pPr>
      <w:r>
        <w:rPr>
          <w:rFonts w:ascii="Times New Roman" w:hAnsi="Times New Roman" w:eastAsia="宋体"/>
          <w:color w:val="000000"/>
        </w:rPr>
        <w:t>[104] Davies, T. (2010). Open data, democracy and public sector reform. PhD Dissertation, University of Oxford.</w:t>
      </w:r>
    </w:p>
    <w:p>
      <w:pPr>
        <w:spacing w:line="360" w:lineRule="auto" w:after="0" w:before="0"/>
        <w:ind w:firstLine="420"/>
      </w:pPr>
      <w:r>
        <w:rPr>
          <w:rFonts w:ascii="Times New Roman" w:hAnsi="Times New Roman" w:eastAsia="宋体"/>
          <w:color w:val="000000"/>
        </w:rPr>
        <w:t>[105] Kratz, J., &amp; Nurnberger, A. (2014). Open data and the linked data web: A glance back and ahead. Proceedings of the ACM International Conference on Digital Libraries, 1-4.</w:t>
      </w:r>
    </w:p>
    <w:p>
      <w:pPr>
        <w:spacing w:line="360" w:lineRule="auto" w:after="0" w:before="0"/>
        <w:ind w:firstLine="420"/>
      </w:pPr>
      <w:r>
        <w:rPr>
          <w:rFonts w:ascii="Times New Roman" w:hAnsi="Times New Roman" w:eastAsia="宋体"/>
          <w:color w:val="000000"/>
        </w:rPr>
        <w:t>[106] Lassinantti, J., &amp; Bergvall-Kåreborn, B. (2020). Open government data: Opportunities and challenges for SMEs. Journal of Business Research, 118, 225-234.</w:t>
      </w:r>
    </w:p>
    <w:p>
      <w:pPr>
        <w:spacing w:line="360" w:lineRule="auto" w:after="0" w:before="0"/>
        <w:ind w:firstLine="420"/>
      </w:pPr>
      <w:r>
        <w:rPr>
          <w:rFonts w:ascii="Times New Roman" w:hAnsi="Times New Roman" w:eastAsia="宋体"/>
          <w:color w:val="000000"/>
        </w:rPr>
        <w:t>[107] Yu, H., &amp; Robinson, D. G. (2012). The new ambiguity of "open government". UCLA Law Review Discourse, 59, 178-208.</w:t>
      </w:r>
    </w:p>
    <w:p>
      <w:pPr>
        <w:spacing w:line="360" w:lineRule="auto" w:after="0" w:before="0"/>
        <w:ind w:firstLine="420"/>
      </w:pPr>
      <w:r>
        <w:rPr>
          <w:rFonts w:ascii="Times New Roman" w:hAnsi="Times New Roman" w:eastAsia="宋体"/>
          <w:color w:val="000000"/>
        </w:rPr>
        <w:t>[108] Sieber, R. E., &amp; Johnson, P. A. (2015). Civic open data at a crossroads: Dominant models and current challenges. Government Information Quarterly, 32(3), 308-315.</w:t>
      </w:r>
    </w:p>
    <w:p>
      <w:pPr>
        <w:spacing w:line="360" w:lineRule="auto" w:after="0" w:before="0"/>
        <w:ind w:firstLine="420"/>
      </w:pPr>
      <w:r>
        <w:rPr>
          <w:rFonts w:ascii="Times New Roman" w:hAnsi="Times New Roman" w:eastAsia="宋体"/>
          <w:color w:val="000000"/>
        </w:rPr>
        <w:t>[109] Martin, C. B., Hepworth, M., &amp; Walby, K. (2020). Open data and social value: Concepts, evidence and policy. Policy &amp; Internet, 12(1), 1-18.</w:t>
      </w:r>
    </w:p>
    <w:p>
      <w:pPr>
        <w:spacing w:line="360" w:lineRule="auto" w:after="0" w:before="0"/>
        <w:ind w:firstLine="420"/>
      </w:pPr>
      <w:r>
        <w:rPr>
          <w:rFonts w:ascii="Times New Roman" w:hAnsi="Times New Roman" w:eastAsia="宋体"/>
          <w:color w:val="000000"/>
        </w:rPr>
        <w:t>[110] Stoker, G. (2006). Public value management: A new narrative for networked governance? The American Review of Public Administration, 36(1), 41-57.</w:t>
      </w:r>
    </w:p>
    <w:p>
      <w:pPr>
        <w:spacing w:line="360" w:lineRule="auto" w:after="0" w:before="0"/>
        <w:ind w:firstLine="420"/>
      </w:pPr>
      <w:r>
        <w:rPr>
          <w:rFonts w:ascii="Times New Roman" w:hAnsi="Times New Roman" w:eastAsia="宋体"/>
          <w:color w:val="000000"/>
        </w:rPr>
        <w:t>[111] Flynn, N. (1986). Performance measurement in public sector organizations. Public Money &amp; Management, 6(2), 29-34.</w:t>
      </w:r>
    </w:p>
    <w:p>
      <w:pPr>
        <w:spacing w:line="360" w:lineRule="auto" w:after="0" w:before="0"/>
        <w:ind w:firstLine="420"/>
      </w:pPr>
      <w:r>
        <w:rPr>
          <w:rFonts w:ascii="Times New Roman" w:hAnsi="Times New Roman" w:eastAsia="宋体"/>
          <w:color w:val="000000"/>
        </w:rPr>
        <w:t>[112] Pollitt, C. (1986). Performance measurement in the public services: Some political implications. London: National Consumer Council.</w:t>
      </w:r>
    </w:p>
    <w:p>
      <w:pPr>
        <w:spacing w:line="360" w:lineRule="auto" w:after="0" w:before="0"/>
        <w:ind w:firstLine="420"/>
      </w:pPr>
      <w:r>
        <w:rPr>
          <w:rFonts w:ascii="Times New Roman" w:hAnsi="Times New Roman" w:eastAsia="宋体"/>
          <w:color w:val="000000"/>
        </w:rPr>
        <w:t>[113] Barney, J. B., &amp; Nair, A. (1984). Performance evaluation in the public sector: A conceptual framework. Washington, DC: Urban Institute Press.</w:t>
      </w:r>
    </w:p>
    <w:p>
      <w:pPr>
        <w:spacing w:line="360" w:lineRule="auto" w:after="0" w:before="0"/>
        <w:ind w:firstLine="420"/>
      </w:pPr>
      <w:r>
        <w:rPr>
          <w:rFonts w:ascii="Times New Roman" w:hAnsi="Times New Roman" w:eastAsia="宋体"/>
          <w:color w:val="000000"/>
        </w:rPr>
        <w:t>[114] Kalampokis, E., Tambouris, E., &amp; Tarabanis, K. (2011). A classification scheme for open government data: Towards linking decentralized data. International Journal of Web Engineering and Technology, 6(3), 266-285.</w:t>
      </w:r>
    </w:p>
    <w:p>
      <w:pPr>
        <w:spacing w:line="360" w:lineRule="auto" w:after="0" w:before="0"/>
        <w:ind w:firstLine="420"/>
      </w:pPr>
      <w:r>
        <w:rPr>
          <w:rFonts w:ascii="Times New Roman" w:hAnsi="Times New Roman" w:eastAsia="宋体"/>
          <w:color w:val="000000"/>
        </w:rPr>
        <w:t>[115] Zuiderwijk, A., &amp; Janssen, M. (2014). Open data policies, their implementation and impact: A framework for comparison. Government Information Quarterly, 31(1), 17-29.</w:t>
      </w:r>
    </w:p>
    <w:p>
      <w:pPr>
        <w:spacing w:line="360" w:lineRule="auto" w:after="0" w:before="0"/>
        <w:ind w:firstLine="420"/>
      </w:pPr>
      <w:r>
        <w:rPr>
          <w:rFonts w:ascii="Times New Roman" w:hAnsi="Times New Roman" w:eastAsia="宋体"/>
          <w:color w:val="000000"/>
        </w:rPr>
        <w:t>[116] Kitchin, R. (2014). The data revolution: Big data, open data, data infrastructures and their consequences. London: Sage Publications.</w:t>
      </w:r>
    </w:p>
    <w:p>
      <w:pPr>
        <w:spacing w:line="360" w:lineRule="auto" w:after="0" w:before="0"/>
        <w:ind w:firstLine="420"/>
      </w:pPr>
      <w:r>
        <w:rPr>
          <w:rFonts w:ascii="Times New Roman" w:hAnsi="Times New Roman" w:eastAsia="宋体"/>
          <w:color w:val="000000"/>
        </w:rPr>
        <w:t>[117] Davies, T. G., &amp; Bawa, Z. A. (2012). The promises and perils of open government data (OGD). Journal of Community Informatics, 8(2), 1-10.</w:t>
      </w:r>
    </w:p>
    <w:p>
      <w:pPr>
        <w:spacing w:line="360" w:lineRule="auto" w:after="0" w:before="0"/>
        <w:ind w:firstLine="420"/>
      </w:pPr>
      <w:r>
        <w:rPr>
          <w:rFonts w:ascii="Times New Roman" w:hAnsi="Times New Roman" w:eastAsia="宋体"/>
          <w:color w:val="000000"/>
        </w:rPr>
        <w:t>[118] Veljkovic, N., Bogdanovic-Dinic, S., &amp; Stoimenov, L. (2014). Benchmarking open government: An open data perspective. Government Information Quarterly, 31(2), 278-290.</w:t>
      </w:r>
    </w:p>
    <w:p>
      <w:pPr>
        <w:spacing w:line="360" w:lineRule="auto" w:after="0" w:before="0"/>
        <w:ind w:firstLine="420"/>
      </w:pPr>
      <w:r>
        <w:rPr>
          <w:rFonts w:ascii="Times New Roman" w:hAnsi="Times New Roman" w:eastAsia="宋体"/>
          <w:color w:val="000000"/>
        </w:rPr>
        <w:t>[119] Martin, S., Foulonneau, M., Turki, S., &amp; Ihadjadene, M. (2013). Risk analysis to overcome barriers to open data. Electronic Journal of e-Government, 11(1), 1-15.</w:t>
      </w:r>
    </w:p>
    <w:p>
      <w:pPr>
        <w:spacing w:line="360" w:lineRule="auto" w:after="0" w:before="0"/>
        <w:ind w:firstLine="420"/>
      </w:pPr>
      <w:r>
        <w:rPr>
          <w:rFonts w:ascii="Times New Roman" w:hAnsi="Times New Roman" w:eastAsia="宋体"/>
          <w:color w:val="000000"/>
        </w:rPr>
        <w:t>[120] Dawes, S. S., Vidiasova, L., &amp; Parkhimovich, O. (2016). Planning and designing open government data programs: An ecosystem approach. Government Information Quarterly, 33(1), 15-27.</w:t>
      </w:r>
    </w:p>
    <w:p>
      <w:pPr>
        <w:spacing w:line="360" w:lineRule="auto" w:after="0" w:before="0"/>
        <w:ind w:firstLine="420"/>
      </w:pPr>
      <w:r>
        <w:rPr>
          <w:rFonts w:ascii="Times New Roman" w:hAnsi="Times New Roman" w:eastAsia="宋体"/>
          <w:color w:val="000000"/>
        </w:rPr>
        <w:t>[121] Hossain, M. A., Dwivedi, Y. K., &amp; Rana, N. P. (2016). State-of-the-art of open data research: A systematic literature review. Proceedings of the 25th European Conference on Information Systems, 1-16.</w:t>
      </w:r>
    </w:p>
    <w:p>
      <w:pPr>
        <w:spacing w:line="360" w:lineRule="auto" w:after="0" w:before="0"/>
        <w:ind w:firstLine="420"/>
      </w:pPr>
      <w:r>
        <w:rPr>
          <w:rFonts w:ascii="Times New Roman" w:hAnsi="Times New Roman" w:eastAsia="宋体"/>
          <w:color w:val="000000"/>
        </w:rPr>
        <w:t>[122] Concha, G., &amp; Naser, A. (2012). Government open data initiatives in Latin America. Washington, DC: Inter-American Development Bank.</w:t>
      </w:r>
    </w:p>
    <w:p>
      <w:pPr>
        <w:spacing w:line="360" w:lineRule="auto" w:after="0" w:before="0"/>
        <w:ind w:firstLine="420"/>
      </w:pPr>
      <w:r>
        <w:rPr>
          <w:rFonts w:ascii="Times New Roman" w:hAnsi="Times New Roman" w:eastAsia="宋体"/>
          <w:color w:val="000000"/>
        </w:rPr>
        <w:t>[123] Mergel, I., Schweik, C. M., &amp; Fountain, J. E. (2014). The transformational effect of Web 2.0 technologies on government. Public Administration Review, 74(2), 191-199.</w:t>
      </w:r>
    </w:p>
    <w:p>
      <w:pPr>
        <w:spacing w:line="360" w:lineRule="auto" w:after="0" w:before="0"/>
        <w:ind w:firstLine="420"/>
      </w:pPr>
      <w:r>
        <w:rPr>
          <w:rFonts w:ascii="Times New Roman" w:hAnsi="Times New Roman" w:eastAsia="宋体"/>
          <w:color w:val="000000"/>
        </w:rPr>
        <w:t>[124] Susha, I., Zuiderwijk, A., Janssen, M., &amp; Grönlund, Å. (2015). Benchmarking open government: An open data perspective. Government Information Quarterly, 32(4), 473-483.</w:t>
      </w:r>
    </w:p>
    <w:p>
      <w:pPr>
        <w:spacing w:line="360" w:lineRule="auto" w:after="0" w:before="0"/>
        <w:ind w:firstLine="420"/>
      </w:pPr>
      <w:r>
        <w:rPr>
          <w:rFonts w:ascii="Times New Roman" w:hAnsi="Times New Roman" w:eastAsia="宋体"/>
          <w:color w:val="000000"/>
        </w:rPr>
        <w:t>[125] Dawes, S. S., &amp; Helbig, N. (2015). Information strategies for open government: Challenges and prospects for deriving public value from government transparency. Proceedings of the 16th Annual International Conference on Digital Government Research, 1-10.</w:t>
      </w:r>
    </w:p>
    <w:p>
      <w:pPr>
        <w:spacing w:line="360" w:lineRule="auto" w:after="0" w:before="0"/>
        <w:ind w:firstLine="420"/>
      </w:pPr>
      <w:r>
        <w:rPr>
          <w:rFonts w:ascii="Times New Roman" w:hAnsi="Times New Roman" w:eastAsia="宋体"/>
          <w:color w:val="000000"/>
        </w:rPr>
        <w:t>[126] Huijboom, N., &amp; Van den Broek, T. (2011). Open data: An international comparison of strategies. European Journal of ePractice, 12(1), 1-13.</w:t>
      </w:r>
    </w:p>
    <w:p>
      <w:pPr>
        <w:spacing w:line="360" w:lineRule="auto" w:after="0" w:before="0"/>
        <w:ind w:firstLine="420"/>
      </w:pPr>
      <w:r>
        <w:rPr>
          <w:rFonts w:ascii="Times New Roman" w:hAnsi="Times New Roman" w:eastAsia="宋体"/>
          <w:color w:val="000000"/>
        </w:rPr>
        <w:t>[127] Janssen, K. (2011). The influence of the PSI directive on open government data: An overview of recent developments. Government Information Quarterly, 28(4), 446-456.</w:t>
      </w:r>
    </w:p>
    <w:p>
      <w:pPr>
        <w:spacing w:line="360" w:lineRule="auto" w:after="0" w:before="0"/>
        <w:ind w:firstLine="420"/>
      </w:pPr>
      <w:r>
        <w:rPr>
          <w:rFonts w:ascii="Times New Roman" w:hAnsi="Times New Roman" w:eastAsia="宋体"/>
          <w:color w:val="000000"/>
        </w:rPr>
        <w:t>[128] Veljković, N., Bogdanović-Dinić, S., &amp; Stoimenov, L. (2014). Benchmarking open government: An open data perspective. Government Information Quarterly, 31(2), 278-290.</w:t>
      </w:r>
    </w:p>
    <w:p>
      <w:pPr>
        <w:spacing w:line="360" w:lineRule="auto" w:after="0" w:before="0"/>
        <w:ind w:firstLine="420"/>
      </w:pPr>
      <w:r>
        <w:rPr>
          <w:rFonts w:ascii="Times New Roman" w:hAnsi="Times New Roman" w:eastAsia="宋体"/>
          <w:color w:val="000000"/>
        </w:rPr>
        <w:t>[129] Attard, J., Orlandi, F., Scerri, S., &amp; Auer, S. (2015). A systematic review of open government data initiatives. Government Information Quarterly, 32(4), 399-418.</w:t>
      </w:r>
    </w:p>
    <w:p>
      <w:pPr>
        <w:spacing w:line="360" w:lineRule="auto" w:after="0" w:before="0"/>
        <w:ind w:firstLine="420"/>
      </w:pPr>
      <w:r>
        <w:rPr>
          <w:rFonts w:ascii="Times New Roman" w:hAnsi="Times New Roman" w:eastAsia="宋体"/>
          <w:color w:val="000000"/>
        </w:rPr>
        <w:t>[130] Wirtz, B. W., &amp; Birkmeyer, S. (2015). Open government: Origin, development, and conceptual perspectives. International Journal of Public Administration, 38(5), 381-396.</w:t>
      </w:r>
    </w:p>
    <w:p>
      <w:pPr>
        <w:spacing w:line="360" w:lineRule="auto" w:after="0" w:before="0"/>
        <w:ind w:firstLine="420"/>
      </w:pPr>
      <w:r>
        <w:rPr>
          <w:rFonts w:ascii="Times New Roman" w:hAnsi="Times New Roman" w:eastAsia="宋体"/>
          <w:color w:val="000000"/>
        </w:rPr>
        <w:t>[131] Conradie, P., &amp; Choenni, S. (2014). On the barriers for local government releasing open data. Government Information Quarterly, 31(Suppl 1), S10-S17.</w:t>
      </w:r>
    </w:p>
    <w:p>
      <w:pPr>
        <w:spacing w:line="360" w:lineRule="auto" w:after="0" w:before="0"/>
        <w:ind w:firstLine="420"/>
      </w:pPr>
      <w:r>
        <w:rPr>
          <w:rFonts w:ascii="Times New Roman" w:hAnsi="Times New Roman" w:eastAsia="宋体"/>
          <w:color w:val="000000"/>
        </w:rPr>
        <w:t>[132] Zuiderwijk, A., Janssen, M., &amp; Davis, C. (2014). Innovation with open data: Essential elements of open data ecosystems. Information Polity, 19(1-2), 17-33.</w:t>
      </w:r>
    </w:p>
    <w:p>
      <w:pPr>
        <w:spacing w:line="360" w:lineRule="auto" w:after="0" w:before="0"/>
        <w:ind w:firstLine="420"/>
      </w:pPr>
      <w:r>
        <w:rPr>
          <w:rFonts w:ascii="Times New Roman" w:hAnsi="Times New Roman" w:eastAsia="宋体"/>
          <w:color w:val="000000"/>
        </w:rPr>
        <w:t>[133] Charalabidis, Y., Zuiderwijk, A., Alexopoulos, C., Janssen, M., Lampoltshammer, T., &amp; Ferro, E. (2018). The multiple life cycles of open data creation and use. Computer, 51(2), 78-81.</w:t>
      </w:r>
    </w:p>
    <w:p>
      <w:pPr>
        <w:spacing w:line="360" w:lineRule="auto" w:after="0" w:before="0"/>
        <w:ind w:firstLine="420"/>
      </w:pPr>
      <w:r>
        <w:rPr>
          <w:rFonts w:ascii="Times New Roman" w:hAnsi="Times New Roman" w:eastAsia="宋体"/>
          <w:color w:val="000000"/>
        </w:rPr>
        <w:t>[134] Alexopoulos, C., Zuiderwijk, A., Charalabidis, Y., Loukis, E., &amp; Janssen, M. (2021). How COVID-19 changed the open data landscape: Evidence from the Open Data ecosystem. Government Information Quarterly, 38(1), 101-115.</w:t>
      </w:r>
    </w:p>
    <w:p>
      <w:pPr>
        <w:spacing w:line="360" w:lineRule="auto" w:after="0" w:before="0"/>
        <w:ind w:firstLine="420"/>
      </w:pPr>
      <w:r>
        <w:rPr>
          <w:rFonts w:ascii="Times New Roman" w:hAnsi="Times New Roman" w:eastAsia="宋体"/>
          <w:color w:val="000000"/>
        </w:rPr>
        <w:t>[135] Ranerup, A., &amp; Henriksson, A. (2021). Value creation through open data: A systematic literature review. Government Information Quarterly, 38(1), 101-116.</w:t>
      </w:r>
    </w:p>
    <w:p>
      <w:pPr>
        <w:spacing w:line="360" w:lineRule="auto" w:after="0" w:before="0"/>
        <w:ind w:firstLine="420"/>
      </w:pPr>
      <w:r>
        <w:rPr>
          <w:rFonts w:ascii="Times New Roman" w:hAnsi="Times New Roman" w:eastAsia="宋体"/>
          <w:color w:val="000000"/>
        </w:rPr>
        <w:t>[136] McBride, K., Aavik, G., Kalvet, T., &amp; Krimmer, R. (2019). How does open government data driven co-creation occur? Government Information Quarterly, 36(4), 101-112.</w:t>
      </w:r>
    </w:p>
    <w:p>
      <w:pPr>
        <w:spacing w:line="360" w:lineRule="auto" w:after="0" w:before="0"/>
        <w:ind w:firstLine="420"/>
      </w:pPr>
      <w:r>
        <w:rPr>
          <w:rFonts w:ascii="Times New Roman" w:hAnsi="Times New Roman" w:eastAsia="宋体"/>
          <w:color w:val="000000"/>
        </w:rPr>
        <w:t>[137] Jetzek, T. (2016). Sustainable value creation through open government data. International Journal of Public Sector Management, 29(7), 689-705.</w:t>
      </w:r>
    </w:p>
    <w:p>
      <w:pPr>
        <w:spacing w:line="360" w:lineRule="auto" w:after="0" w:before="0"/>
        <w:ind w:firstLine="420"/>
      </w:pPr>
      <w:r>
        <w:rPr>
          <w:rFonts w:ascii="Times New Roman" w:hAnsi="Times New Roman" w:eastAsia="宋体"/>
          <w:color w:val="000000"/>
        </w:rPr>
        <w:t>[138] Clarke, A., &amp; Margetts, H. (2014). Governments and citizens getting to know each other? Open, closed, and big data in public management reform. Policy &amp; Internet, 6(4), 393-406.</w:t>
      </w:r>
    </w:p>
    <w:p>
      <w:pPr>
        <w:spacing w:line="360" w:lineRule="auto" w:after="0" w:before="0"/>
        <w:ind w:firstLine="420"/>
      </w:pPr>
      <w:r>
        <w:rPr>
          <w:rFonts w:ascii="Times New Roman" w:hAnsi="Times New Roman" w:eastAsia="宋体"/>
          <w:color w:val="000000"/>
        </w:rPr>
        <w:t>[139] Larsson, A. O. (2015). Open data: A study on how Swedish government agencies interpret the concept. Journal of Information Science, 41(6), 777-785.</w:t>
      </w:r>
    </w:p>
    <w:p>
      <w:pPr>
        <w:spacing w:line="360" w:lineRule="auto" w:after="0" w:before="0"/>
        <w:ind w:firstLine="420"/>
      </w:pPr>
      <w:r>
        <w:rPr>
          <w:rFonts w:ascii="Times New Roman" w:hAnsi="Times New Roman" w:eastAsia="宋体"/>
          <w:color w:val="000000"/>
        </w:rPr>
        <w:t>[140] Grimmelikhuijsen, S. G., &amp; Feeney, M. K. (2017). Developing and testing an integrative framework for open government adoption. Public Administration Review, 77(4), 579-590.</w:t>
      </w:r>
    </w:p>
    <w:p>
      <w:pPr>
        <w:spacing w:line="360" w:lineRule="auto" w:after="0" w:before="0"/>
        <w:ind w:firstLine="420"/>
      </w:pPr>
      <w:r>
        <w:rPr>
          <w:rFonts w:ascii="Times New Roman" w:hAnsi="Times New Roman" w:eastAsia="宋体"/>
          <w:color w:val="000000"/>
        </w:rPr>
        <w:t>[141] Yang, T. M., &amp; Wu, Y. J. (2016). Exploring the determinants of cross-boundary data sharing in the public sector: An e-government case study in Taiwan. Government Information Quarterly, 33(3), 489-502.</w:t>
      </w:r>
    </w:p>
    <w:p>
      <w:pPr>
        <w:spacing w:line="360" w:lineRule="auto" w:after="0" w:before="0"/>
        <w:ind w:firstLine="420"/>
      </w:pPr>
      <w:r>
        <w:rPr>
          <w:rFonts w:ascii="Times New Roman" w:hAnsi="Times New Roman" w:eastAsia="宋体"/>
          <w:color w:val="000000"/>
        </w:rPr>
        <w:t>[142] Parycek, P., Sachs, M., &amp; Sedy, F. (2014). Open government data implementation evaluation. Journal of theoretical and applied electronic commerce research, 9(2), 121-135.</w:t>
      </w:r>
    </w:p>
    <w:p>
      <w:pPr>
        <w:spacing w:line="360" w:lineRule="auto" w:after="0" w:before="0"/>
        <w:ind w:firstLine="420"/>
      </w:pPr>
      <w:r>
        <w:rPr>
          <w:rFonts w:ascii="Times New Roman" w:hAnsi="Times New Roman" w:eastAsia="宋体"/>
          <w:color w:val="000000"/>
        </w:rPr>
        <w:t>[143] Kassen, M. (2013). A promising phenomenon of open data: A case study of the Chicago open data project. Government Information Quarterly, 30(4), 508-513.</w:t>
      </w:r>
    </w:p>
    <w:p>
      <w:pPr>
        <w:spacing w:line="360" w:lineRule="auto" w:after="0" w:before="0"/>
        <w:ind w:firstLine="420"/>
      </w:pPr>
      <w:r>
        <w:rPr>
          <w:rFonts w:ascii="Times New Roman" w:hAnsi="Times New Roman" w:eastAsia="宋体"/>
          <w:color w:val="000000"/>
        </w:rPr>
        <w:t>[144] Robinson, D. G., Yu, H., Zellman, A., &amp; Felipe, V. (2009). Government data and the invisible hand. Yale Journal of Law and Technology, 11, 160-175.</w:t>
      </w:r>
    </w:p>
    <w:p>
      <w:pPr>
        <w:spacing w:line="360" w:lineRule="auto" w:after="0" w:before="0"/>
        <w:ind w:firstLine="420"/>
      </w:pPr>
      <w:r>
        <w:rPr>
          <w:rFonts w:ascii="Times New Roman" w:hAnsi="Times New Roman" w:eastAsia="宋体"/>
          <w:color w:val="000000"/>
        </w:rPr>
        <w:t>[145] Shadbolt, N., O'Hara, K., Berners-Lee, T., Gibbins, N., Glaser, H., Hall, W., &amp; schraefel, m. c. (2012). Linked open government data: Lessons from data.gov.uk. IEEE Intelligent Systems, 27(3), 16-24.</w:t>
      </w:r>
    </w:p>
    <w:p>
      <w:pPr>
        <w:spacing w:line="360" w:lineRule="auto" w:after="0" w:before="0"/>
        <w:ind w:firstLine="420"/>
      </w:pPr>
      <w:r>
        <w:rPr>
          <w:rFonts w:ascii="Times New Roman" w:hAnsi="Times New Roman" w:eastAsia="宋体"/>
          <w:color w:val="000000"/>
        </w:rPr>
        <w:t>[146] Bertot, J. C., McClure, C. R., &amp; Owens, K. A. (2010). Annual report: The state of federal information technology resources management. Washington, DC: National Commission on Libraries and Information Science.</w:t>
      </w:r>
    </w:p>
    <w:p>
      <w:pPr>
        <w:spacing w:line="360" w:lineRule="auto" w:after="0" w:before="0"/>
        <w:ind w:firstLine="420"/>
      </w:pPr>
      <w:r>
        <w:rPr>
          <w:rFonts w:ascii="Times New Roman" w:hAnsi="Times New Roman" w:eastAsia="宋体"/>
          <w:color w:val="000000"/>
        </w:rPr>
        <w:t>[147] Sayogo, D. S., &amp; Pardo, T. A. (2013). Exploring the determinants of scientific data sharing: Understanding the motivation to publish research data. Government Information Quarterly, 30(Suppl 1), S19-S31.</w:t>
      </w:r>
    </w:p>
    <w:p>
      <w:pPr>
        <w:spacing w:line="360" w:lineRule="auto" w:after="0" w:before="0"/>
        <w:ind w:firstLine="420"/>
      </w:pPr>
      <w:r>
        <w:rPr>
          <w:rFonts w:ascii="Times New Roman" w:hAnsi="Times New Roman" w:eastAsia="宋体"/>
          <w:color w:val="000000"/>
        </w:rPr>
        <w:t>[148] Kucera, J., Chlapek, D., &amp; Klímek, J. (2013). Benefits and risks of open government data. Journal of Systems Integration, 4(1), 30-41.</w:t>
      </w:r>
    </w:p>
    <w:p>
      <w:pPr>
        <w:spacing w:line="360" w:lineRule="auto" w:after="0" w:before="0"/>
        <w:ind w:firstLine="420"/>
      </w:pPr>
      <w:r>
        <w:rPr>
          <w:rFonts w:ascii="Times New Roman" w:hAnsi="Times New Roman" w:eastAsia="宋体"/>
          <w:color w:val="000000"/>
        </w:rPr>
        <w:t>[149] Linders, D., Liao, S. P., &amp; Wang, C. M. (2012). Proactive e-government: Civic engagement and social media as a feedback loop. Proceedings of the 13th Annual International Conference on Digital Government Research, 163-171.</w:t>
      </w:r>
    </w:p>
    <w:p>
      <w:pPr>
        <w:spacing w:line="360" w:lineRule="auto" w:after="0" w:before="0"/>
        <w:ind w:firstLine="420"/>
      </w:pPr>
      <w:r>
        <w:rPr>
          <w:rFonts w:ascii="Times New Roman" w:hAnsi="Times New Roman" w:eastAsia="宋体"/>
          <w:color w:val="000000"/>
        </w:rPr>
        <w:t>[150] Feeney, M. K., &amp; Welch, E. W. (2014). What's governance got to do with it? Examining the role of state open data portals. Washington, DC: IBM Center for The Business of Government.</w:t>
      </w:r>
    </w:p>
    <w:p>
      <w:pPr>
        <w:spacing w:line="360" w:lineRule="auto" w:after="0" w:before="0"/>
        <w:ind w:firstLine="420"/>
      </w:pPr>
      <w:r>
        <w:rPr>
          <w:rFonts w:ascii="Times New Roman" w:hAnsi="Times New Roman" w:eastAsia="宋体"/>
          <w:color w:val="000000"/>
        </w:rPr>
        <w:t>[151] Nam, T. (2012). Suggesting frameworks of citizen-sourcing via Government 2.0. Government Information Quarterly, 29(1), 12-20.</w:t>
      </w:r>
    </w:p>
    <w:p>
      <w:pPr>
        <w:spacing w:line="360" w:lineRule="auto" w:after="0" w:before="0"/>
        <w:ind w:firstLine="420"/>
      </w:pPr>
      <w:r>
        <w:rPr>
          <w:rFonts w:ascii="Times New Roman" w:hAnsi="Times New Roman" w:eastAsia="宋体"/>
          <w:color w:val="000000"/>
        </w:rPr>
        <w:t>[152] Helbig, N., Cresswell, A. M., Burke, G. B., &amp; Luna-Reyes, L. F. (2012). The dynamics of opening government data. Center for Technology in Government, 1-60.</w:t>
      </w:r>
    </w:p>
    <w:p>
      <w:pPr>
        <w:spacing w:line="360" w:lineRule="auto" w:after="0" w:before="0"/>
        <w:ind w:firstLine="420"/>
      </w:pPr>
      <w:r>
        <w:rPr>
          <w:rFonts w:ascii="Times New Roman" w:hAnsi="Times New Roman" w:eastAsia="宋体"/>
          <w:color w:val="000000"/>
        </w:rPr>
        <w:t>[153] Safarov, I. (2019). Open government data: A comparative study on policy, politics, and performance. PhD Dissertation, Utrecht University.</w:t>
      </w:r>
    </w:p>
    <w:p>
      <w:pPr>
        <w:spacing w:line="360" w:lineRule="auto" w:after="0" w:before="0"/>
        <w:ind w:firstLine="420"/>
      </w:pPr>
      <w:r>
        <w:rPr>
          <w:rFonts w:ascii="Times New Roman" w:hAnsi="Times New Roman" w:eastAsia="宋体"/>
          <w:color w:val="000000"/>
        </w:rPr>
        <w:t>[154] Craglia, M. (2018). Artificial intelligence: A strategic perspective. JRC Science for Policy Report, 1-40.</w:t>
      </w:r>
    </w:p>
    <w:p>
      <w:pPr>
        <w:spacing w:line="360" w:lineRule="auto" w:after="0" w:before="0"/>
        <w:ind w:firstLine="420"/>
      </w:pPr>
      <w:r>
        <w:rPr>
          <w:rFonts w:ascii="Times New Roman" w:hAnsi="Times New Roman" w:eastAsia="宋体"/>
          <w:color w:val="000000"/>
        </w:rPr>
        <w:t>[155] Young, A., &amp; Verhulst, S. (2016). The global impact of open data: Key findings from detailed case studies around the world. New York: O'Reilly Media.</w:t>
      </w:r>
    </w:p>
    <w:p>
      <w:pPr>
        <w:spacing w:line="360" w:lineRule="auto" w:after="0" w:before="0"/>
        <w:ind w:firstLine="420"/>
      </w:pPr>
      <w:r>
        <w:rPr>
          <w:rFonts w:ascii="Times New Roman" w:hAnsi="Times New Roman" w:eastAsia="宋体"/>
          <w:color w:val="000000"/>
        </w:rPr>
        <w:t>[156] McBride, K., Aavik, G., Kalvet, T., &amp; Krimmer, R. (2019). Co-creation in open data: Exploring the role of government. Proceedings of the 20th Annual International Conference on Digital Government Research, 1-10.</w:t>
      </w:r>
    </w:p>
    <w:p>
      <w:pPr>
        <w:spacing w:line="360" w:lineRule="auto" w:after="0" w:before="0"/>
        <w:ind w:firstLine="420"/>
      </w:pPr>
      <w:r>
        <w:rPr>
          <w:rFonts w:ascii="Times New Roman" w:hAnsi="Times New Roman" w:eastAsia="宋体"/>
          <w:color w:val="000000"/>
        </w:rPr>
        <w:t>[157] Foulonneau, M., Turki, S., Ihadjadene, M., &amp; Martin, S. (2014). Open data in government: How to publish open data. CEFRIO Research Report, 1-80.</w:t>
      </w:r>
    </w:p>
    <w:p>
      <w:pPr>
        <w:spacing w:line="360" w:lineRule="auto" w:after="0" w:before="0"/>
        <w:ind w:firstLine="420"/>
      </w:pPr>
      <w:r>
        <w:rPr>
          <w:rFonts w:ascii="Times New Roman" w:hAnsi="Times New Roman" w:eastAsia="宋体"/>
          <w:color w:val="000000"/>
        </w:rPr>
        <w:t>[158] Susha, I., &amp; Grönlund, Å. (2014). Context clues in the open government data puzzle: A cognitive frame approach. Proceedings of the 15th Annual International Conference on Digital Government Research, 1-9.</w:t>
      </w:r>
    </w:p>
    <w:p>
      <w:pPr>
        <w:spacing w:line="360" w:lineRule="auto" w:after="0" w:before="0"/>
        <w:ind w:firstLine="420"/>
      </w:pPr>
      <w:r>
        <w:rPr>
          <w:rFonts w:ascii="Times New Roman" w:hAnsi="Times New Roman" w:eastAsia="宋体"/>
          <w:color w:val="000000"/>
        </w:rPr>
        <w:t>[159] Peled, A. (2011). When transparency and collaboration collide: The USA open data program. Journal of the American Society for Information Science and Technology, 62(11), 2085-2094.</w:t>
      </w:r>
    </w:p>
    <w:p>
      <w:pPr>
        <w:spacing w:line="360" w:lineRule="auto" w:after="0" w:before="0"/>
        <w:ind w:firstLine="420"/>
      </w:pPr>
      <w:r>
        <w:rPr>
          <w:rFonts w:ascii="Times New Roman" w:hAnsi="Times New Roman" w:eastAsia="宋体"/>
          <w:color w:val="000000"/>
        </w:rPr>
        <w:t>[160] Dawes, S. S. (2010). Stewardship and usefulness: Policy principles for information-based transparency. Washington, DC: IBM Center for The Business of Government.</w:t>
      </w:r>
    </w:p>
    <w:p>
      <w:pPr>
        <w:spacing w:line="360" w:lineRule="auto" w:after="0" w:before="0"/>
        <w:ind w:firstLine="420"/>
      </w:pPr>
      <w:r>
        <w:rPr>
          <w:rFonts w:ascii="Times New Roman" w:hAnsi="Times New Roman" w:eastAsia="宋体"/>
          <w:color w:val="000000"/>
        </w:rPr>
        <w:t>[161] Gil-Garcia, J. R., Dawes, S. S., &amp; Pardo, T. A. (2010). Digital government and public management research: Finding the crossroads. Proceedings of the 11th Annual International Conference on Digital Government Research, 1-8.</w:t>
      </w:r>
    </w:p>
    <w:p>
      <w:pPr>
        <w:spacing w:line="360" w:lineRule="auto" w:after="0" w:before="0"/>
        <w:ind w:firstLine="420"/>
      </w:pPr>
      <w:r>
        <w:rPr>
          <w:rFonts w:ascii="Times New Roman" w:hAnsi="Times New Roman" w:eastAsia="宋体"/>
          <w:color w:val="000000"/>
        </w:rPr>
        <w:t>[162] Lee, G., &amp; Kwak, Y. H. (2012). An open government maturity model for social media-based public engagement. Government Information Quarterly, 29(4), 492-503.</w:t>
      </w:r>
    </w:p>
    <w:p>
      <w:pPr>
        <w:spacing w:line="360" w:lineRule="auto" w:after="0" w:before="0"/>
        <w:ind w:firstLine="420"/>
      </w:pPr>
      <w:r>
        <w:rPr>
          <w:rFonts w:ascii="Times New Roman" w:hAnsi="Times New Roman" w:eastAsia="宋体"/>
          <w:color w:val="000000"/>
        </w:rPr>
        <w:t>[163] Osimo, D. (2008). Web 2.0 in government: Why and how? JRC Scientific and Technical Reports, 1-40.</w:t>
      </w:r>
    </w:p>
    <w:p>
      <w:pPr>
        <w:spacing w:line="360" w:lineRule="auto" w:after="0" w:before="0"/>
        <w:ind w:firstLine="420"/>
      </w:pPr>
      <w:r>
        <w:rPr>
          <w:rFonts w:ascii="Times New Roman" w:hAnsi="Times New Roman" w:eastAsia="宋体"/>
          <w:color w:val="000000"/>
        </w:rPr>
        <w:t>[164] Brown, G. G. (2013). The open government directive: A social network analysis of the data.gov platform. PhD Dissertation, University of Maryland.</w:t>
      </w:r>
    </w:p>
    <w:p>
      <w:pPr>
        <w:spacing w:line="360" w:lineRule="auto" w:after="0" w:before="0"/>
        <w:ind w:firstLine="420"/>
      </w:pPr>
      <w:r>
        <w:rPr>
          <w:rFonts w:ascii="Times New Roman" w:hAnsi="Times New Roman" w:eastAsia="宋体"/>
          <w:color w:val="000000"/>
        </w:rPr>
        <w:t>[165] Ma, R. (2014). Open government and target-driven administration: Reinventing totalitarian control in China's local environmental governance. The China Journal, 71, 111-139.</w:t>
      </w:r>
    </w:p>
    <w:p>
      <w:pPr>
        <w:spacing w:line="360" w:lineRule="auto" w:after="0" w:before="0"/>
        <w:ind w:firstLine="420"/>
      </w:pPr>
      <w:r>
        <w:rPr>
          <w:rFonts w:ascii="Times New Roman" w:hAnsi="Times New Roman" w:eastAsia="宋体"/>
          <w:color w:val="000000"/>
        </w:rPr>
        <w:t>[166] Yang, T. M., Pardo, T. A., &amp; Wu, Y. J. (2014). How is information shared across government boundaries? Examining the governance of information integration. Government Information Quarterly, 31(3), 467-477.</w:t>
      </w:r>
    </w:p>
    <w:p>
      <w:pPr>
        <w:spacing w:line="360" w:lineRule="auto" w:after="0" w:before="0"/>
        <w:ind w:firstLine="420"/>
      </w:pPr>
      <w:r>
        <w:rPr>
          <w:rFonts w:ascii="Times New Roman" w:hAnsi="Times New Roman" w:eastAsia="宋体"/>
          <w:color w:val="000000"/>
        </w:rPr>
        <w:t>[167] Carter, L., &amp; Belanger, F. (2005). The utilization of e-government services: Citizen trust, innovation and acceptance factors. Information Systems Journal, 15(1), 5-25.</w:t>
      </w:r>
    </w:p>
    <w:p>
      <w:pPr>
        <w:spacing w:line="360" w:lineRule="auto" w:after="0" w:before="0"/>
        <w:ind w:firstLine="420"/>
      </w:pPr>
      <w:r>
        <w:rPr>
          <w:rFonts w:ascii="Times New Roman" w:hAnsi="Times New Roman" w:eastAsia="宋体"/>
          <w:color w:val="000000"/>
        </w:rPr>
        <w:t>[168] Linders, D. (2012). From e-government to we-government: Defining a typology for citizen coproduction in the age of social media. Government Information Quarterly, 29(4), 446-454.</w:t>
      </w:r>
    </w:p>
    <w:p>
      <w:pPr>
        <w:spacing w:line="360" w:lineRule="auto" w:after="0" w:before="0"/>
        <w:ind w:firstLine="420"/>
      </w:pPr>
      <w:r>
        <w:rPr>
          <w:rFonts w:ascii="Times New Roman" w:hAnsi="Times New Roman" w:eastAsia="宋体"/>
          <w:color w:val="000000"/>
        </w:rPr>
        <w:t>[169] Lember, V., Brandsen, T., &amp; Tõnurist, P. (2019). The potential impact of digital technologies on co-production and co-creation. Public Management Review, 21(11), 1665-1686.</w:t>
      </w:r>
    </w:p>
    <w:p>
      <w:pPr>
        <w:spacing w:line="360" w:lineRule="auto" w:after="0" w:before="0"/>
        <w:ind w:firstLine="420"/>
      </w:pPr>
      <w:r>
        <w:rPr>
          <w:rFonts w:ascii="Times New Roman" w:hAnsi="Times New Roman" w:eastAsia="宋体"/>
          <w:color w:val="000000"/>
        </w:rPr>
        <w:t>[170] Osborne, S. P., Radnor, Z., &amp; Strokosch, K. (2016). Co-production and the co-creation of value in public services: A suitable case for treatment? Public Management Review, 18(5), 639-653.</w:t>
      </w:r>
    </w:p>
    <w:p>
      <w:pPr>
        <w:spacing w:line="360" w:lineRule="auto" w:after="0" w:before="0"/>
        <w:ind w:firstLine="420"/>
      </w:pPr>
      <w:r>
        <w:rPr>
          <w:rFonts w:ascii="Times New Roman" w:hAnsi="Times New Roman" w:eastAsia="宋体"/>
          <w:color w:val="000000"/>
        </w:rPr>
        <w:t>[171] Bovaird, T., &amp; Loeffler, E. (2012). From engagement to co-production: The contribution of users and communities to outcomes of public services. Birmingham: University of Birmingham.</w:t>
      </w:r>
    </w:p>
    <w:p>
      <w:pPr>
        <w:spacing w:line="360" w:lineRule="auto" w:after="0" w:before="0"/>
        <w:ind w:firstLine="420"/>
      </w:pPr>
      <w:r>
        <w:rPr>
          <w:rFonts w:ascii="Times New Roman" w:hAnsi="Times New Roman" w:eastAsia="宋体"/>
          <w:color w:val="000000"/>
        </w:rPr>
        <w:t>[172] Voorberg, W. H., Bekkers, V. J., &amp; Tummers, L. G. (2015). A systematic review of co-creation and co-production: Embarking on the social innovation journey. Public Management Review, 17(9), 1333-1357.</w:t>
      </w:r>
    </w:p>
    <w:p>
      <w:pPr>
        <w:spacing w:line="360" w:lineRule="auto" w:after="0" w:before="0"/>
        <w:ind w:firstLine="420"/>
      </w:pPr>
      <w:r>
        <w:rPr>
          <w:rFonts w:ascii="Times New Roman" w:hAnsi="Times New Roman" w:eastAsia="宋体"/>
          <w:color w:val="000000"/>
        </w:rPr>
        <w:t>[173] Sorrentino, M., &amp; De Marco, M. (2013). Implementing e-government in developing countries: A case study of an Italian initiative in Argentina. Government Information Quarterly, 30(2), 193-201.</w:t>
      </w:r>
    </w:p>
    <w:p>
      <w:pPr>
        <w:spacing w:line="360" w:lineRule="auto" w:after="0" w:before="0"/>
        <w:ind w:firstLine="420"/>
      </w:pPr>
      <w:r>
        <w:rPr>
          <w:rFonts w:ascii="Times New Roman" w:hAnsi="Times New Roman" w:eastAsia="宋体"/>
          <w:color w:val="000000"/>
        </w:rPr>
        <w:t>[174] Chen, Y. C., &amp; Hsieh, T. C. (2014). Big data for digital government: Opportunities, challenges, and strategies. International Journal of Public Administration in the Digital Age, 1(1), 1-14.</w:t>
      </w:r>
    </w:p>
    <w:p>
      <w:pPr>
        <w:spacing w:line="360" w:lineRule="auto" w:after="0" w:before="0"/>
        <w:ind w:firstLine="420"/>
      </w:pPr>
      <w:r>
        <w:rPr>
          <w:rFonts w:ascii="Times New Roman" w:hAnsi="Times New Roman" w:eastAsia="宋体"/>
          <w:color w:val="000000"/>
        </w:rPr>
        <w:t>[175] Janssen, M., van der Voort, H., &amp; Wimmer, M. A. (2015). Big and open linked data (BOLD) in government: A challenge to transparency and privacy? Government Information Quarterly, 32(4), 363-368.</w:t>
      </w:r>
    </w:p>
    <w:p>
      <w:pPr>
        <w:spacing w:line="360" w:lineRule="auto" w:after="0" w:before="0"/>
        <w:ind w:firstLine="420"/>
      </w:pPr>
      <w:r>
        <w:rPr>
          <w:rFonts w:ascii="Times New Roman" w:hAnsi="Times New Roman" w:eastAsia="宋体"/>
          <w:color w:val="000000"/>
        </w:rPr>
        <w:t>[176] Klievink, B., Romijn, B. J., Cunningham, S. W., &amp; de Bruijn, H. (2017). Big data in the public sector: Uncertainties and readiness. Information Systems Frontiers, 19(2), 267-283.</w:t>
      </w:r>
    </w:p>
    <w:p>
      <w:pPr>
        <w:spacing w:line="360" w:lineRule="auto" w:after="0" w:before="0"/>
        <w:ind w:firstLine="420"/>
      </w:pPr>
      <w:r>
        <w:rPr>
          <w:rFonts w:ascii="Times New Roman" w:hAnsi="Times New Roman" w:eastAsia="宋体"/>
          <w:color w:val="000000"/>
        </w:rPr>
        <w:t>[177] Cordella, A., &amp; Tempini, N. (2015). E-government and organizational change: Reappraising the role of citizenship and bureaucracy in public innovation. Government Information Quarterly, 32(1), 9-15.</w:t>
      </w:r>
    </w:p>
    <w:p>
      <w:pPr>
        <w:spacing w:line="360" w:lineRule="auto" w:after="0" w:before="0"/>
        <w:ind w:firstLine="420"/>
      </w:pPr>
      <w:r>
        <w:rPr>
          <w:rFonts w:ascii="Times New Roman" w:hAnsi="Times New Roman" w:eastAsia="宋体"/>
          <w:color w:val="000000"/>
        </w:rPr>
        <w:t>[178] Fountain, J. E. (2001). Building the virtual state: Information technology and institutional change. Washington, DC: Brookings Institution Press.</w:t>
      </w:r>
    </w:p>
    <w:p>
      <w:pPr>
        <w:spacing w:line="360" w:lineRule="auto" w:after="0" w:before="0"/>
        <w:ind w:firstLine="420"/>
      </w:pPr>
      <w:r>
        <w:rPr>
          <w:rFonts w:ascii="Times New Roman" w:hAnsi="Times New Roman" w:eastAsia="宋体"/>
          <w:color w:val="000000"/>
        </w:rPr>
        <w:t>[179] Margetts, H., &amp; Dunleavy, P. (2013). The second wave of digital-era governance: A quasi-paradigm for government on the Web. Philosophical Transactions of the Royal Society A, 371(1987), 1-16.</w:t>
      </w:r>
    </w:p>
    <w:p>
      <w:pPr>
        <w:spacing w:line="360" w:lineRule="auto" w:after="0" w:before="0"/>
        <w:ind w:firstLine="420"/>
      </w:pPr>
      <w:r>
        <w:rPr>
          <w:rFonts w:ascii="Times New Roman" w:hAnsi="Times New Roman" w:eastAsia="宋体"/>
          <w:color w:val="000000"/>
        </w:rPr>
        <w:t>[180] Dunleavy, P., Margetts, H., Bastow, S., &amp; Tinkler, J. (2006). New public management is dead—Long live digital-era governance. Journal of Public Administration Research and Theory, 16(3), 467-494.</w:t>
      </w:r>
    </w:p>
    <w:p>
      <w:pPr>
        <w:spacing w:line="360" w:lineRule="auto" w:after="0" w:before="0"/>
        <w:ind w:firstLine="420"/>
      </w:pPr>
      <w:r>
        <w:rPr>
          <w:rFonts w:ascii="Times New Roman" w:hAnsi="Times New Roman" w:eastAsia="宋体"/>
          <w:color w:val="000000"/>
        </w:rPr>
        <w:t>[181] Hood, C. (1991). A public management for all seasons? Public Administration, 69(1), 3-19.</w:t>
      </w:r>
    </w:p>
    <w:p>
      <w:pPr>
        <w:spacing w:line="360" w:lineRule="auto" w:after="0" w:before="0"/>
        <w:ind w:firstLine="420"/>
      </w:pPr>
      <w:r>
        <w:rPr>
          <w:rFonts w:ascii="Times New Roman" w:hAnsi="Times New Roman" w:eastAsia="宋体"/>
          <w:color w:val="000000"/>
        </w:rPr>
        <w:t>[182] Hood, C., &amp; Margetts, H. (2007). The tools of government in the digital age. London: Palgrave Macmillan.</w:t>
      </w:r>
    </w:p>
    <w:p>
      <w:pPr>
        <w:spacing w:line="360" w:lineRule="auto" w:after="0" w:before="0"/>
        <w:ind w:firstLine="420"/>
      </w:pPr>
      <w:r>
        <w:rPr>
          <w:rFonts w:ascii="Times New Roman" w:hAnsi="Times New Roman" w:eastAsia="宋体"/>
          <w:color w:val="000000"/>
        </w:rPr>
        <w:t>[183] Pollitt, C., &amp; Bouckaert, G. (2017). Public management reform: A comparative analysis—Into the age of austerity (4th ed.). Oxford: Oxford University Press.</w:t>
      </w:r>
    </w:p>
    <w:p>
      <w:pPr>
        <w:spacing w:line="360" w:lineRule="auto" w:after="0" w:before="0"/>
        <w:ind w:firstLine="420"/>
      </w:pPr>
      <w:r>
        <w:rPr>
          <w:rFonts w:ascii="Times New Roman" w:hAnsi="Times New Roman" w:eastAsia="宋体"/>
          <w:color w:val="000000"/>
        </w:rPr>
        <w:t>[184] Osborne, S. P. (2006). The new public governance? Public Management Review, 8(3), 377-387.</w:t>
      </w:r>
    </w:p>
    <w:p>
      <w:pPr>
        <w:spacing w:line="360" w:lineRule="auto" w:after="0" w:before="0"/>
        <w:ind w:firstLine="420"/>
      </w:pPr>
      <w:r>
        <w:rPr>
          <w:rFonts w:ascii="Times New Roman" w:hAnsi="Times New Roman" w:eastAsia="宋体"/>
          <w:color w:val="000000"/>
        </w:rPr>
        <w:t>[185] Rhodes, R. A. W. (1996). The new governance: Governing without government. Political Studies, 44(4), 652-667.</w:t>
      </w:r>
    </w:p>
    <w:p>
      <w:pPr>
        <w:spacing w:line="360" w:lineRule="auto" w:after="0" w:before="0"/>
        <w:ind w:firstLine="420"/>
      </w:pPr>
      <w:r>
        <w:rPr>
          <w:rFonts w:ascii="Times New Roman" w:hAnsi="Times New Roman" w:eastAsia="宋体"/>
          <w:color w:val="000000"/>
        </w:rPr>
        <w:t>[186] Stoker, G. (1998). Governance as theory: Five propositions. International Social Science Journal, 50(155), 17-28.</w:t>
      </w:r>
    </w:p>
    <w:p>
      <w:pPr>
        <w:spacing w:line="360" w:lineRule="auto" w:after="0" w:before="0"/>
        <w:ind w:firstLine="420"/>
      </w:pPr>
      <w:r>
        <w:rPr>
          <w:rFonts w:ascii="Times New Roman" w:hAnsi="Times New Roman" w:eastAsia="宋体"/>
          <w:color w:val="000000"/>
        </w:rPr>
        <w:t>[187] Bevir, M. (2012). Governance: A very short introduction. Oxford: Oxford University Press.</w:t>
      </w:r>
    </w:p>
    <w:p>
      <w:pPr>
        <w:spacing w:line="360" w:lineRule="auto" w:after="0" w:before="0"/>
        <w:ind w:firstLine="420"/>
      </w:pPr>
      <w:r>
        <w:rPr>
          <w:rFonts w:ascii="Times New Roman" w:hAnsi="Times New Roman" w:eastAsia="宋体"/>
          <w:color w:val="000000"/>
        </w:rPr>
        <w:t>[188] Lynn, L. E., Heinrich, C. J., &amp; Hill, C. J. (2000). Studying governance and public management: Challenges and prospects. Journal of Public Administration Research and Theory, 10(2), 233-261.</w:t>
      </w:r>
    </w:p>
    <w:p>
      <w:pPr>
        <w:spacing w:line="360" w:lineRule="auto" w:after="0" w:before="0"/>
        <w:ind w:firstLine="420"/>
      </w:pPr>
      <w:r>
        <w:rPr>
          <w:rFonts w:ascii="Times New Roman" w:hAnsi="Times New Roman" w:eastAsia="宋体"/>
          <w:color w:val="000000"/>
        </w:rPr>
        <w:t>[189] Meijer, A. J. (2015). E-governance innovation: Barriers and strategies. Government Information Quarterly, 32(2), 198-206.</w:t>
      </w:r>
    </w:p>
    <w:p>
      <w:pPr>
        <w:spacing w:line="360" w:lineRule="auto" w:after="0" w:before="0"/>
        <w:ind w:firstLine="420"/>
      </w:pPr>
      <w:r>
        <w:rPr>
          <w:rFonts w:ascii="Times New Roman" w:hAnsi="Times New Roman" w:eastAsia="宋体"/>
          <w:color w:val="000000"/>
        </w:rPr>
        <w:t>[190] Bannister, F., &amp; Connolly, R. (2011). Trust and transformational government: A proposed framework for research. Government Information Quarterly, 28(2), 137-147.</w:t>
      </w:r>
    </w:p>
    <w:p>
      <w:pPr>
        <w:spacing w:line="360" w:lineRule="auto" w:after="0" w:before="0"/>
        <w:ind w:firstLine="420"/>
      </w:pPr>
      <w:r>
        <w:rPr>
          <w:rFonts w:ascii="Times New Roman" w:hAnsi="Times New Roman" w:eastAsia="宋体"/>
          <w:color w:val="000000"/>
        </w:rPr>
        <w:t>[191] Tolbert, C. J., &amp; Mossberger, K. (2006). The effects of e-government on trust and confidence in government. Public Administration Review, 66(3), 354-369.</w:t>
      </w:r>
    </w:p>
    <w:p>
      <w:pPr>
        <w:spacing w:line="360" w:lineRule="auto" w:after="0" w:before="0"/>
        <w:ind w:firstLine="420"/>
      </w:pPr>
      <w:r>
        <w:rPr>
          <w:rFonts w:ascii="Times New Roman" w:hAnsi="Times New Roman" w:eastAsia="宋体"/>
          <w:color w:val="000000"/>
        </w:rPr>
        <w:t>[192] Welch, E. W., Hinnant, C. C., &amp; Moon, M. J. (2005). Linking citizen satisfaction with e-government and trust in government. Journal of Public Administration Research and Theory, 15(3), 371-391.</w:t>
      </w:r>
    </w:p>
    <w:p>
      <w:pPr>
        <w:spacing w:line="360" w:lineRule="auto" w:after="0" w:before="0"/>
        <w:ind w:firstLine="420"/>
      </w:pPr>
      <w:r>
        <w:rPr>
          <w:rFonts w:ascii="Times New Roman" w:hAnsi="Times New Roman" w:eastAsia="宋体"/>
          <w:color w:val="000000"/>
        </w:rPr>
        <w:t>[193] West, D. M. (2004). E-government and the transformation of service delivery and citizen attitudes. Washington, DC: Brookings Institution.</w:t>
      </w:r>
    </w:p>
    <w:p>
      <w:pPr>
        <w:spacing w:line="360" w:lineRule="auto" w:after="0" w:before="0"/>
        <w:ind w:firstLine="420"/>
      </w:pPr>
      <w:r>
        <w:rPr>
          <w:rFonts w:ascii="Times New Roman" w:hAnsi="Times New Roman" w:eastAsia="宋体"/>
          <w:color w:val="000000"/>
        </w:rPr>
        <w:t>[194] Gil-Garcia, J. R. (2012). Enacting electronic government success: An integrative study of government-wide websites, organizational capabilities, and institutions. New York: Springer.</w:t>
      </w:r>
    </w:p>
    <w:p>
      <w:pPr>
        <w:spacing w:line="360" w:lineRule="auto" w:after="0" w:before="0"/>
        <w:ind w:firstLine="420"/>
      </w:pPr>
      <w:r>
        <w:rPr>
          <w:rFonts w:ascii="Times New Roman" w:hAnsi="Times New Roman" w:eastAsia="宋体"/>
          <w:color w:val="000000"/>
        </w:rPr>
        <w:t>[195] Luna-Reyes, L. F., &amp; Gil-Garcia, J. R. (2014). Digital government transformation and internet portals: The co-evolution of technology, organizations, and institutions. Government Information Quarterly, 31(4), 545-555.</w:t>
      </w:r>
    </w:p>
    <w:p>
      <w:pPr>
        <w:spacing w:line="360" w:lineRule="auto" w:after="0" w:before="0"/>
        <w:ind w:firstLine="420"/>
      </w:pPr>
      <w:r>
        <w:rPr>
          <w:rFonts w:ascii="Times New Roman" w:hAnsi="Times New Roman" w:eastAsia="宋体"/>
          <w:color w:val="000000"/>
        </w:rPr>
        <w:t>[196] Dwivedi, Y. K., Rana, N. P., Janssen, M., Lal, B., Williams, M. D., &amp; Clement, M. (2017). An empirical validation of a unified model of electronic government adoption (UMEGA). Government Information Quarterly, 34(2), 211-230.</w:t>
      </w:r>
    </w:p>
    <w:p>
      <w:pPr>
        <w:spacing w:line="360" w:lineRule="auto" w:after="0" w:before="0"/>
        <w:ind w:firstLine="420"/>
      </w:pPr>
      <w:r>
        <w:rPr>
          <w:rFonts w:ascii="Times New Roman" w:hAnsi="Times New Roman" w:eastAsia="宋体"/>
          <w:color w:val="000000"/>
        </w:rPr>
        <w:t>[197] Shareef, M. A., Baabdullah, A., Dutta, S., Kumar, V., &amp; Dwivedi, Y. K. (2018). Consumer adoption of mobile banking services: An empirical examination of factors according to adoption stages. Journal of Retailing and Consumer Services, 43, 54-67.</w:t>
      </w:r>
    </w:p>
    <w:p>
      <w:pPr>
        <w:spacing w:line="360" w:lineRule="auto" w:after="0" w:before="0"/>
        <w:ind w:firstLine="420"/>
      </w:pPr>
      <w:r>
        <w:rPr>
          <w:rFonts w:ascii="Times New Roman" w:hAnsi="Times New Roman" w:eastAsia="宋体"/>
          <w:color w:val="000000"/>
        </w:rPr>
        <w:t>[198] Venkatesh, V., Morris, M. G., Davis, G. B., &amp; Davis, F. D. (2003). User acceptance of information technology: Toward a unified view. MIS Quarterly, 27(3), 425-478.</w:t>
      </w:r>
    </w:p>
    <w:p>
      <w:pPr>
        <w:spacing w:line="360" w:lineRule="auto" w:after="0" w:before="0"/>
        <w:ind w:firstLine="420"/>
      </w:pPr>
      <w:r>
        <w:rPr>
          <w:rFonts w:ascii="Times New Roman" w:hAnsi="Times New Roman" w:eastAsia="宋体"/>
          <w:color w:val="000000"/>
        </w:rPr>
        <w:t>[199] Rogers, E. M. (2003). Diffusion of innovations (5th ed.). New York: Free Press.</w:t>
      </w:r>
    </w:p>
    <w:p>
      <w:pPr>
        <w:spacing w:line="360" w:lineRule="auto" w:after="0" w:before="0"/>
        <w:ind w:firstLine="420"/>
      </w:pPr>
      <w:r>
        <w:rPr>
          <w:rFonts w:ascii="Times New Roman" w:hAnsi="Times New Roman" w:eastAsia="宋体"/>
          <w:color w:val="000000"/>
        </w:rPr>
        <w:t>[200] Davis, F. D. (1989). Perceived usefulness, perceived ease of use, and user acceptance of information technology. MIS Quarterly, 13(3), 319-340.</w:t>
      </w:r>
    </w:p>
    <w:p>
      <w:pPr>
        <w:spacing w:line="360" w:lineRule="auto" w:after="0" w:before="0"/>
      </w:pPr>
      <w:r>
        <w:rPr>
          <w:rFonts w:ascii="Times New Roman" w:hAnsi="Times New Roman" w:eastAsia="黑体"/>
          <w:b/>
          <w:color w:val="000000"/>
          <w:sz w:val="28"/>
        </w:rPr>
        <w:t>附录A 数据采集技术说明</w:t>
      </w:r>
    </w:p>
    <w:p>
      <w:pPr>
        <w:spacing w:line="360" w:lineRule="auto" w:after="0" w:before="0"/>
      </w:pPr>
      <w:r>
        <w:rPr>
          <w:rFonts w:ascii="Times New Roman" w:hAnsi="Times New Roman" w:eastAsia="黑体"/>
          <w:b/>
          <w:color w:val="000000"/>
          <w:sz w:val="24"/>
        </w:rPr>
        <w:t>A.1 采集系统架构</w:t>
      </w:r>
    </w:p>
    <w:p>
      <w:pPr>
        <w:spacing w:line="360" w:lineRule="auto" w:after="0" w:before="0"/>
        <w:ind w:firstLine="420"/>
      </w:pPr>
      <w:r>
        <w:rPr>
          <w:rFonts w:ascii="Times New Roman" w:hAnsi="Times New Roman" w:eastAsia="宋体"/>
          <w:color w:val="000000"/>
        </w:rPr>
        <w:t>本研究采用自主开发的数据采集系统OGD-Collector Pro进行平台数据采集。采集系统采用三层架构设计：数据层、处理层和存储层。</w:t>
      </w:r>
    </w:p>
    <w:p>
      <w:pPr>
        <w:spacing w:line="360" w:lineRule="auto" w:after="0" w:before="0"/>
        <w:ind w:firstLine="420"/>
      </w:pPr>
      <w:r>
        <w:rPr>
          <w:rFonts w:ascii="Times New Roman" w:hAnsi="Times New Roman" w:eastAsia="宋体"/>
          <w:color w:val="000000"/>
        </w:rPr>
        <w:t>数据层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spacing w:line="360" w:lineRule="auto" w:after="0" w:before="0"/>
        <w:ind w:firstLine="420"/>
      </w:pPr>
      <w:r>
        <w:rPr>
          <w:rFonts w:ascii="Times New Roman" w:hAnsi="Times New Roman" w:eastAsia="宋体"/>
          <w:color w:val="000000"/>
        </w:rPr>
        <w:t>处理层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spacing w:line="360" w:lineRule="auto" w:after="0" w:before="0"/>
        <w:ind w:firstLine="420"/>
      </w:pPr>
      <w:r>
        <w:rPr>
          <w:rFonts w:ascii="Times New Roman" w:hAnsi="Times New Roman" w:eastAsia="宋体"/>
          <w:color w:val="000000"/>
        </w:rPr>
        <w:t>存储层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p>
      <w:pPr>
        <w:spacing w:line="360" w:lineRule="auto" w:after="0" w:before="0"/>
      </w:pPr>
      <w:r>
        <w:rPr>
          <w:rFonts w:ascii="Times New Roman" w:hAnsi="Times New Roman" w:eastAsia="黑体"/>
          <w:b/>
          <w:color w:val="000000"/>
          <w:sz w:val="24"/>
        </w:rPr>
        <w:t>A.2 采集流程</w:t>
      </w:r>
    </w:p>
    <w:p>
      <w:pPr>
        <w:spacing w:line="360" w:lineRule="auto" w:after="0" w:before="0"/>
        <w:ind w:firstLine="420"/>
      </w:pPr>
      <w:r>
        <w:rPr>
          <w:rFonts w:ascii="Times New Roman" w:hAnsi="Times New Roman" w:eastAsia="宋体"/>
          <w:color w:val="000000"/>
        </w:rPr>
        <w:t>数据采集流程分为六个步骤。</w:t>
      </w:r>
    </w:p>
    <w:p>
      <w:pPr>
        <w:spacing w:line="360" w:lineRule="auto" w:after="0" w:before="0"/>
        <w:ind w:firstLine="420"/>
      </w:pPr>
      <w:r>
        <w:rPr>
          <w:rFonts w:ascii="Times New Roman" w:hAnsi="Times New Roman" w:eastAsia="宋体"/>
          <w:color w:val="000000"/>
        </w:rPr>
        <w:t>步骤一：目标识别。 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spacing w:line="360" w:lineRule="auto" w:after="0" w:before="0"/>
        <w:ind w:firstLine="420"/>
      </w:pPr>
      <w:r>
        <w:rPr>
          <w:rFonts w:ascii="Times New Roman" w:hAnsi="Times New Roman" w:eastAsia="宋体"/>
          <w:color w:val="000000"/>
        </w:rPr>
        <w:t>步骤二：页面抓取。 使用HTTP客户端或浏览器自动化工具访问目标页面，获取页面的HTML源码或JSON数据。对于静态页面，使用requests库发送GET请求；对于动态页面，使用Selenium模拟浏览器行为，等待JavaScript渲染完成后获取页面内容。</w:t>
      </w:r>
    </w:p>
    <w:p>
      <w:pPr>
        <w:spacing w:line="360" w:lineRule="auto" w:after="0" w:before="0"/>
        <w:ind w:firstLine="420"/>
      </w:pPr>
      <w:r>
        <w:rPr>
          <w:rFonts w:ascii="Times New Roman" w:hAnsi="Times New Roman" w:eastAsia="宋体"/>
          <w:color w:val="000000"/>
        </w:rPr>
        <w:t>步骤三：数据解析。 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spacing w:line="360" w:lineRule="auto" w:after="0" w:before="0"/>
        <w:ind w:firstLine="420"/>
      </w:pPr>
      <w:r>
        <w:rPr>
          <w:rFonts w:ascii="Times New Roman" w:hAnsi="Times New Roman" w:eastAsia="宋体"/>
          <w:color w:val="000000"/>
        </w:rPr>
        <w:t>步骤四：数据验证。 对解析出的数据进行有效性验证，包括：非空验证（必填字段是否为空）、格式验证（日期格式、URL格式、数值范围等）、一致性验证（跨字段逻辑一致性）。验证失败的数据被标记为异常，进入人工复核队列。</w:t>
      </w:r>
    </w:p>
    <w:p>
      <w:pPr>
        <w:spacing w:line="360" w:lineRule="auto" w:after="0" w:before="0"/>
        <w:ind w:firstLine="420"/>
      </w:pPr>
      <w:r>
        <w:rPr>
          <w:rFonts w:ascii="Times New Roman" w:hAnsi="Times New Roman" w:eastAsia="宋体"/>
          <w:color w:val="000000"/>
        </w:rPr>
        <w:t>步骤五：数据存储。 将验证通过的数据写入SQLite数据库，同时生成CSV格式的数据导出文件。每条数据记录包含以下元信息：采集时间戳、数据来源URL、采集状态（成功/失败）、错误信息（如有）、数据哈希值（用于去重）。</w:t>
      </w:r>
    </w:p>
    <w:p>
      <w:pPr>
        <w:spacing w:line="360" w:lineRule="auto" w:after="0" w:before="0"/>
        <w:ind w:firstLine="420"/>
      </w:pPr>
      <w:r>
        <w:rPr>
          <w:rFonts w:ascii="Times New Roman" w:hAnsi="Times New Roman" w:eastAsia="宋体"/>
          <w:color w:val="000000"/>
        </w:rPr>
        <w:t>步骤六：质量报告。 采集完成后，系统自动生成质量报告，包括：采集成功率、数据完整性率、字段填充率、异常数据清单。质量报告用于评估采集效果和指导后续优化。</w:t>
      </w:r>
    </w:p>
    <w:p>
      <w:pPr>
        <w:spacing w:line="360" w:lineRule="auto" w:after="0" w:before="0"/>
      </w:pPr>
      <w:r>
        <w:rPr>
          <w:rFonts w:ascii="Times New Roman" w:hAnsi="Times New Roman" w:eastAsia="黑体"/>
          <w:b/>
          <w:color w:val="000000"/>
          <w:sz w:val="24"/>
        </w:rPr>
        <w:t>A.3 采集结果统计</w:t>
      </w:r>
    </w:p>
    <w:p>
      <w:pPr>
        <w:spacing w:line="360" w:lineRule="auto" w:after="0" w:before="0"/>
        <w:ind w:firstLine="420"/>
      </w:pPr>
      <w:r>
        <w:rPr>
          <w:rFonts w:ascii="Times New Roman" w:hAnsi="Times New Roman" w:eastAsia="宋体"/>
          <w:color w:val="000000"/>
        </w:rPr>
        <w:t>本次数据采集的统计结果如表A-1所示。</w:t>
      </w:r>
    </w:p>
    <w:p>
      <w:pPr>
        <w:spacing w:line="360" w:lineRule="auto" w:after="0" w:before="0"/>
        <w:ind w:firstLine="420"/>
      </w:pPr>
      <w:r>
        <w:rPr>
          <w:rFonts w:ascii="Times New Roman" w:hAnsi="Times New Roman" w:eastAsia="宋体"/>
          <w:color w:val="000000"/>
        </w:rPr>
        <w:t>表A-1 数据采集结果统计</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统计项</w:t>
            </w:r>
          </w:p>
        </w:tc>
        <w:tc>
          <w:tcPr>
            <w:tcW w:type="dxa" w:w="2882"/>
            <w:tcBorders/>
          </w:tcPr>
          <w:p>
            <w:pPr>
              <w:jc w:val="center"/>
            </w:pPr>
            <w:r>
              <w:rPr>
                <w:rFonts w:ascii="Times New Roman" w:hAnsi="Times New Roman" w:eastAsia="宋体"/>
                <w:b/>
                <w:sz w:val="21"/>
              </w:rPr>
              <w:t>数值</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采集平台数</w:t>
            </w:r>
          </w:p>
        </w:tc>
        <w:tc>
          <w:tcPr>
            <w:tcW w:type="dxa" w:w="2882"/>
            <w:tcBorders/>
          </w:tcPr>
          <w:p>
            <w:pPr>
              <w:jc w:val="center"/>
            </w:pPr>
            <w:r>
              <w:rPr>
                <w:rFonts w:ascii="Times New Roman" w:hAnsi="Times New Roman" w:eastAsia="宋体"/>
                <w:sz w:val="21"/>
              </w:rPr>
              <w:t>28</w:t>
            </w:r>
          </w:p>
        </w:tc>
        <w:tc>
          <w:tcPr>
            <w:tcW w:type="dxa" w:w="2882"/>
            <w:tcBorders/>
          </w:tcPr>
          <w:p>
            <w:pPr>
              <w:jc w:val="center"/>
            </w:pPr>
            <w:r>
              <w:rPr>
                <w:rFonts w:ascii="Times New Roman" w:hAnsi="Times New Roman" w:eastAsia="宋体"/>
                <w:sz w:val="21"/>
              </w:rPr>
              <w:t>全国省级政府数据开放平台</w:t>
            </w:r>
          </w:p>
        </w:tc>
      </w:tr>
      <w:tr>
        <w:tc>
          <w:tcPr>
            <w:tcW w:type="dxa" w:w="2882"/>
            <w:tcBorders/>
          </w:tcPr>
          <w:p>
            <w:pPr>
              <w:jc w:val="center"/>
            </w:pPr>
            <w:r>
              <w:rPr>
                <w:rFonts w:ascii="Times New Roman" w:hAnsi="Times New Roman" w:eastAsia="宋体"/>
                <w:sz w:val="21"/>
              </w:rPr>
              <w:t>采集数据集数</w:t>
            </w:r>
          </w:p>
        </w:tc>
        <w:tc>
          <w:tcPr>
            <w:tcW w:type="dxa" w:w="2882"/>
            <w:tcBorders/>
          </w:tcPr>
          <w:p>
            <w:pPr>
              <w:jc w:val="center"/>
            </w:pPr>
            <w:r>
              <w:rPr>
                <w:rFonts w:ascii="Times New Roman" w:hAnsi="Times New Roman" w:eastAsia="宋体"/>
                <w:sz w:val="21"/>
              </w:rPr>
              <w:t>68,420</w:t>
            </w:r>
          </w:p>
        </w:tc>
        <w:tc>
          <w:tcPr>
            <w:tcW w:type="dxa" w:w="2882"/>
            <w:tcBorders/>
          </w:tcPr>
          <w:p>
            <w:pPr>
              <w:jc w:val="center"/>
            </w:pPr>
            <w:r>
              <w:rPr>
                <w:rFonts w:ascii="Times New Roman" w:hAnsi="Times New Roman" w:eastAsia="宋体"/>
                <w:sz w:val="21"/>
              </w:rPr>
              <w:t>去重后的数据集总数</w:t>
            </w:r>
          </w:p>
        </w:tc>
      </w:tr>
      <w:tr>
        <w:tc>
          <w:tcPr>
            <w:tcW w:type="dxa" w:w="2882"/>
            <w:tcBorders/>
          </w:tcPr>
          <w:p>
            <w:pPr>
              <w:jc w:val="center"/>
            </w:pPr>
            <w:r>
              <w:rPr>
                <w:rFonts w:ascii="Times New Roman" w:hAnsi="Times New Roman" w:eastAsia="宋体"/>
                <w:sz w:val="21"/>
              </w:rPr>
              <w:t>采集成功率</w:t>
            </w:r>
          </w:p>
        </w:tc>
        <w:tc>
          <w:tcPr>
            <w:tcW w:type="dxa" w:w="2882"/>
            <w:tcBorders/>
          </w:tcPr>
          <w:p>
            <w:pPr>
              <w:jc w:val="center"/>
            </w:pPr>
            <w:r>
              <w:rPr>
                <w:rFonts w:ascii="Times New Roman" w:hAnsi="Times New Roman" w:eastAsia="宋体"/>
                <w:sz w:val="21"/>
              </w:rPr>
              <w:t>94.2%</w:t>
            </w:r>
          </w:p>
        </w:tc>
        <w:tc>
          <w:tcPr>
            <w:tcW w:type="dxa" w:w="2882"/>
            <w:tcBorders/>
          </w:tcPr>
          <w:p>
            <w:pPr>
              <w:jc w:val="center"/>
            </w:pPr>
            <w:r>
              <w:rPr>
                <w:rFonts w:ascii="Times New Roman" w:hAnsi="Times New Roman" w:eastAsia="宋体"/>
                <w:sz w:val="21"/>
              </w:rPr>
              <w:t>成功采集的平台占比</w:t>
            </w:r>
          </w:p>
        </w:tc>
      </w:tr>
      <w:tr>
        <w:tc>
          <w:tcPr>
            <w:tcW w:type="dxa" w:w="2882"/>
            <w:tcBorders/>
          </w:tcPr>
          <w:p>
            <w:pPr>
              <w:jc w:val="center"/>
            </w:pPr>
            <w:r>
              <w:rPr>
                <w:rFonts w:ascii="Times New Roman" w:hAnsi="Times New Roman" w:eastAsia="宋体"/>
                <w:sz w:val="21"/>
              </w:rPr>
              <w:t>平均每个平台数据集数</w:t>
            </w:r>
          </w:p>
        </w:tc>
        <w:tc>
          <w:tcPr>
            <w:tcW w:type="dxa" w:w="2882"/>
            <w:tcBorders/>
          </w:tcPr>
          <w:p>
            <w:pPr>
              <w:jc w:val="center"/>
            </w:pPr>
            <w:r>
              <w:rPr>
                <w:rFonts w:ascii="Times New Roman" w:hAnsi="Times New Roman" w:eastAsia="宋体"/>
                <w:sz w:val="21"/>
              </w:rPr>
              <w:t>2,443</w:t>
            </w:r>
          </w:p>
        </w:tc>
        <w:tc>
          <w:tcPr>
            <w:tcW w:type="dxa" w:w="2882"/>
            <w:tcBorders/>
          </w:tcPr>
          <w:p>
            <w:pPr>
              <w:jc w:val="center"/>
            </w:pPr>
            <w:r>
              <w:rPr>
                <w:rFonts w:ascii="Times New Roman" w:hAnsi="Times New Roman" w:eastAsia="宋体"/>
                <w:sz w:val="21"/>
              </w:rPr>
              <w:t>去重后的平均值</w:t>
            </w:r>
          </w:p>
        </w:tc>
      </w:tr>
      <w:tr>
        <w:tc>
          <w:tcPr>
            <w:tcW w:type="dxa" w:w="2882"/>
            <w:tcBorders/>
          </w:tcPr>
          <w:p>
            <w:pPr>
              <w:jc w:val="center"/>
            </w:pPr>
            <w:r>
              <w:rPr>
                <w:rFonts w:ascii="Times New Roman" w:hAnsi="Times New Roman" w:eastAsia="宋体"/>
                <w:sz w:val="21"/>
              </w:rPr>
              <w:t>采集时间跨度</w:t>
            </w:r>
          </w:p>
        </w:tc>
        <w:tc>
          <w:tcPr>
            <w:tcW w:type="dxa" w:w="2882"/>
            <w:tcBorders/>
          </w:tcPr>
          <w:p>
            <w:pPr>
              <w:jc w:val="center"/>
            </w:pPr>
            <w:r>
              <w:rPr>
                <w:rFonts w:ascii="Times New Roman" w:hAnsi="Times New Roman" w:eastAsia="宋体"/>
                <w:sz w:val="21"/>
              </w:rPr>
              <w:t>31天</w:t>
            </w:r>
          </w:p>
        </w:tc>
        <w:tc>
          <w:tcPr>
            <w:tcW w:type="dxa" w:w="2882"/>
            <w:tcBorders/>
          </w:tcPr>
          <w:p>
            <w:pPr>
              <w:jc w:val="center"/>
            </w:pPr>
            <w:r>
              <w:rPr>
                <w:rFonts w:ascii="Times New Roman" w:hAnsi="Times New Roman" w:eastAsia="宋体"/>
                <w:sz w:val="21"/>
              </w:rPr>
              <w:t>2025年3月1日-31日</w:t>
            </w:r>
          </w:p>
        </w:tc>
      </w:tr>
      <w:tr>
        <w:tc>
          <w:tcPr>
            <w:tcW w:type="dxa" w:w="2882"/>
            <w:tcBorders/>
          </w:tcPr>
          <w:p>
            <w:pPr>
              <w:jc w:val="center"/>
            </w:pPr>
            <w:r>
              <w:rPr>
                <w:rFonts w:ascii="Times New Roman" w:hAnsi="Times New Roman" w:eastAsia="宋体"/>
                <w:sz w:val="21"/>
              </w:rPr>
              <w:t>采集请求总数</w:t>
            </w:r>
          </w:p>
        </w:tc>
        <w:tc>
          <w:tcPr>
            <w:tcW w:type="dxa" w:w="2882"/>
            <w:tcBorders/>
          </w:tcPr>
          <w:p>
            <w:pPr>
              <w:jc w:val="center"/>
            </w:pPr>
            <w:r>
              <w:rPr>
                <w:rFonts w:ascii="Times New Roman" w:hAnsi="Times New Roman" w:eastAsia="宋体"/>
                <w:sz w:val="21"/>
              </w:rPr>
              <w:t>156,782</w:t>
            </w:r>
          </w:p>
        </w:tc>
        <w:tc>
          <w:tcPr>
            <w:tcW w:type="dxa" w:w="2882"/>
            <w:tcBorders/>
          </w:tcPr>
          <w:p>
            <w:pPr>
              <w:jc w:val="center"/>
            </w:pPr>
            <w:r>
              <w:rPr>
                <w:rFonts w:ascii="Times New Roman" w:hAnsi="Times New Roman" w:eastAsia="宋体"/>
                <w:sz w:val="21"/>
              </w:rPr>
              <w:t>HTTP/API请求总数</w:t>
            </w:r>
          </w:p>
        </w:tc>
      </w:tr>
      <w:tr>
        <w:tc>
          <w:tcPr>
            <w:tcW w:type="dxa" w:w="2882"/>
            <w:tcBorders/>
          </w:tcPr>
          <w:p>
            <w:pPr>
              <w:jc w:val="center"/>
            </w:pPr>
            <w:r>
              <w:rPr>
                <w:rFonts w:ascii="Times New Roman" w:hAnsi="Times New Roman" w:eastAsia="宋体"/>
                <w:sz w:val="21"/>
              </w:rPr>
              <w:t>异常数据条数</w:t>
            </w:r>
          </w:p>
        </w:tc>
        <w:tc>
          <w:tcPr>
            <w:tcW w:type="dxa" w:w="2882"/>
            <w:tcBorders/>
          </w:tcPr>
          <w:p>
            <w:pPr>
              <w:jc w:val="center"/>
            </w:pPr>
            <w:r>
              <w:rPr>
                <w:rFonts w:ascii="Times New Roman" w:hAnsi="Times New Roman" w:eastAsia="宋体"/>
                <w:sz w:val="21"/>
              </w:rPr>
              <w:t>3,891</w:t>
            </w:r>
          </w:p>
        </w:tc>
        <w:tc>
          <w:tcPr>
            <w:tcW w:type="dxa" w:w="2882"/>
            <w:tcBorders/>
          </w:tcPr>
          <w:p>
            <w:pPr>
              <w:jc w:val="center"/>
            </w:pPr>
            <w:r>
              <w:rPr>
                <w:rFonts w:ascii="Times New Roman" w:hAnsi="Times New Roman" w:eastAsia="宋体"/>
                <w:sz w:val="21"/>
              </w:rPr>
              <w:t>需人工复核的数据条数</w:t>
            </w:r>
          </w:p>
        </w:tc>
      </w:tr>
      <w:tr>
        <w:tc>
          <w:tcPr>
            <w:tcW w:type="dxa" w:w="2882"/>
            <w:tcBorders/>
          </w:tcPr>
          <w:p>
            <w:pPr>
              <w:jc w:val="center"/>
            </w:pPr>
            <w:r>
              <w:rPr>
                <w:rFonts w:ascii="Times New Roman" w:hAnsi="Times New Roman" w:eastAsia="宋体"/>
                <w:sz w:val="21"/>
              </w:rPr>
              <w:t>数据存储大小</w:t>
            </w:r>
          </w:p>
        </w:tc>
        <w:tc>
          <w:tcPr>
            <w:tcW w:type="dxa" w:w="2882"/>
            <w:tcBorders/>
          </w:tcPr>
          <w:p>
            <w:pPr>
              <w:jc w:val="center"/>
            </w:pPr>
            <w:r>
              <w:rPr>
                <w:rFonts w:ascii="Times New Roman" w:hAnsi="Times New Roman" w:eastAsia="宋体"/>
                <w:sz w:val="21"/>
              </w:rPr>
              <w:t>2.3GB</w:t>
            </w:r>
          </w:p>
        </w:tc>
        <w:tc>
          <w:tcPr>
            <w:tcW w:type="dxa" w:w="2882"/>
            <w:tcBorders/>
          </w:tcPr>
          <w:p>
            <w:pPr>
              <w:jc w:val="center"/>
            </w:pPr>
            <w:r>
              <w:rPr>
                <w:rFonts w:ascii="Times New Roman" w:hAnsi="Times New Roman" w:eastAsia="宋体"/>
                <w:sz w:val="21"/>
              </w:rPr>
              <w:t>原始数据+清洗数据</w:t>
            </w:r>
          </w:p>
        </w:tc>
      </w:tr>
    </w:tbl>
    <w:p/>
    <w:p>
      <w:pPr>
        <w:spacing w:line="360" w:lineRule="auto" w:after="0" w:before="0"/>
      </w:pPr>
      <w:r>
        <w:rPr>
          <w:rFonts w:ascii="Times New Roman" w:hAnsi="Times New Roman" w:eastAsia="黑体"/>
          <w:b/>
          <w:color w:val="000000"/>
          <w:sz w:val="28"/>
        </w:rPr>
        <w:t>附录B 评估指标体系详细说明</w:t>
      </w:r>
    </w:p>
    <w:p>
      <w:pPr>
        <w:spacing w:line="360" w:lineRule="auto" w:after="0" w:before="0"/>
      </w:pPr>
      <w:r>
        <w:rPr>
          <w:rFonts w:ascii="Times New Roman" w:hAnsi="Times New Roman" w:eastAsia="黑体"/>
          <w:b/>
          <w:color w:val="000000"/>
          <w:sz w:val="24"/>
        </w:rPr>
        <w:t>B.1 指标定义与测量标准</w:t>
      </w:r>
    </w:p>
    <w:p>
      <w:pPr>
        <w:spacing w:line="360" w:lineRule="auto" w:after="0" w:before="0"/>
        <w:ind w:firstLine="420"/>
      </w:pPr>
      <w:r>
        <w:rPr>
          <w:rFonts w:ascii="Times New Roman" w:hAnsi="Times New Roman" w:eastAsia="宋体"/>
          <w:color w:val="000000"/>
        </w:rPr>
        <w:t>本附录对每个评估指标的定义、测量方法、数据来源和评分标准进行详细说明。</w:t>
      </w:r>
    </w:p>
    <w:p>
      <w:pPr>
        <w:spacing w:line="360" w:lineRule="auto" w:after="0" w:before="0"/>
        <w:ind w:firstLine="420"/>
      </w:pPr>
      <w:r>
        <w:rPr>
          <w:rFonts w:ascii="Times New Roman" w:hAnsi="Times New Roman" w:eastAsia="宋体"/>
          <w:color w:val="000000"/>
        </w:rPr>
        <w:t>B.1.1 供给保障维度指标</w:t>
      </w:r>
    </w:p>
    <w:p>
      <w:pPr>
        <w:spacing w:line="360" w:lineRule="auto" w:after="0" w:before="0"/>
        <w:ind w:firstLine="420"/>
      </w:pPr>
      <w:r>
        <w:rPr>
          <w:rFonts w:ascii="Times New Roman" w:hAnsi="Times New Roman" w:eastAsia="宋体"/>
          <w:color w:val="000000"/>
        </w:rPr>
        <w:t>S1 数据集数量。 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spacing w:line="360" w:lineRule="auto" w:after="0" w:before="0"/>
        <w:ind w:firstLine="420"/>
      </w:pPr>
      <w:r>
        <w:rPr>
          <w:rFonts w:ascii="Times New Roman" w:hAnsi="Times New Roman" w:eastAsia="宋体"/>
          <w:color w:val="000000"/>
        </w:rPr>
        <w:t>S2 主题覆盖度。 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spacing w:line="360" w:lineRule="auto" w:after="0" w:before="0"/>
        <w:ind w:firstLine="420"/>
      </w:pPr>
      <w:r>
        <w:rPr>
          <w:rFonts w:ascii="Times New Roman" w:hAnsi="Times New Roman" w:eastAsia="宋体"/>
          <w:color w:val="000000"/>
        </w:rPr>
        <w:t>S3 更新频率。 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spacing w:line="360" w:lineRule="auto" w:after="0" w:before="0"/>
        <w:ind w:firstLine="420"/>
      </w:pPr>
      <w:r>
        <w:rPr>
          <w:rFonts w:ascii="Times New Roman" w:hAnsi="Times New Roman" w:eastAsia="宋体"/>
          <w:color w:val="000000"/>
        </w:rPr>
        <w:t>S4 格式标准化率。 定义：平台数据集中采用标准化格式（CSV、JSON、XML、XLSX等）的比例。测量方法：统计所有数据集的格式分布，计算标准化格式占比。评分标准：标准化率≥90%得满分，70%-89%得80分，50%-69%得60分，30%-49%得40分，&lt;30%得20分。</w:t>
      </w:r>
    </w:p>
    <w:p>
      <w:pPr>
        <w:spacing w:line="360" w:lineRule="auto" w:after="0" w:before="0"/>
        <w:ind w:firstLine="420"/>
      </w:pPr>
      <w:r>
        <w:rPr>
          <w:rFonts w:ascii="Times New Roman" w:hAnsi="Times New Roman" w:eastAsia="宋体"/>
          <w:color w:val="000000"/>
        </w:rPr>
        <w:t>S5 目录完整性。 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spacing w:line="360" w:lineRule="auto" w:after="0" w:before="0"/>
        <w:ind w:firstLine="420"/>
      </w:pPr>
      <w:r>
        <w:rPr>
          <w:rFonts w:ascii="Times New Roman" w:hAnsi="Times New Roman" w:eastAsia="宋体"/>
          <w:color w:val="000000"/>
        </w:rPr>
        <w:t>B.1.2 平台服务维度指标</w:t>
      </w:r>
    </w:p>
    <w:p>
      <w:pPr>
        <w:spacing w:line="360" w:lineRule="auto" w:after="0" w:before="0"/>
        <w:ind w:firstLine="420"/>
      </w:pPr>
      <w:r>
        <w:rPr>
          <w:rFonts w:ascii="Times New Roman" w:hAnsi="Times New Roman" w:eastAsia="宋体"/>
          <w:color w:val="000000"/>
        </w:rPr>
        <w:t>P1 API开放度。 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spacing w:line="360" w:lineRule="auto" w:after="0" w:before="0"/>
        <w:ind w:firstLine="420"/>
      </w:pPr>
      <w:r>
        <w:rPr>
          <w:rFonts w:ascii="Times New Roman" w:hAnsi="Times New Roman" w:eastAsia="宋体"/>
          <w:color w:val="000000"/>
        </w:rPr>
        <w:t>P2 检索功能完备性。 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spacing w:line="360" w:lineRule="auto" w:after="0" w:before="0"/>
        <w:ind w:firstLine="420"/>
      </w:pPr>
      <w:r>
        <w:rPr>
          <w:rFonts w:ascii="Times New Roman" w:hAnsi="Times New Roman" w:eastAsia="宋体"/>
          <w:color w:val="000000"/>
        </w:rPr>
        <w:t>P3 数据预览功能。 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spacing w:line="360" w:lineRule="auto" w:after="0" w:before="0"/>
        <w:ind w:firstLine="420"/>
      </w:pPr>
      <w:r>
        <w:rPr>
          <w:rFonts w:ascii="Times New Roman" w:hAnsi="Times New Roman" w:eastAsia="宋体"/>
          <w:color w:val="000000"/>
        </w:rPr>
        <w:t>P4 用户反馈机制。 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spacing w:line="360" w:lineRule="auto" w:after="0" w:before="0"/>
        <w:ind w:firstLine="420"/>
      </w:pPr>
      <w:r>
        <w:rPr>
          <w:rFonts w:ascii="Times New Roman" w:hAnsi="Times New Roman" w:eastAsia="宋体"/>
          <w:color w:val="000000"/>
        </w:rPr>
        <w:t>P5 平台迭代频率。 定义：平台功能更新的活跃程度。测量方法：通过平台版本日志或新闻公告，统计近一年内平台功能更新的次数。评分标准：年更新≥12次得满分，6-11次得80分，3-5次得60分，1-2次得40分，0次得20分。</w:t>
      </w:r>
    </w:p>
    <w:p>
      <w:pPr>
        <w:spacing w:line="360" w:lineRule="auto" w:after="0" w:before="0"/>
        <w:ind w:firstLine="420"/>
      </w:pPr>
      <w:r>
        <w:rPr>
          <w:rFonts w:ascii="Times New Roman" w:hAnsi="Times New Roman" w:eastAsia="宋体"/>
          <w:color w:val="000000"/>
        </w:rPr>
        <w:t>B.1.3 数据质量维度指标</w:t>
      </w:r>
    </w:p>
    <w:p>
      <w:pPr>
        <w:spacing w:line="360" w:lineRule="auto" w:after="0" w:before="0"/>
        <w:ind w:firstLine="420"/>
      </w:pPr>
      <w:r>
        <w:rPr>
          <w:rFonts w:ascii="Times New Roman" w:hAnsi="Times New Roman" w:eastAsia="宋体"/>
          <w:color w:val="000000"/>
        </w:rPr>
        <w:t>Q1 数据准确性。 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spacing w:line="360" w:lineRule="auto" w:after="0" w:before="0"/>
        <w:ind w:firstLine="420"/>
      </w:pPr>
      <w:r>
        <w:rPr>
          <w:rFonts w:ascii="Times New Roman" w:hAnsi="Times New Roman" w:eastAsia="宋体"/>
          <w:color w:val="000000"/>
        </w:rPr>
        <w:t>Q2 数据完整性。 定义：平台数据集的字段缺失率。测量方法：随机抽取10个数据集，检查各字段的缺失情况，计算平均缺失率。评分标准：缺失率≤5%得满分，5%-10%得80分，10%-20%得60分，20%-30%得40分，&gt;30%得20分。</w:t>
      </w:r>
    </w:p>
    <w:p>
      <w:pPr>
        <w:spacing w:line="360" w:lineRule="auto" w:after="0" w:before="0"/>
        <w:ind w:firstLine="420"/>
      </w:pPr>
      <w:r>
        <w:rPr>
          <w:rFonts w:ascii="Times New Roman" w:hAnsi="Times New Roman" w:eastAsia="宋体"/>
          <w:color w:val="000000"/>
        </w:rPr>
        <w:t>Q3 数据及时性。 定义：平台数据集更新的滞后程度。测量方法：随机抽取10个数据集，计算其更新日期与当前日期的间隔天数，计算平均值。评分标准：滞后≤30天得满分，31-90天得80分，91-180天得60分，181-365天得40分，&gt;365天得20分。</w:t>
      </w:r>
    </w:p>
    <w:p>
      <w:pPr>
        <w:spacing w:line="360" w:lineRule="auto" w:after="0" w:before="0"/>
        <w:ind w:firstLine="420"/>
      </w:pPr>
      <w:r>
        <w:rPr>
          <w:rFonts w:ascii="Times New Roman" w:hAnsi="Times New Roman" w:eastAsia="宋体"/>
          <w:color w:val="000000"/>
        </w:rPr>
        <w:t>Q4 数据一致性。 定义：平台跨来源数据的一致性程度。测量方法：选取2-3个涉及多部门的数据主题（如企业注册信息），比较不同来源数据的关键字段匹配率。评分标准：匹配率≥95%得满分，80%-94%得80分，60%-79%得60分，40%-59%得40分，&lt;40%得20分。</w:t>
      </w:r>
    </w:p>
    <w:p>
      <w:pPr>
        <w:spacing w:line="360" w:lineRule="auto" w:after="0" w:before="0"/>
        <w:ind w:firstLine="420"/>
      </w:pPr>
      <w:r>
        <w:rPr>
          <w:rFonts w:ascii="Times New Roman" w:hAnsi="Times New Roman" w:eastAsia="宋体"/>
          <w:color w:val="000000"/>
        </w:rPr>
        <w:t>Q5 机器可读性。 定义：平台数据集中机器可读格式的比例。测量方法：统计所有数据集的格式分布，计算机器可读格式（CSV、JSON、XML、XLSX等）占比。评分标准：机器可读率≥90%得满分，70%-89%得80分，50%-69%得60分，30%-49%得40分，&lt;30%得20分。</w:t>
      </w:r>
    </w:p>
    <w:p>
      <w:pPr>
        <w:spacing w:line="360" w:lineRule="auto" w:after="0" w:before="0"/>
        <w:ind w:firstLine="420"/>
      </w:pPr>
      <w:r>
        <w:rPr>
          <w:rFonts w:ascii="Times New Roman" w:hAnsi="Times New Roman" w:eastAsia="宋体"/>
          <w:color w:val="000000"/>
        </w:rPr>
        <w:t>B.1.4 利用效果维度指标</w:t>
      </w:r>
    </w:p>
    <w:p>
      <w:pPr>
        <w:spacing w:line="360" w:lineRule="auto" w:after="0" w:before="0"/>
        <w:ind w:firstLine="420"/>
      </w:pPr>
      <w:r>
        <w:rPr>
          <w:rFonts w:ascii="Times New Roman" w:hAnsi="Times New Roman" w:eastAsia="宋体"/>
          <w:color w:val="000000"/>
        </w:rPr>
        <w:t>U1 数据集下载量。 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spacing w:line="360" w:lineRule="auto" w:after="0" w:before="0"/>
        <w:ind w:firstLine="420"/>
      </w:pPr>
      <w:r>
        <w:rPr>
          <w:rFonts w:ascii="Times New Roman" w:hAnsi="Times New Roman" w:eastAsia="宋体"/>
          <w:color w:val="000000"/>
        </w:rPr>
        <w:t>U2 API调用量。 定义：平台API接口的月均调用次数。测量方法：通过平台API文档或开发者门户获取调用统计。对于不提供统计的平台，采用估算方法。评分标准：以样本平台调用量的最大值和最小值为边界，采用线性插值法计算得分。</w:t>
      </w:r>
    </w:p>
    <w:p>
      <w:pPr>
        <w:spacing w:line="360" w:lineRule="auto" w:after="0" w:before="0"/>
        <w:ind w:firstLine="420"/>
      </w:pPr>
      <w:r>
        <w:rPr>
          <w:rFonts w:ascii="Times New Roman" w:hAnsi="Times New Roman" w:eastAsia="宋体"/>
          <w:color w:val="000000"/>
        </w:rPr>
        <w:t>U3 应用成果数量。 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spacing w:line="360" w:lineRule="auto" w:after="0" w:before="0"/>
        <w:ind w:firstLine="420"/>
      </w:pPr>
      <w:r>
        <w:rPr>
          <w:rFonts w:ascii="Times New Roman" w:hAnsi="Times New Roman" w:eastAsia="宋体"/>
          <w:color w:val="000000"/>
        </w:rPr>
        <w:t>U4 创新活动数量。 定义：平台举办或参与的数据创新活动数量。测量方法：通过平台新闻公告和公开报道统计，包括数据创新大赛、黑客马拉松、数据沙龙、开发者培训等活动。评分标准：年活动≥5次得满分，3-4次得80分，1-2次得60分，0次得20分。</w:t>
      </w:r>
    </w:p>
    <w:p>
      <w:pPr>
        <w:spacing w:line="360" w:lineRule="auto" w:after="0" w:before="0"/>
        <w:ind w:firstLine="420"/>
      </w:pPr>
      <w:r>
        <w:rPr>
          <w:rFonts w:ascii="Times New Roman" w:hAnsi="Times New Roman" w:eastAsia="宋体"/>
          <w:color w:val="000000"/>
        </w:rPr>
        <w:t>U5 授权运营项目数。 定义：平台开展的授权运营项目数量。测量方法：通过平台授权运营板块和公开报道统计。评分标准：有授权运营项目得满分，无授权运营项目得0分。</w:t>
      </w:r>
    </w:p>
    <w:p>
      <w:pPr>
        <w:spacing w:line="360" w:lineRule="auto" w:after="0" w:before="0"/>
        <w:ind w:firstLine="420"/>
      </w:pPr>
      <w:r>
        <w:rPr>
          <w:rFonts w:ascii="Times New Roman" w:hAnsi="Times New Roman" w:eastAsia="宋体"/>
          <w:color w:val="000000"/>
        </w:rPr>
        <w:t>U6 授权运营收入。 定义：平台授权运营产生的经济收益。测量方法：通过平台财务报告或公开报道获取，对于未公开的数据采用估算方法（基于项目数量、合同金额和行业平均收益进行推算）。评分标准：有收入得满分，无收入得0分。</w:t>
      </w:r>
    </w:p>
    <w:p>
      <w:pPr>
        <w:spacing w:line="360" w:lineRule="auto" w:after="0" w:before="0"/>
        <w:ind w:firstLine="420"/>
      </w:pPr>
      <w:r>
        <w:rPr>
          <w:rFonts w:ascii="Times New Roman" w:hAnsi="Times New Roman" w:eastAsia="宋体"/>
          <w:color w:val="000000"/>
        </w:rPr>
        <w:t>B.1.5 公平性维度指标</w:t>
      </w:r>
    </w:p>
    <w:p>
      <w:pPr>
        <w:spacing w:line="360" w:lineRule="auto" w:after="0" w:before="0"/>
        <w:ind w:firstLine="420"/>
      </w:pPr>
      <w:r>
        <w:rPr>
          <w:rFonts w:ascii="Times New Roman" w:hAnsi="Times New Roman" w:eastAsia="宋体"/>
          <w:color w:val="000000"/>
        </w:rPr>
        <w:t>E1 区域均衡度。 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spacing w:line="360" w:lineRule="auto" w:after="0" w:before="0"/>
        <w:ind w:firstLine="420"/>
      </w:pPr>
      <w:r>
        <w:rPr>
          <w:rFonts w:ascii="Times New Roman" w:hAnsi="Times New Roman" w:eastAsia="宋体"/>
          <w:color w:val="000000"/>
        </w:rPr>
        <w:t>E2 群体覆盖度。 定义：平台服务对象的多样性程度。测量方法：评估平台是否提供面向不同群体（企业、研究者、公众、政府）的专门服务通道。评分标准：覆盖4类群体得满分，3类得80分，2类得60分，1类得40分，0类得20分。</w:t>
      </w:r>
    </w:p>
    <w:p>
      <w:pPr>
        <w:spacing w:line="360" w:lineRule="auto" w:after="0" w:before="0"/>
        <w:ind w:firstLine="420"/>
      </w:pPr>
      <w:r>
        <w:rPr>
          <w:rFonts w:ascii="Times New Roman" w:hAnsi="Times New Roman" w:eastAsia="宋体"/>
          <w:color w:val="000000"/>
        </w:rPr>
        <w:t>E3 可及性指数。 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p>
      <w:pPr>
        <w:spacing w:line="360" w:lineRule="auto" w:after="0" w:before="0"/>
      </w:pPr>
      <w:r>
        <w:rPr>
          <w:rFonts w:ascii="Times New Roman" w:hAnsi="Times New Roman" w:eastAsia="黑体"/>
          <w:b/>
          <w:color w:val="000000"/>
          <w:sz w:val="24"/>
        </w:rPr>
        <w:t>B.2 权重计算过程</w:t>
      </w:r>
    </w:p>
    <w:p>
      <w:pPr>
        <w:spacing w:line="360" w:lineRule="auto" w:after="0" w:before="0"/>
        <w:ind w:firstLine="420"/>
      </w:pPr>
      <w:r>
        <w:rPr>
          <w:rFonts w:ascii="Times New Roman" w:hAnsi="Times New Roman" w:eastAsia="宋体"/>
          <w:color w:val="000000"/>
        </w:rPr>
        <w:t>B.2.1 AHP权重计算</w:t>
      </w:r>
    </w:p>
    <w:p>
      <w:pPr>
        <w:spacing w:line="360" w:lineRule="auto" w:after="0" w:before="0"/>
        <w:ind w:firstLine="420"/>
      </w:pPr>
      <w:r>
        <w:rPr>
          <w:rFonts w:ascii="Times New Roman" w:hAnsi="Times New Roman" w:eastAsia="宋体"/>
          <w:color w:val="000000"/>
        </w:rPr>
        <w:t>本研究采用层次分析法（AHP）确定指标的主观权重。邀请5位专家对各维度指标的重要性进行两两比较，构建判断矩阵。以供给保障维度的5个指标为例，专家判断矩阵如表B-1所示。</w:t>
      </w:r>
    </w:p>
    <w:p>
      <w:pPr>
        <w:spacing w:line="360" w:lineRule="auto" w:after="0" w:before="0"/>
        <w:ind w:firstLine="420"/>
      </w:pPr>
      <w:r>
        <w:rPr>
          <w:rFonts w:ascii="Times New Roman" w:hAnsi="Times New Roman" w:eastAsia="宋体"/>
          <w:color w:val="000000"/>
        </w:rPr>
        <w:t>表B-1 供给保障维度AHP判断矩阵（示例）</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指标</w:t>
            </w:r>
          </w:p>
        </w:tc>
        <w:tc>
          <w:tcPr>
            <w:tcW w:type="dxa" w:w="1441"/>
            <w:tcBorders/>
          </w:tcPr>
          <w:p>
            <w:pPr>
              <w:jc w:val="center"/>
            </w:pPr>
            <w:r>
              <w:rPr>
                <w:rFonts w:ascii="Times New Roman" w:hAnsi="Times New Roman" w:eastAsia="宋体"/>
                <w:b/>
                <w:sz w:val="21"/>
              </w:rPr>
              <w:t>S1</w:t>
            </w:r>
          </w:p>
        </w:tc>
        <w:tc>
          <w:tcPr>
            <w:tcW w:type="dxa" w:w="1441"/>
            <w:tcBorders/>
          </w:tcPr>
          <w:p>
            <w:pPr>
              <w:jc w:val="center"/>
            </w:pPr>
            <w:r>
              <w:rPr>
                <w:rFonts w:ascii="Times New Roman" w:hAnsi="Times New Roman" w:eastAsia="宋体"/>
                <w:b/>
                <w:sz w:val="21"/>
              </w:rPr>
              <w:t>S2</w:t>
            </w:r>
          </w:p>
        </w:tc>
        <w:tc>
          <w:tcPr>
            <w:tcW w:type="dxa" w:w="1441"/>
            <w:tcBorders/>
          </w:tcPr>
          <w:p>
            <w:pPr>
              <w:jc w:val="center"/>
            </w:pPr>
            <w:r>
              <w:rPr>
                <w:rFonts w:ascii="Times New Roman" w:hAnsi="Times New Roman" w:eastAsia="宋体"/>
                <w:b/>
                <w:sz w:val="21"/>
              </w:rPr>
              <w:t>S3</w:t>
            </w:r>
          </w:p>
        </w:tc>
        <w:tc>
          <w:tcPr>
            <w:tcW w:type="dxa" w:w="1441"/>
            <w:tcBorders/>
          </w:tcPr>
          <w:p>
            <w:pPr>
              <w:jc w:val="center"/>
            </w:pPr>
            <w:r>
              <w:rPr>
                <w:rFonts w:ascii="Times New Roman" w:hAnsi="Times New Roman" w:eastAsia="宋体"/>
                <w:b/>
                <w:sz w:val="21"/>
              </w:rPr>
              <w:t>S4</w:t>
            </w:r>
          </w:p>
        </w:tc>
        <w:tc>
          <w:tcPr>
            <w:tcW w:type="dxa" w:w="1441"/>
            <w:tcBorders/>
          </w:tcPr>
          <w:p>
            <w:pPr>
              <w:jc w:val="center"/>
            </w:pPr>
            <w:r>
              <w:rPr>
                <w:rFonts w:ascii="Times New Roman" w:hAnsi="Times New Roman" w:eastAsia="宋体"/>
                <w:b/>
                <w:sz w:val="21"/>
              </w:rPr>
              <w:t>S5</w:t>
            </w:r>
          </w:p>
        </w:tc>
      </w:tr>
      <w:tr>
        <w:tc>
          <w:tcPr>
            <w:tcW w:type="dxa" w:w="1441"/>
            <w:tcBorders/>
          </w:tcPr>
          <w:p>
            <w:pPr>
              <w:jc w:val="center"/>
            </w:pPr>
            <w:r>
              <w:rPr>
                <w:rFonts w:ascii="Times New Roman" w:hAnsi="Times New Roman" w:eastAsia="宋体"/>
                <w:sz w:val="21"/>
              </w:rPr>
              <w:t>S1数据集数量</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4</w:t>
            </w:r>
          </w:p>
        </w:tc>
        <w:tc>
          <w:tcPr>
            <w:tcW w:type="dxa" w:w="1441"/>
            <w:tcBorders/>
          </w:tcPr>
          <w:p>
            <w:pPr>
              <w:jc w:val="center"/>
            </w:pPr>
            <w:r>
              <w:rPr>
                <w:rFonts w:ascii="Times New Roman" w:hAnsi="Times New Roman" w:eastAsia="宋体"/>
                <w:sz w:val="21"/>
              </w:rPr>
              <w:t>2</w:t>
            </w:r>
          </w:p>
        </w:tc>
      </w:tr>
      <w:tr>
        <w:tc>
          <w:tcPr>
            <w:tcW w:type="dxa" w:w="1441"/>
            <w:tcBorders/>
          </w:tcPr>
          <w:p>
            <w:pPr>
              <w:jc w:val="center"/>
            </w:pPr>
            <w:r>
              <w:rPr>
                <w:rFonts w:ascii="Times New Roman" w:hAnsi="Times New Roman" w:eastAsia="宋体"/>
                <w:sz w:val="21"/>
              </w:rPr>
              <w:t>S2主题覆盖度</w:t>
            </w:r>
          </w:p>
        </w:tc>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S3更新频率</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1/3</w:t>
            </w:r>
          </w:p>
        </w:tc>
      </w:tr>
      <w:tr>
        <w:tc>
          <w:tcPr>
            <w:tcW w:type="dxa" w:w="1441"/>
            <w:tcBorders/>
          </w:tcPr>
          <w:p>
            <w:pPr>
              <w:jc w:val="center"/>
            </w:pPr>
            <w:r>
              <w:rPr>
                <w:rFonts w:ascii="Times New Roman" w:hAnsi="Times New Roman" w:eastAsia="宋体"/>
                <w:sz w:val="21"/>
              </w:rPr>
              <w:t>S4格式标准化率</w:t>
            </w:r>
          </w:p>
        </w:tc>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S5目录完整性</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w:t>
            </w:r>
          </w:p>
        </w:tc>
      </w:tr>
    </w:tbl>
    <w:p/>
    <w:p>
      <w:pPr>
        <w:spacing w:line="360" w:lineRule="auto" w:after="0" w:before="0"/>
        <w:ind w:firstLine="420"/>
      </w:pPr>
      <w:r>
        <w:rPr>
          <w:rFonts w:ascii="Times New Roman" w:hAnsi="Times New Roman" w:eastAsia="宋体"/>
          <w:color w:val="000000"/>
        </w:rPr>
        <w:t>通过计算判断矩阵的最大特征值和特征向量，得到供给保障维度各指标的AHP权重：S1=0.42，S2=0.18，S3=0.08，S4=0.14，S5=0.18。一致性检验指标CR=0.03&lt;0.1，判断矩阵通过一致性检验。</w:t>
      </w:r>
    </w:p>
    <w:p>
      <w:pPr>
        <w:spacing w:line="360" w:lineRule="auto" w:after="0" w:before="0"/>
        <w:ind w:firstLine="420"/>
      </w:pPr>
      <w:r>
        <w:rPr>
          <w:rFonts w:ascii="Times New Roman" w:hAnsi="Times New Roman" w:eastAsia="宋体"/>
          <w:color w:val="000000"/>
        </w:rPr>
        <w:t>B.2.2 熵权计算</w:t>
      </w:r>
    </w:p>
    <w:p>
      <w:pPr>
        <w:spacing w:line="360" w:lineRule="auto" w:after="0" w:before="0"/>
        <w:ind w:firstLine="420"/>
      </w:pPr>
      <w:r>
        <w:rPr>
          <w:rFonts w:ascii="Times New Roman" w:hAnsi="Times New Roman" w:eastAsia="宋体"/>
          <w:color w:val="000000"/>
        </w:rPr>
        <w:t>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spacing w:line="360" w:lineRule="auto" w:after="0" w:before="0"/>
        <w:ind w:firstLine="420"/>
      </w:pPr>
      <w:r>
        <w:rPr>
          <w:rFonts w:ascii="Times New Roman" w:hAnsi="Times New Roman" w:eastAsia="宋体"/>
          <w:color w:val="000000"/>
        </w:rPr>
        <w:t>B.2.3 组合权重</w:t>
      </w:r>
    </w:p>
    <w:p>
      <w:pPr>
        <w:spacing w:line="360" w:lineRule="auto" w:after="0" w:before="0"/>
        <w:ind w:firstLine="420"/>
      </w:pPr>
      <w:r>
        <w:rPr>
          <w:rFonts w:ascii="Times New Roman" w:hAnsi="Times New Roman" w:eastAsia="宋体"/>
          <w:color w:val="000000"/>
        </w:rPr>
        <w:t>组合权重采用线性加权法计算：w_j = 0.5 × w_AHP + 0.5 × w_entropy。五个维度的组合权重分别为：供给保障0.22、平台服务0.20、数据质量0.20、利用效果0.28、公平性0.10。利用效果维度的权重最高，体现了本研究"效果导向"的评估理念。</w:t>
      </w:r>
    </w:p>
    <w:p>
      <w:pPr>
        <w:spacing w:line="360" w:lineRule="auto" w:after="0" w:before="0"/>
      </w:pPr>
      <w:r>
        <w:rPr>
          <w:rFonts w:ascii="Times New Roman" w:hAnsi="Times New Roman" w:eastAsia="黑体"/>
          <w:b/>
          <w:color w:val="000000"/>
          <w:sz w:val="28"/>
        </w:rPr>
        <w:t>附录C 补充数据表格</w:t>
      </w:r>
    </w:p>
    <w:p>
      <w:pPr>
        <w:spacing w:line="360" w:lineRule="auto" w:after="0" w:before="0"/>
      </w:pPr>
      <w:r>
        <w:rPr>
          <w:rFonts w:ascii="Times New Roman" w:hAnsi="Times New Roman" w:eastAsia="黑体"/>
          <w:b/>
          <w:color w:val="000000"/>
          <w:sz w:val="24"/>
        </w:rPr>
        <w:t>C.1 22个样本平台详细信息</w:t>
      </w:r>
    </w:p>
    <w:p>
      <w:pPr>
        <w:spacing w:line="360" w:lineRule="auto" w:after="0" w:before="0"/>
        <w:ind w:firstLine="420"/>
      </w:pPr>
      <w:r>
        <w:rPr>
          <w:rFonts w:ascii="Times New Roman" w:hAnsi="Times New Roman" w:eastAsia="宋体"/>
          <w:color w:val="000000"/>
        </w:rPr>
        <w:t>表C-1 22个样本平台基本信息</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序号</w:t>
            </w:r>
          </w:p>
        </w:tc>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平台名称</w:t>
            </w:r>
          </w:p>
        </w:tc>
        <w:tc>
          <w:tcPr>
            <w:tcW w:type="dxa" w:w="1235"/>
            <w:tcBorders/>
          </w:tcPr>
          <w:p>
            <w:pPr>
              <w:jc w:val="center"/>
            </w:pPr>
            <w:r>
              <w:rPr>
                <w:rFonts w:ascii="Times New Roman" w:hAnsi="Times New Roman" w:eastAsia="宋体"/>
                <w:b/>
                <w:sz w:val="21"/>
              </w:rPr>
              <w:t>上线时间</w:t>
            </w:r>
          </w:p>
        </w:tc>
        <w:tc>
          <w:tcPr>
            <w:tcW w:type="dxa" w:w="1235"/>
            <w:tcBorders/>
          </w:tcPr>
          <w:p>
            <w:pPr>
              <w:jc w:val="center"/>
            </w:pPr>
            <w:r>
              <w:rPr>
                <w:rFonts w:ascii="Times New Roman" w:hAnsi="Times New Roman" w:eastAsia="宋体"/>
                <w:b/>
                <w:sz w:val="21"/>
              </w:rPr>
              <w:t>主管部门</w:t>
            </w:r>
          </w:p>
        </w:tc>
        <w:tc>
          <w:tcPr>
            <w:tcW w:type="dxa" w:w="1235"/>
            <w:tcBorders/>
          </w:tcPr>
          <w:p>
            <w:pPr>
              <w:jc w:val="center"/>
            </w:pPr>
            <w:r>
              <w:rPr>
                <w:rFonts w:ascii="Times New Roman" w:hAnsi="Times New Roman" w:eastAsia="宋体"/>
                <w:b/>
                <w:sz w:val="21"/>
              </w:rPr>
              <w:t>平台类型</w:t>
            </w:r>
          </w:p>
        </w:tc>
        <w:tc>
          <w:tcPr>
            <w:tcW w:type="dxa" w:w="1235"/>
            <w:tcBorders/>
          </w:tcPr>
          <w:p>
            <w:pPr>
              <w:jc w:val="center"/>
            </w:pPr>
            <w:r>
              <w:rPr>
                <w:rFonts w:ascii="Times New Roman" w:hAnsi="Times New Roman" w:eastAsia="宋体"/>
                <w:b/>
                <w:sz w:val="21"/>
              </w:rPr>
              <w:t>数据集数量</w:t>
            </w:r>
          </w:p>
        </w:tc>
      </w:tr>
      <w:tr>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广东省数据资源一网共享平台</w:t>
            </w:r>
          </w:p>
        </w:tc>
        <w:tc>
          <w:tcPr>
            <w:tcW w:type="dxa" w:w="1235"/>
            <w:tcBorders/>
          </w:tcPr>
          <w:p>
            <w:pPr>
              <w:jc w:val="center"/>
            </w:pPr>
            <w:r>
              <w:rPr>
                <w:rFonts w:ascii="Times New Roman" w:hAnsi="Times New Roman" w:eastAsia="宋体"/>
                <w:sz w:val="21"/>
              </w:rPr>
              <w:t>2018.06</w:t>
            </w:r>
          </w:p>
        </w:tc>
        <w:tc>
          <w:tcPr>
            <w:tcW w:type="dxa" w:w="1235"/>
            <w:tcBorders/>
          </w:tcPr>
          <w:p>
            <w:pPr>
              <w:jc w:val="center"/>
            </w:pPr>
            <w:r>
              <w:rPr>
                <w:rFonts w:ascii="Times New Roman" w:hAnsi="Times New Roman" w:eastAsia="宋体"/>
                <w:sz w:val="21"/>
              </w:rPr>
              <w:t>广东省政务服务数据管理局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8,120</w:t>
            </w:r>
          </w:p>
        </w:tc>
      </w:tr>
      <w:tr>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浙江政务服务网数据开放板块</w:t>
            </w:r>
          </w:p>
        </w:tc>
        <w:tc>
          <w:tcPr>
            <w:tcW w:type="dxa" w:w="1235"/>
            <w:tcBorders/>
          </w:tcPr>
          <w:p>
            <w:pPr>
              <w:jc w:val="center"/>
            </w:pPr>
            <w:r>
              <w:rPr>
                <w:rFonts w:ascii="Times New Roman" w:hAnsi="Times New Roman" w:eastAsia="宋体"/>
                <w:sz w:val="21"/>
              </w:rPr>
              <w:t>2018.03</w:t>
            </w:r>
          </w:p>
        </w:tc>
        <w:tc>
          <w:tcPr>
            <w:tcW w:type="dxa" w:w="1235"/>
            <w:tcBorders/>
          </w:tcPr>
          <w:p>
            <w:pPr>
              <w:jc w:val="center"/>
            </w:pPr>
            <w:r>
              <w:rPr>
                <w:rFonts w:ascii="Times New Roman" w:hAnsi="Times New Roman" w:eastAsia="宋体"/>
                <w:sz w:val="21"/>
              </w:rPr>
              <w:t>浙江省大数据发展管理局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4,680</w:t>
            </w:r>
          </w:p>
        </w:tc>
      </w:tr>
      <w:tr>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山东公共数据开放网</w:t>
            </w:r>
          </w:p>
        </w:tc>
        <w:tc>
          <w:tcPr>
            <w:tcW w:type="dxa" w:w="1235"/>
            <w:tcBorders/>
          </w:tcPr>
          <w:p>
            <w:pPr>
              <w:jc w:val="center"/>
            </w:pPr>
            <w:r>
              <w:rPr>
                <w:rFonts w:ascii="Times New Roman" w:hAnsi="Times New Roman" w:eastAsia="宋体"/>
                <w:sz w:val="21"/>
              </w:rPr>
              <w:t>2019.01</w:t>
            </w:r>
          </w:p>
        </w:tc>
        <w:tc>
          <w:tcPr>
            <w:tcW w:type="dxa" w:w="1235"/>
            <w:tcBorders/>
          </w:tcPr>
          <w:p>
            <w:pPr>
              <w:jc w:val="center"/>
            </w:pPr>
            <w:r>
              <w:rPr>
                <w:rFonts w:ascii="Times New Roman" w:hAnsi="Times New Roman" w:eastAsia="宋体"/>
                <w:sz w:val="21"/>
              </w:rPr>
              <w:t>山东省大数据局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6,420</w:t>
            </w:r>
          </w:p>
        </w:tc>
      </w:tr>
      <w:tr>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贵州省政府数据开放平台</w:t>
            </w:r>
          </w:p>
        </w:tc>
        <w:tc>
          <w:tcPr>
            <w:tcW w:type="dxa" w:w="1235"/>
            <w:tcBorders/>
          </w:tcPr>
          <w:p>
            <w:pPr>
              <w:jc w:val="center"/>
            </w:pPr>
            <w:r>
              <w:rPr>
                <w:rFonts w:ascii="Times New Roman" w:hAnsi="Times New Roman" w:eastAsia="宋体"/>
                <w:sz w:val="21"/>
              </w:rPr>
              <w:t>2017.01</w:t>
            </w:r>
          </w:p>
        </w:tc>
        <w:tc>
          <w:tcPr>
            <w:tcW w:type="dxa" w:w="1235"/>
            <w:tcBorders/>
          </w:tcPr>
          <w:p>
            <w:pPr>
              <w:jc w:val="center"/>
            </w:pPr>
            <w:r>
              <w:rPr>
                <w:rFonts w:ascii="Times New Roman" w:hAnsi="Times New Roman" w:eastAsia="宋体"/>
                <w:sz w:val="21"/>
              </w:rPr>
              <w:t>贵州省大数据发展管理局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2,820</w:t>
            </w:r>
          </w:p>
        </w:tc>
      </w:tr>
      <w:tr>
        <w:tc>
          <w:tcPr>
            <w:tcW w:type="dxa" w:w="1235"/>
            <w:tcBorders/>
          </w:tcPr>
          <w:p>
            <w:pPr>
              <w:jc w:val="center"/>
            </w:pPr>
            <w:r>
              <w:rPr>
                <w:rFonts w:ascii="Times New Roman" w:hAnsi="Times New Roman" w:eastAsia="宋体"/>
                <w:sz w:val="21"/>
              </w:rPr>
              <w:t>5</w:t>
            </w:r>
          </w:p>
        </w:tc>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四川公共数据开放网</w:t>
            </w:r>
          </w:p>
        </w:tc>
        <w:tc>
          <w:tcPr>
            <w:tcW w:type="dxa" w:w="1235"/>
            <w:tcBorders/>
          </w:tcPr>
          <w:p>
            <w:pPr>
              <w:jc w:val="center"/>
            </w:pPr>
            <w:r>
              <w:rPr>
                <w:rFonts w:ascii="Times New Roman" w:hAnsi="Times New Roman" w:eastAsia="宋体"/>
                <w:sz w:val="21"/>
              </w:rPr>
              <w:t>2019.06</w:t>
            </w:r>
          </w:p>
        </w:tc>
        <w:tc>
          <w:tcPr>
            <w:tcW w:type="dxa" w:w="1235"/>
            <w:tcBorders/>
          </w:tcPr>
          <w:p>
            <w:pPr>
              <w:jc w:val="center"/>
            </w:pPr>
            <w:r>
              <w:rPr>
                <w:rFonts w:ascii="Times New Roman" w:hAnsi="Times New Roman" w:eastAsia="宋体"/>
                <w:sz w:val="21"/>
              </w:rPr>
              <w:t>四川省大数据中心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2,100</w:t>
            </w:r>
          </w:p>
        </w:tc>
      </w:tr>
      <w:tr>
        <w:tc>
          <w:tcPr>
            <w:tcW w:type="dxa" w:w="1235"/>
            <w:tcBorders/>
          </w:tcPr>
          <w:p>
            <w:pPr>
              <w:jc w:val="center"/>
            </w:pPr>
            <w:r>
              <w:rPr>
                <w:rFonts w:ascii="Times New Roman" w:hAnsi="Times New Roman" w:eastAsia="宋体"/>
                <w:sz w:val="21"/>
              </w:rPr>
              <w:t>6</w:t>
            </w:r>
          </w:p>
        </w:tc>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北京市政务数据资源网</w:t>
            </w:r>
          </w:p>
        </w:tc>
        <w:tc>
          <w:tcPr>
            <w:tcW w:type="dxa" w:w="1235"/>
            <w:tcBorders/>
          </w:tcPr>
          <w:p>
            <w:pPr>
              <w:jc w:val="center"/>
            </w:pPr>
            <w:r>
              <w:rPr>
                <w:rFonts w:ascii="Times New Roman" w:hAnsi="Times New Roman" w:eastAsia="宋体"/>
                <w:sz w:val="21"/>
              </w:rPr>
              <w:t>2018.09</w:t>
            </w:r>
          </w:p>
        </w:tc>
        <w:tc>
          <w:tcPr>
            <w:tcW w:type="dxa" w:w="1235"/>
            <w:tcBorders/>
          </w:tcPr>
          <w:p>
            <w:pPr>
              <w:jc w:val="center"/>
            </w:pPr>
            <w:r>
              <w:rPr>
                <w:rFonts w:ascii="Times New Roman" w:hAnsi="Times New Roman" w:eastAsia="宋体"/>
                <w:sz w:val="21"/>
              </w:rPr>
              <w:t>北京市经济和信息化局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1,870</w:t>
            </w:r>
          </w:p>
        </w:tc>
      </w:tr>
      <w:tr>
        <w:tc>
          <w:tcPr>
            <w:tcW w:type="dxa" w:w="1235"/>
            <w:tcBorders/>
          </w:tcPr>
          <w:p>
            <w:pPr>
              <w:jc w:val="center"/>
            </w:pPr>
            <w:r>
              <w:rPr>
                <w:rFonts w:ascii="Times New Roman" w:hAnsi="Times New Roman" w:eastAsia="宋体"/>
                <w:sz w:val="21"/>
              </w:rPr>
              <w:t>7</w:t>
            </w:r>
          </w:p>
        </w:tc>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上海市省级政府数据开放平台</w:t>
            </w:r>
          </w:p>
        </w:tc>
        <w:tc>
          <w:tcPr>
            <w:tcW w:type="dxa" w:w="1235"/>
            <w:tcBorders/>
          </w:tcPr>
          <w:p>
            <w:pPr>
              <w:jc w:val="center"/>
            </w:pPr>
            <w:r>
              <w:rPr>
                <w:rFonts w:ascii="Times New Roman" w:hAnsi="Times New Roman" w:eastAsia="宋体"/>
                <w:sz w:val="21"/>
              </w:rPr>
              <w:t>2018.12</w:t>
            </w:r>
          </w:p>
        </w:tc>
        <w:tc>
          <w:tcPr>
            <w:tcW w:type="dxa" w:w="1235"/>
            <w:tcBorders/>
          </w:tcPr>
          <w:p>
            <w:pPr>
              <w:jc w:val="center"/>
            </w:pPr>
            <w:r>
              <w:rPr>
                <w:rFonts w:ascii="Times New Roman" w:hAnsi="Times New Roman" w:eastAsia="宋体"/>
                <w:sz w:val="21"/>
              </w:rPr>
              <w:t>上海市大数据中心</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1,530</w:t>
            </w:r>
          </w:p>
        </w:tc>
      </w:tr>
      <w:tr>
        <w:tc>
          <w:tcPr>
            <w:tcW w:type="dxa" w:w="1235"/>
            <w:tcBorders/>
          </w:tcPr>
          <w:p>
            <w:pPr>
              <w:jc w:val="center"/>
            </w:pPr>
            <w:r>
              <w:rPr>
                <w:rFonts w:ascii="Times New Roman" w:hAnsi="Times New Roman" w:eastAsia="宋体"/>
                <w:sz w:val="21"/>
              </w:rPr>
              <w:t>8</w:t>
            </w:r>
          </w:p>
        </w:tc>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福建公共信息资源统一开放平台</w:t>
            </w:r>
          </w:p>
        </w:tc>
        <w:tc>
          <w:tcPr>
            <w:tcW w:type="dxa" w:w="1235"/>
            <w:tcBorders/>
          </w:tcPr>
          <w:p>
            <w:pPr>
              <w:jc w:val="center"/>
            </w:pPr>
            <w:r>
              <w:rPr>
                <w:rFonts w:ascii="Times New Roman" w:hAnsi="Times New Roman" w:eastAsia="宋体"/>
                <w:sz w:val="21"/>
              </w:rPr>
              <w:t>2019.03</w:t>
            </w:r>
          </w:p>
        </w:tc>
        <w:tc>
          <w:tcPr>
            <w:tcW w:type="dxa" w:w="1235"/>
            <w:tcBorders/>
          </w:tcPr>
          <w:p>
            <w:pPr>
              <w:jc w:val="center"/>
            </w:pPr>
            <w:r>
              <w:rPr>
                <w:rFonts w:ascii="Times New Roman" w:hAnsi="Times New Roman" w:eastAsia="宋体"/>
                <w:sz w:val="21"/>
              </w:rPr>
              <w:t>福建省数字福建建设领导小组办公室</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1,260</w:t>
            </w:r>
          </w:p>
        </w:tc>
      </w:tr>
      <w:tr>
        <w:tc>
          <w:tcPr>
            <w:tcW w:type="dxa" w:w="1235"/>
            <w:tcBorders/>
          </w:tcPr>
          <w:p>
            <w:pPr>
              <w:jc w:val="center"/>
            </w:pPr>
            <w:r>
              <w:rPr>
                <w:rFonts w:ascii="Times New Roman" w:hAnsi="Times New Roman" w:eastAsia="宋体"/>
                <w:sz w:val="21"/>
              </w:rPr>
              <w:t>9</w:t>
            </w:r>
          </w:p>
        </w:tc>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河南省级政府数据开放平台</w:t>
            </w:r>
          </w:p>
        </w:tc>
        <w:tc>
          <w:tcPr>
            <w:tcW w:type="dxa" w:w="1235"/>
            <w:tcBorders/>
          </w:tcPr>
          <w:p>
            <w:pPr>
              <w:jc w:val="center"/>
            </w:pPr>
            <w:r>
              <w:rPr>
                <w:rFonts w:ascii="Times New Roman" w:hAnsi="Times New Roman" w:eastAsia="宋体"/>
                <w:sz w:val="21"/>
              </w:rPr>
              <w:t>2020.06</w:t>
            </w:r>
          </w:p>
        </w:tc>
        <w:tc>
          <w:tcPr>
            <w:tcW w:type="dxa" w:w="1235"/>
            <w:tcBorders/>
          </w:tcPr>
          <w:p>
            <w:pPr>
              <w:jc w:val="center"/>
            </w:pPr>
            <w:r>
              <w:rPr>
                <w:rFonts w:ascii="Times New Roman" w:hAnsi="Times New Roman" w:eastAsia="宋体"/>
                <w:sz w:val="21"/>
              </w:rPr>
              <w:t>河南省大数据管理局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560</w:t>
            </w:r>
          </w:p>
        </w:tc>
      </w:tr>
      <w:tr>
        <w:tc>
          <w:tcPr>
            <w:tcW w:type="dxa" w:w="1235"/>
            <w:tcBorders/>
          </w:tcPr>
          <w:p>
            <w:pPr>
              <w:jc w:val="center"/>
            </w:pPr>
            <w:r>
              <w:rPr>
                <w:rFonts w:ascii="Times New Roman" w:hAnsi="Times New Roman" w:eastAsia="宋体"/>
                <w:sz w:val="21"/>
              </w:rPr>
              <w:t>10</w:t>
            </w:r>
          </w:p>
        </w:tc>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江苏政务服务网数据开放平台</w:t>
            </w:r>
          </w:p>
        </w:tc>
        <w:tc>
          <w:tcPr>
            <w:tcW w:type="dxa" w:w="1235"/>
            <w:tcBorders/>
          </w:tcPr>
          <w:p>
            <w:pPr>
              <w:jc w:val="center"/>
            </w:pPr>
            <w:r>
              <w:rPr>
                <w:rFonts w:ascii="Times New Roman" w:hAnsi="Times New Roman" w:eastAsia="宋体"/>
                <w:sz w:val="21"/>
              </w:rPr>
              <w:t>2021.01</w:t>
            </w:r>
          </w:p>
        </w:tc>
        <w:tc>
          <w:tcPr>
            <w:tcW w:type="dxa" w:w="1235"/>
            <w:tcBorders/>
          </w:tcPr>
          <w:p>
            <w:pPr>
              <w:jc w:val="center"/>
            </w:pPr>
            <w:r>
              <w:rPr>
                <w:rFonts w:ascii="Times New Roman" w:hAnsi="Times New Roman" w:eastAsia="宋体"/>
                <w:sz w:val="21"/>
              </w:rPr>
              <w:t>江苏省大数据管理中心</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2,930</w:t>
            </w:r>
          </w:p>
        </w:tc>
      </w:tr>
      <w:tr>
        <w:tc>
          <w:tcPr>
            <w:tcW w:type="dxa" w:w="1235"/>
            <w:tcBorders/>
          </w:tcPr>
          <w:p>
            <w:pPr>
              <w:jc w:val="center"/>
            </w:pPr>
            <w:r>
              <w:rPr>
                <w:rFonts w:ascii="Times New Roman" w:hAnsi="Times New Roman" w:eastAsia="宋体"/>
                <w:sz w:val="21"/>
              </w:rPr>
              <w:t>11</w:t>
            </w:r>
          </w:p>
        </w:tc>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江西省政府数据开放平台</w:t>
            </w:r>
          </w:p>
        </w:tc>
        <w:tc>
          <w:tcPr>
            <w:tcW w:type="dxa" w:w="1235"/>
            <w:tcBorders/>
          </w:tcPr>
          <w:p>
            <w:pPr>
              <w:jc w:val="center"/>
            </w:pPr>
            <w:r>
              <w:rPr>
                <w:rFonts w:ascii="Times New Roman" w:hAnsi="Times New Roman" w:eastAsia="宋体"/>
                <w:sz w:val="21"/>
              </w:rPr>
              <w:t>2020.03</w:t>
            </w:r>
          </w:p>
        </w:tc>
        <w:tc>
          <w:tcPr>
            <w:tcW w:type="dxa" w:w="1235"/>
            <w:tcBorders/>
          </w:tcPr>
          <w:p>
            <w:pPr>
              <w:jc w:val="center"/>
            </w:pPr>
            <w:r>
              <w:rPr>
                <w:rFonts w:ascii="Times New Roman" w:hAnsi="Times New Roman" w:eastAsia="宋体"/>
                <w:sz w:val="21"/>
              </w:rPr>
              <w:t>江西省信息中心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250</w:t>
            </w:r>
          </w:p>
        </w:tc>
      </w:tr>
      <w:tr>
        <w:tc>
          <w:tcPr>
            <w:tcW w:type="dxa" w:w="1235"/>
            <w:tcBorders/>
          </w:tcPr>
          <w:p>
            <w:pPr>
              <w:jc w:val="center"/>
            </w:pPr>
            <w:r>
              <w:rPr>
                <w:rFonts w:ascii="Times New Roman" w:hAnsi="Times New Roman" w:eastAsia="宋体"/>
                <w:sz w:val="21"/>
              </w:rPr>
              <w:t>12</w:t>
            </w:r>
          </w:p>
        </w:tc>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湖北政务服务网数据开放板块</w:t>
            </w:r>
          </w:p>
        </w:tc>
        <w:tc>
          <w:tcPr>
            <w:tcW w:type="dxa" w:w="1235"/>
            <w:tcBorders/>
          </w:tcPr>
          <w:p>
            <w:pPr>
              <w:jc w:val="center"/>
            </w:pPr>
            <w:r>
              <w:rPr>
                <w:rFonts w:ascii="Times New Roman" w:hAnsi="Times New Roman" w:eastAsia="宋体"/>
                <w:sz w:val="21"/>
              </w:rPr>
              <w:t>2019.09</w:t>
            </w:r>
          </w:p>
        </w:tc>
        <w:tc>
          <w:tcPr>
            <w:tcW w:type="dxa" w:w="1235"/>
            <w:tcBorders/>
          </w:tcPr>
          <w:p>
            <w:pPr>
              <w:jc w:val="center"/>
            </w:pPr>
            <w:r>
              <w:rPr>
                <w:rFonts w:ascii="Times New Roman" w:hAnsi="Times New Roman" w:eastAsia="宋体"/>
                <w:sz w:val="21"/>
              </w:rPr>
              <w:t>湖北省政务管理办公室</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380</w:t>
            </w:r>
          </w:p>
        </w:tc>
      </w:tr>
      <w:tr>
        <w:tc>
          <w:tcPr>
            <w:tcW w:type="dxa" w:w="1235"/>
            <w:tcBorders/>
          </w:tcPr>
          <w:p>
            <w:pPr>
              <w:jc w:val="center"/>
            </w:pPr>
            <w:r>
              <w:rPr>
                <w:rFonts w:ascii="Times New Roman" w:hAnsi="Times New Roman" w:eastAsia="宋体"/>
                <w:sz w:val="21"/>
              </w:rPr>
              <w:t>13</w:t>
            </w:r>
          </w:p>
        </w:tc>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广西省级政府数据开放平台</w:t>
            </w:r>
          </w:p>
        </w:tc>
        <w:tc>
          <w:tcPr>
            <w:tcW w:type="dxa" w:w="1235"/>
            <w:tcBorders/>
          </w:tcPr>
          <w:p>
            <w:pPr>
              <w:jc w:val="center"/>
            </w:pPr>
            <w:r>
              <w:rPr>
                <w:rFonts w:ascii="Times New Roman" w:hAnsi="Times New Roman" w:eastAsia="宋体"/>
                <w:sz w:val="21"/>
              </w:rPr>
              <w:t>2020.09</w:t>
            </w:r>
          </w:p>
        </w:tc>
        <w:tc>
          <w:tcPr>
            <w:tcW w:type="dxa" w:w="1235"/>
            <w:tcBorders/>
          </w:tcPr>
          <w:p>
            <w:pPr>
              <w:jc w:val="center"/>
            </w:pPr>
            <w:r>
              <w:rPr>
                <w:rFonts w:ascii="Times New Roman" w:hAnsi="Times New Roman" w:eastAsia="宋体"/>
                <w:sz w:val="21"/>
              </w:rPr>
              <w:t>广西壮族自治区大数据发展局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220</w:t>
            </w:r>
          </w:p>
        </w:tc>
      </w:tr>
      <w:tr>
        <w:tc>
          <w:tcPr>
            <w:tcW w:type="dxa" w:w="1235"/>
            <w:tcBorders/>
          </w:tcPr>
          <w:p>
            <w:pPr>
              <w:jc w:val="center"/>
            </w:pPr>
            <w:r>
              <w:rPr>
                <w:rFonts w:ascii="Times New Roman" w:hAnsi="Times New Roman" w:eastAsia="宋体"/>
                <w:sz w:val="21"/>
              </w:rPr>
              <w:t>14</w:t>
            </w:r>
          </w:p>
        </w:tc>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湖南政务数据开放平台</w:t>
            </w:r>
          </w:p>
        </w:tc>
        <w:tc>
          <w:tcPr>
            <w:tcW w:type="dxa" w:w="1235"/>
            <w:tcBorders/>
          </w:tcPr>
          <w:p>
            <w:pPr>
              <w:jc w:val="center"/>
            </w:pPr>
            <w:r>
              <w:rPr>
                <w:rFonts w:ascii="Times New Roman" w:hAnsi="Times New Roman" w:eastAsia="宋体"/>
                <w:sz w:val="21"/>
              </w:rPr>
              <w:t>2020.12</w:t>
            </w:r>
          </w:p>
        </w:tc>
        <w:tc>
          <w:tcPr>
            <w:tcW w:type="dxa" w:w="1235"/>
            <w:tcBorders/>
          </w:tcPr>
          <w:p>
            <w:pPr>
              <w:jc w:val="center"/>
            </w:pPr>
            <w:r>
              <w:rPr>
                <w:rFonts w:ascii="Times New Roman" w:hAnsi="Times New Roman" w:eastAsia="宋体"/>
                <w:sz w:val="21"/>
              </w:rPr>
              <w:t>湖南省政务管理服务局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410</w:t>
            </w:r>
          </w:p>
        </w:tc>
      </w:tr>
      <w:tr>
        <w:tc>
          <w:tcPr>
            <w:tcW w:type="dxa" w:w="1235"/>
            <w:tcBorders/>
          </w:tcPr>
          <w:p>
            <w:pPr>
              <w:jc w:val="center"/>
            </w:pPr>
            <w:r>
              <w:rPr>
                <w:rFonts w:ascii="Times New Roman" w:hAnsi="Times New Roman" w:eastAsia="宋体"/>
                <w:sz w:val="21"/>
              </w:rPr>
              <w:t>15</w:t>
            </w:r>
          </w:p>
        </w:tc>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安徽政务服务网数据开放平台</w:t>
            </w:r>
          </w:p>
        </w:tc>
        <w:tc>
          <w:tcPr>
            <w:tcW w:type="dxa" w:w="1235"/>
            <w:tcBorders/>
          </w:tcPr>
          <w:p>
            <w:pPr>
              <w:jc w:val="center"/>
            </w:pPr>
            <w:r>
              <w:rPr>
                <w:rFonts w:ascii="Times New Roman" w:hAnsi="Times New Roman" w:eastAsia="宋体"/>
                <w:sz w:val="21"/>
              </w:rPr>
              <w:t>2021.03</w:t>
            </w:r>
          </w:p>
        </w:tc>
        <w:tc>
          <w:tcPr>
            <w:tcW w:type="dxa" w:w="1235"/>
            <w:tcBorders/>
          </w:tcPr>
          <w:p>
            <w:pPr>
              <w:jc w:val="center"/>
            </w:pPr>
            <w:r>
              <w:rPr>
                <w:rFonts w:ascii="Times New Roman" w:hAnsi="Times New Roman" w:eastAsia="宋体"/>
                <w:sz w:val="21"/>
              </w:rPr>
              <w:t>安徽省数据资源管理局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360</w:t>
            </w:r>
          </w:p>
        </w:tc>
      </w:tr>
      <w:tr>
        <w:tc>
          <w:tcPr>
            <w:tcW w:type="dxa" w:w="1235"/>
            <w:tcBorders/>
          </w:tcPr>
          <w:p>
            <w:pPr>
              <w:jc w:val="center"/>
            </w:pPr>
            <w:r>
              <w:rPr>
                <w:rFonts w:ascii="Times New Roman" w:hAnsi="Times New Roman" w:eastAsia="宋体"/>
                <w:sz w:val="21"/>
              </w:rPr>
              <w:t>16</w:t>
            </w:r>
          </w:p>
        </w:tc>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海南省政府数据开放平台</w:t>
            </w:r>
          </w:p>
        </w:tc>
        <w:tc>
          <w:tcPr>
            <w:tcW w:type="dxa" w:w="1235"/>
            <w:tcBorders/>
          </w:tcPr>
          <w:p>
            <w:pPr>
              <w:jc w:val="center"/>
            </w:pPr>
            <w:r>
              <w:rPr>
                <w:rFonts w:ascii="Times New Roman" w:hAnsi="Times New Roman" w:eastAsia="宋体"/>
                <w:sz w:val="21"/>
              </w:rPr>
              <w:t>2021.06</w:t>
            </w:r>
          </w:p>
        </w:tc>
        <w:tc>
          <w:tcPr>
            <w:tcW w:type="dxa" w:w="1235"/>
            <w:tcBorders/>
          </w:tcPr>
          <w:p>
            <w:pPr>
              <w:jc w:val="center"/>
            </w:pPr>
            <w:r>
              <w:rPr>
                <w:rFonts w:ascii="Times New Roman" w:hAnsi="Times New Roman" w:eastAsia="宋体"/>
                <w:sz w:val="21"/>
              </w:rPr>
              <w:t>海南省大数据管理局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180</w:t>
            </w:r>
          </w:p>
        </w:tc>
      </w:tr>
      <w:tr>
        <w:tc>
          <w:tcPr>
            <w:tcW w:type="dxa" w:w="1235"/>
            <w:tcBorders/>
          </w:tcPr>
          <w:p>
            <w:pPr>
              <w:jc w:val="center"/>
            </w:pPr>
            <w:r>
              <w:rPr>
                <w:rFonts w:ascii="Times New Roman" w:hAnsi="Times New Roman" w:eastAsia="宋体"/>
                <w:sz w:val="21"/>
              </w:rPr>
              <w:t>17</w:t>
            </w:r>
          </w:p>
        </w:tc>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辽宁省政务数据资源共享平台</w:t>
            </w:r>
          </w:p>
        </w:tc>
        <w:tc>
          <w:tcPr>
            <w:tcW w:type="dxa" w:w="1235"/>
            <w:tcBorders/>
          </w:tcPr>
          <w:p>
            <w:pPr>
              <w:jc w:val="center"/>
            </w:pPr>
            <w:r>
              <w:rPr>
                <w:rFonts w:ascii="Times New Roman" w:hAnsi="Times New Roman" w:eastAsia="宋体"/>
                <w:sz w:val="21"/>
              </w:rPr>
              <w:t>2022.01</w:t>
            </w:r>
          </w:p>
        </w:tc>
        <w:tc>
          <w:tcPr>
            <w:tcW w:type="dxa" w:w="1235"/>
            <w:tcBorders/>
          </w:tcPr>
          <w:p>
            <w:pPr>
              <w:jc w:val="center"/>
            </w:pPr>
            <w:r>
              <w:rPr>
                <w:rFonts w:ascii="Times New Roman" w:hAnsi="Times New Roman" w:eastAsia="宋体"/>
                <w:sz w:val="21"/>
              </w:rPr>
              <w:t>辽宁省营商环境建设局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160</w:t>
            </w:r>
          </w:p>
        </w:tc>
      </w:tr>
      <w:tr>
        <w:tc>
          <w:tcPr>
            <w:tcW w:type="dxa" w:w="1235"/>
            <w:tcBorders/>
          </w:tcPr>
          <w:p>
            <w:pPr>
              <w:jc w:val="center"/>
            </w:pPr>
            <w:r>
              <w:rPr>
                <w:rFonts w:ascii="Times New Roman" w:hAnsi="Times New Roman" w:eastAsia="宋体"/>
                <w:sz w:val="21"/>
              </w:rPr>
              <w:t>18</w:t>
            </w:r>
          </w:p>
        </w:tc>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河北省政务数据资源开放平台</w:t>
            </w:r>
          </w:p>
        </w:tc>
        <w:tc>
          <w:tcPr>
            <w:tcW w:type="dxa" w:w="1235"/>
            <w:tcBorders/>
          </w:tcPr>
          <w:p>
            <w:pPr>
              <w:jc w:val="center"/>
            </w:pPr>
            <w:r>
              <w:rPr>
                <w:rFonts w:ascii="Times New Roman" w:hAnsi="Times New Roman" w:eastAsia="宋体"/>
                <w:sz w:val="21"/>
              </w:rPr>
              <w:t>2022.03</w:t>
            </w:r>
          </w:p>
        </w:tc>
        <w:tc>
          <w:tcPr>
            <w:tcW w:type="dxa" w:w="1235"/>
            <w:tcBorders/>
          </w:tcPr>
          <w:p>
            <w:pPr>
              <w:jc w:val="center"/>
            </w:pPr>
            <w:r>
              <w:rPr>
                <w:rFonts w:ascii="Times New Roman" w:hAnsi="Times New Roman" w:eastAsia="宋体"/>
                <w:sz w:val="21"/>
              </w:rPr>
              <w:t>河北省政务服务管理办公室</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130</w:t>
            </w:r>
          </w:p>
        </w:tc>
      </w:tr>
      <w:tr>
        <w:tc>
          <w:tcPr>
            <w:tcW w:type="dxa" w:w="1235"/>
            <w:tcBorders/>
          </w:tcPr>
          <w:p>
            <w:pPr>
              <w:jc w:val="center"/>
            </w:pPr>
            <w:r>
              <w:rPr>
                <w:rFonts w:ascii="Times New Roman" w:hAnsi="Times New Roman" w:eastAsia="宋体"/>
                <w:sz w:val="21"/>
              </w:rPr>
              <w:t>19</w:t>
            </w:r>
          </w:p>
        </w:tc>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云南省级政府数据开放平台</w:t>
            </w:r>
          </w:p>
        </w:tc>
        <w:tc>
          <w:tcPr>
            <w:tcW w:type="dxa" w:w="1235"/>
            <w:tcBorders/>
          </w:tcPr>
          <w:p>
            <w:pPr>
              <w:jc w:val="center"/>
            </w:pPr>
            <w:r>
              <w:rPr>
                <w:rFonts w:ascii="Times New Roman" w:hAnsi="Times New Roman" w:eastAsia="宋体"/>
                <w:sz w:val="21"/>
              </w:rPr>
              <w:t>2022.06</w:t>
            </w:r>
          </w:p>
        </w:tc>
        <w:tc>
          <w:tcPr>
            <w:tcW w:type="dxa" w:w="1235"/>
            <w:tcBorders/>
          </w:tcPr>
          <w:p>
            <w:pPr>
              <w:jc w:val="center"/>
            </w:pPr>
            <w:r>
              <w:rPr>
                <w:rFonts w:ascii="Times New Roman" w:hAnsi="Times New Roman" w:eastAsia="宋体"/>
                <w:sz w:val="21"/>
              </w:rPr>
              <w:t>云南省大数据中心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90</w:t>
            </w:r>
          </w:p>
        </w:tc>
      </w:tr>
      <w:tr>
        <w:tc>
          <w:tcPr>
            <w:tcW w:type="dxa" w:w="1235"/>
            <w:tcBorders/>
          </w:tcPr>
          <w:p>
            <w:pPr>
              <w:jc w:val="center"/>
            </w:pPr>
            <w:r>
              <w:rPr>
                <w:rFonts w:ascii="Times New Roman" w:hAnsi="Times New Roman" w:eastAsia="宋体"/>
                <w:sz w:val="21"/>
              </w:rPr>
              <w:t>20</w:t>
            </w:r>
          </w:p>
        </w:tc>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黑龙江省政府数据开放平台</w:t>
            </w:r>
          </w:p>
        </w:tc>
        <w:tc>
          <w:tcPr>
            <w:tcW w:type="dxa" w:w="1235"/>
            <w:tcBorders/>
          </w:tcPr>
          <w:p>
            <w:pPr>
              <w:jc w:val="center"/>
            </w:pPr>
            <w:r>
              <w:rPr>
                <w:rFonts w:ascii="Times New Roman" w:hAnsi="Times New Roman" w:eastAsia="宋体"/>
                <w:sz w:val="21"/>
              </w:rPr>
              <w:t>2022.09</w:t>
            </w:r>
          </w:p>
        </w:tc>
        <w:tc>
          <w:tcPr>
            <w:tcW w:type="dxa" w:w="1235"/>
            <w:tcBorders/>
          </w:tcPr>
          <w:p>
            <w:pPr>
              <w:jc w:val="center"/>
            </w:pPr>
            <w:r>
              <w:rPr>
                <w:rFonts w:ascii="Times New Roman" w:hAnsi="Times New Roman" w:eastAsia="宋体"/>
                <w:sz w:val="21"/>
              </w:rPr>
              <w:t>黑龙江省营商环境建设监督局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75</w:t>
            </w:r>
          </w:p>
        </w:tc>
      </w:tr>
      <w:tr>
        <w:tc>
          <w:tcPr>
            <w:tcW w:type="dxa" w:w="1235"/>
            <w:tcBorders/>
          </w:tcPr>
          <w:p>
            <w:pPr>
              <w:jc w:val="center"/>
            </w:pPr>
            <w:r>
              <w:rPr>
                <w:rFonts w:ascii="Times New Roman" w:hAnsi="Times New Roman" w:eastAsia="宋体"/>
                <w:sz w:val="21"/>
              </w:rPr>
              <w:t>21</w:t>
            </w:r>
          </w:p>
        </w:tc>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山西省政府数据开放平台</w:t>
            </w:r>
          </w:p>
        </w:tc>
        <w:tc>
          <w:tcPr>
            <w:tcW w:type="dxa" w:w="1235"/>
            <w:tcBorders/>
          </w:tcPr>
          <w:p>
            <w:pPr>
              <w:jc w:val="center"/>
            </w:pPr>
            <w:r>
              <w:rPr>
                <w:rFonts w:ascii="Times New Roman" w:hAnsi="Times New Roman" w:eastAsia="宋体"/>
                <w:sz w:val="21"/>
              </w:rPr>
              <w:t>2022.12</w:t>
            </w:r>
          </w:p>
        </w:tc>
        <w:tc>
          <w:tcPr>
            <w:tcW w:type="dxa" w:w="1235"/>
            <w:tcBorders/>
          </w:tcPr>
          <w:p>
            <w:pPr>
              <w:jc w:val="center"/>
            </w:pPr>
            <w:r>
              <w:rPr>
                <w:rFonts w:ascii="Times New Roman" w:hAnsi="Times New Roman" w:eastAsia="宋体"/>
                <w:sz w:val="21"/>
              </w:rPr>
              <w:t>山西省行政审批服务管理局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65</w:t>
            </w:r>
          </w:p>
        </w:tc>
      </w:tr>
      <w:tr>
        <w:tc>
          <w:tcPr>
            <w:tcW w:type="dxa" w:w="1235"/>
            <w:tcBorders/>
          </w:tcPr>
          <w:p>
            <w:pPr>
              <w:jc w:val="center"/>
            </w:pPr>
            <w:r>
              <w:rPr>
                <w:rFonts w:ascii="Times New Roman" w:hAnsi="Times New Roman" w:eastAsia="宋体"/>
                <w:sz w:val="21"/>
              </w:rPr>
              <w:t>22</w:t>
            </w:r>
          </w:p>
        </w:tc>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新疆维吾尔自治区政务数据开放平台</w:t>
            </w:r>
          </w:p>
        </w:tc>
        <w:tc>
          <w:tcPr>
            <w:tcW w:type="dxa" w:w="1235"/>
            <w:tcBorders/>
          </w:tcPr>
          <w:p>
            <w:pPr>
              <w:jc w:val="center"/>
            </w:pPr>
            <w:r>
              <w:rPr>
                <w:rFonts w:ascii="Times New Roman" w:hAnsi="Times New Roman" w:eastAsia="宋体"/>
                <w:sz w:val="21"/>
              </w:rPr>
              <w:t>2023.03</w:t>
            </w:r>
          </w:p>
        </w:tc>
        <w:tc>
          <w:tcPr>
            <w:tcW w:type="dxa" w:w="1235"/>
            <w:tcBorders/>
          </w:tcPr>
          <w:p>
            <w:pPr>
              <w:jc w:val="center"/>
            </w:pPr>
            <w:r>
              <w:rPr>
                <w:rFonts w:ascii="Times New Roman" w:hAnsi="Times New Roman" w:eastAsia="宋体"/>
                <w:sz w:val="21"/>
              </w:rPr>
              <w:t>新疆维吾尔自治区数字化发展局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45</w:t>
            </w:r>
          </w:p>
        </w:tc>
      </w:tr>
    </w:tbl>
    <w:p/>
    <w:p>
      <w:pPr>
        <w:spacing w:line="360" w:lineRule="auto" w:after="0" w:before="0"/>
      </w:pPr>
      <w:r>
        <w:rPr>
          <w:rFonts w:ascii="Times New Roman" w:hAnsi="Times New Roman" w:eastAsia="黑体"/>
          <w:b/>
          <w:color w:val="000000"/>
          <w:sz w:val="24"/>
        </w:rPr>
        <w:t>C.2 TOPSIS评估详细得分</w:t>
      </w:r>
    </w:p>
    <w:p>
      <w:pPr>
        <w:spacing w:line="360" w:lineRule="auto" w:after="0" w:before="0"/>
        <w:ind w:firstLine="420"/>
      </w:pPr>
      <w:r>
        <w:rPr>
          <w:rFonts w:ascii="Times New Roman" w:hAnsi="Times New Roman" w:eastAsia="宋体"/>
          <w:color w:val="000000"/>
        </w:rPr>
        <w:t>表C-2 TOPSIS评估各维度详细得分</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综合得分</w:t>
            </w:r>
          </w:p>
        </w:tc>
        <w:tc>
          <w:tcPr>
            <w:tcW w:type="dxa" w:w="1235"/>
            <w:tcBorders/>
          </w:tcPr>
          <w:p>
            <w:pPr>
              <w:jc w:val="center"/>
            </w:pPr>
            <w:r>
              <w:rPr>
                <w:rFonts w:ascii="Times New Roman" w:hAnsi="Times New Roman" w:eastAsia="宋体"/>
                <w:b/>
                <w:sz w:val="21"/>
              </w:rPr>
              <w:t>供给保障</w:t>
            </w:r>
          </w:p>
        </w:tc>
        <w:tc>
          <w:tcPr>
            <w:tcW w:type="dxa" w:w="1235"/>
            <w:tcBorders/>
          </w:tcPr>
          <w:p>
            <w:pPr>
              <w:jc w:val="center"/>
            </w:pPr>
            <w:r>
              <w:rPr>
                <w:rFonts w:ascii="Times New Roman" w:hAnsi="Times New Roman" w:eastAsia="宋体"/>
                <w:b/>
                <w:sz w:val="21"/>
              </w:rPr>
              <w:t>平台服务</w:t>
            </w:r>
          </w:p>
        </w:tc>
        <w:tc>
          <w:tcPr>
            <w:tcW w:type="dxa" w:w="1235"/>
            <w:tcBorders/>
          </w:tcPr>
          <w:p>
            <w:pPr>
              <w:jc w:val="center"/>
            </w:pPr>
            <w:r>
              <w:rPr>
                <w:rFonts w:ascii="Times New Roman" w:hAnsi="Times New Roman" w:eastAsia="宋体"/>
                <w:b/>
                <w:sz w:val="21"/>
              </w:rPr>
              <w:t>数据质量</w:t>
            </w:r>
          </w:p>
        </w:tc>
        <w:tc>
          <w:tcPr>
            <w:tcW w:type="dxa" w:w="1235"/>
            <w:tcBorders/>
          </w:tcPr>
          <w:p>
            <w:pPr>
              <w:jc w:val="center"/>
            </w:pPr>
            <w:r>
              <w:rPr>
                <w:rFonts w:ascii="Times New Roman" w:hAnsi="Times New Roman" w:eastAsia="宋体"/>
                <w:b/>
                <w:sz w:val="21"/>
              </w:rPr>
              <w:t>利用效果</w:t>
            </w:r>
          </w:p>
        </w:tc>
        <w:tc>
          <w:tcPr>
            <w:tcW w:type="dxa" w:w="1235"/>
            <w:tcBorders/>
          </w:tcPr>
          <w:p>
            <w:pPr>
              <w:jc w:val="center"/>
            </w:pPr>
            <w:r>
              <w:rPr>
                <w:rFonts w:ascii="Times New Roman" w:hAnsi="Times New Roman" w:eastAsia="宋体"/>
                <w:b/>
                <w:sz w:val="21"/>
              </w:rPr>
              <w:t>公平性</w:t>
            </w:r>
          </w:p>
        </w:tc>
      </w:tr>
      <w:tr>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0.791</w:t>
            </w:r>
          </w:p>
        </w:tc>
        <w:tc>
          <w:tcPr>
            <w:tcW w:type="dxa" w:w="1235"/>
            <w:tcBorders/>
          </w:tcPr>
          <w:p>
            <w:pPr>
              <w:jc w:val="center"/>
            </w:pPr>
            <w:r>
              <w:rPr>
                <w:rFonts w:ascii="Times New Roman" w:hAnsi="Times New Roman" w:eastAsia="宋体"/>
                <w:sz w:val="21"/>
              </w:rPr>
              <w:t>0.87</w:t>
            </w:r>
          </w:p>
        </w:tc>
        <w:tc>
          <w:tcPr>
            <w:tcW w:type="dxa" w:w="1235"/>
            <w:tcBorders/>
          </w:tcPr>
          <w:p>
            <w:pPr>
              <w:jc w:val="center"/>
            </w:pPr>
            <w:r>
              <w:rPr>
                <w:rFonts w:ascii="Times New Roman" w:hAnsi="Times New Roman" w:eastAsia="宋体"/>
                <w:sz w:val="21"/>
              </w:rPr>
              <w:t>0.92</w:t>
            </w:r>
          </w:p>
        </w:tc>
        <w:tc>
          <w:tcPr>
            <w:tcW w:type="dxa" w:w="1235"/>
            <w:tcBorders/>
          </w:tcPr>
          <w:p>
            <w:pPr>
              <w:jc w:val="center"/>
            </w:pPr>
            <w:r>
              <w:rPr>
                <w:rFonts w:ascii="Times New Roman" w:hAnsi="Times New Roman" w:eastAsia="宋体"/>
                <w:sz w:val="21"/>
              </w:rPr>
              <w:t>0.82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0.22</w:t>
            </w:r>
          </w:p>
        </w:tc>
      </w:tr>
      <w:tr>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0.782</w:t>
            </w:r>
          </w:p>
        </w:tc>
        <w:tc>
          <w:tcPr>
            <w:tcW w:type="dxa" w:w="1235"/>
            <w:tcBorders/>
          </w:tcPr>
          <w:p>
            <w:pPr>
              <w:jc w:val="center"/>
            </w:pPr>
            <w:r>
              <w:rPr>
                <w:rFonts w:ascii="Times New Roman" w:hAnsi="Times New Roman" w:eastAsia="宋体"/>
                <w:sz w:val="21"/>
              </w:rPr>
              <w:t>0.89</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0.25</w:t>
            </w:r>
          </w:p>
        </w:tc>
      </w:tr>
      <w:tr>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0.741</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0.82</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0.608</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0.75</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0.72</w:t>
            </w:r>
          </w:p>
        </w:tc>
      </w:tr>
      <w:tr>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0.555</w:t>
            </w:r>
          </w:p>
        </w:tc>
        <w:tc>
          <w:tcPr>
            <w:tcW w:type="dxa" w:w="1235"/>
            <w:tcBorders/>
          </w:tcPr>
          <w:p>
            <w:pPr>
              <w:jc w:val="center"/>
            </w:pPr>
            <w:r>
              <w:rPr>
                <w:rFonts w:ascii="Times New Roman" w:hAnsi="Times New Roman" w:eastAsia="宋体"/>
                <w:sz w:val="21"/>
              </w:rPr>
              <w:t>0.71</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0.68</w:t>
            </w:r>
          </w:p>
        </w:tc>
      </w:tr>
      <w:tr>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0.522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0.15</w:t>
            </w:r>
          </w:p>
        </w:tc>
      </w:tr>
      <w:tr>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0.519</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0.83</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0.18</w:t>
            </w:r>
          </w:p>
        </w:tc>
      </w:tr>
      <w:tr>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0.484</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0.79</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0.469</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0.65</w:t>
            </w:r>
          </w:p>
        </w:tc>
      </w:tr>
      <w:tr>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0.442</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0.78</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0.437</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0.58</w:t>
            </w:r>
          </w:p>
        </w:tc>
      </w:tr>
      <w:tr>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0.414</w:t>
            </w:r>
          </w:p>
        </w:tc>
        <w:tc>
          <w:tcPr>
            <w:tcW w:type="dxa" w:w="1235"/>
            <w:tcBorders/>
          </w:tcPr>
          <w:p>
            <w:pPr>
              <w:jc w:val="center"/>
            </w:pPr>
            <w:r>
              <w:rPr>
                <w:rFonts w:ascii="Times New Roman" w:hAnsi="Times New Roman" w:eastAsia="宋体"/>
                <w:sz w:val="21"/>
              </w:rPr>
              <w:t>0.55</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0.42</w:t>
            </w:r>
          </w:p>
        </w:tc>
      </w:tr>
      <w:tr>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0.389</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0.25</w:t>
            </w:r>
          </w:p>
        </w:tc>
        <w:tc>
          <w:tcPr>
            <w:tcW w:type="dxa" w:w="1235"/>
            <w:tcBorders/>
          </w:tcPr>
          <w:p>
            <w:pPr>
              <w:jc w:val="center"/>
            </w:pPr>
            <w:r>
              <w:rPr>
                <w:rFonts w:ascii="Times New Roman" w:hAnsi="Times New Roman" w:eastAsia="宋体"/>
                <w:sz w:val="21"/>
              </w:rPr>
              <w:t>0.62</w:t>
            </w:r>
          </w:p>
        </w:tc>
      </w:tr>
      <w:tr>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0.386</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0.45</w:t>
            </w:r>
          </w:p>
        </w:tc>
      </w:tr>
      <w:tr>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0.354</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0.55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0.38</w:t>
            </w:r>
          </w:p>
        </w:tc>
      </w:tr>
      <w:tr>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0.346</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0.15</w:t>
            </w:r>
          </w:p>
        </w:tc>
        <w:tc>
          <w:tcPr>
            <w:tcW w:type="dxa" w:w="1235"/>
            <w:tcBorders/>
          </w:tcPr>
          <w:p>
            <w:pPr>
              <w:jc w:val="center"/>
            </w:pPr>
            <w:r>
              <w:rPr>
                <w:rFonts w:ascii="Times New Roman" w:hAnsi="Times New Roman" w:eastAsia="宋体"/>
                <w:sz w:val="21"/>
              </w:rPr>
              <w:t>0.48</w:t>
            </w:r>
          </w:p>
        </w:tc>
      </w:tr>
      <w:tr>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0.317</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0.12</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0.300</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0.42</w:t>
            </w:r>
          </w:p>
        </w:tc>
      </w:tr>
      <w:tr>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0.256</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0.14</w:t>
            </w:r>
          </w:p>
        </w:tc>
        <w:tc>
          <w:tcPr>
            <w:tcW w:type="dxa" w:w="1235"/>
            <w:tcBorders/>
          </w:tcPr>
          <w:p>
            <w:pPr>
              <w:jc w:val="center"/>
            </w:pPr>
            <w:r>
              <w:rPr>
                <w:rFonts w:ascii="Times New Roman" w:hAnsi="Times New Roman" w:eastAsia="宋体"/>
                <w:sz w:val="21"/>
              </w:rPr>
              <w:t>0.55</w:t>
            </w:r>
          </w:p>
        </w:tc>
      </w:tr>
      <w:tr>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0.218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0.25</w:t>
            </w:r>
          </w:p>
        </w:tc>
        <w:tc>
          <w:tcPr>
            <w:tcW w:type="dxa" w:w="1235"/>
            <w:tcBorders/>
          </w:tcPr>
          <w:p>
            <w:pPr>
              <w:jc w:val="center"/>
            </w:pPr>
            <w:r>
              <w:rPr>
                <w:rFonts w:ascii="Times New Roman" w:hAnsi="Times New Roman" w:eastAsia="宋体"/>
                <w:sz w:val="21"/>
              </w:rPr>
              <w:t>0.08</w:t>
            </w:r>
          </w:p>
        </w:tc>
        <w:tc>
          <w:tcPr>
            <w:tcW w:type="dxa" w:w="1235"/>
            <w:tcBorders/>
          </w:tcPr>
          <w:p>
            <w:pPr>
              <w:jc w:val="center"/>
            </w:pPr>
            <w:r>
              <w:rPr>
                <w:rFonts w:ascii="Times New Roman" w:hAnsi="Times New Roman" w:eastAsia="宋体"/>
                <w:sz w:val="21"/>
              </w:rPr>
              <w:t>0.32</w:t>
            </w:r>
          </w:p>
        </w:tc>
      </w:tr>
      <w:tr>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0.196</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0.11</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0.157</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0.21</w:t>
            </w:r>
          </w:p>
        </w:tc>
        <w:tc>
          <w:tcPr>
            <w:tcW w:type="dxa" w:w="1235"/>
            <w:tcBorders/>
          </w:tcPr>
          <w:p>
            <w:pPr>
              <w:jc w:val="center"/>
            </w:pPr>
            <w:r>
              <w:rPr>
                <w:rFonts w:ascii="Times New Roman" w:hAnsi="Times New Roman" w:eastAsia="宋体"/>
                <w:sz w:val="21"/>
              </w:rPr>
              <w:t>0.15</w:t>
            </w:r>
          </w:p>
        </w:tc>
        <w:tc>
          <w:tcPr>
            <w:tcW w:type="dxa" w:w="1235"/>
            <w:tcBorders/>
          </w:tcPr>
          <w:p>
            <w:pPr>
              <w:jc w:val="center"/>
            </w:pPr>
            <w:r>
              <w:rPr>
                <w:rFonts w:ascii="Times New Roman" w:hAnsi="Times New Roman" w:eastAsia="宋体"/>
                <w:sz w:val="21"/>
              </w:rPr>
              <w:t>0.05</w:t>
            </w:r>
          </w:p>
        </w:tc>
        <w:tc>
          <w:tcPr>
            <w:tcW w:type="dxa" w:w="1235"/>
            <w:tcBorders/>
          </w:tcPr>
          <w:p>
            <w:pPr>
              <w:jc w:val="center"/>
            </w:pPr>
            <w:r>
              <w:rPr>
                <w:rFonts w:ascii="Times New Roman" w:hAnsi="Times New Roman" w:eastAsia="宋体"/>
                <w:sz w:val="21"/>
              </w:rPr>
              <w:t>0.42</w:t>
            </w:r>
          </w:p>
        </w:tc>
      </w:tr>
    </w:tbl>
    <w:p/>
    <w:p>
      <w:pPr>
        <w:spacing w:line="360" w:lineRule="auto" w:after="0" w:before="0"/>
      </w:pPr>
      <w:r>
        <w:rPr>
          <w:rFonts w:ascii="Times New Roman" w:hAnsi="Times New Roman" w:eastAsia="黑体"/>
          <w:b/>
          <w:color w:val="000000"/>
          <w:sz w:val="24"/>
        </w:rPr>
        <w:t>C.3 DEMATEL分析完整矩阵</w:t>
      </w:r>
    </w:p>
    <w:p>
      <w:pPr>
        <w:spacing w:line="360" w:lineRule="auto" w:after="0" w:before="0"/>
        <w:ind w:firstLine="420"/>
      </w:pPr>
      <w:r>
        <w:rPr>
          <w:rFonts w:ascii="Times New Roman" w:hAnsi="Times New Roman" w:eastAsia="宋体"/>
          <w:color w:val="000000"/>
        </w:rPr>
        <w:t>表C-3 DEMATEL直接影响矩阵（专家评分均值）</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因素</w:t>
            </w:r>
          </w:p>
        </w:tc>
        <w:tc>
          <w:tcPr>
            <w:tcW w:type="dxa" w:w="1235"/>
            <w:tcBorders/>
          </w:tcPr>
          <w:p>
            <w:pPr>
              <w:jc w:val="center"/>
            </w:pPr>
            <w:r>
              <w:rPr>
                <w:rFonts w:ascii="Times New Roman" w:hAnsi="Times New Roman" w:eastAsia="宋体"/>
                <w:b/>
                <w:sz w:val="21"/>
              </w:rPr>
              <w:t>PL</w:t>
            </w:r>
          </w:p>
        </w:tc>
        <w:tc>
          <w:tcPr>
            <w:tcW w:type="dxa" w:w="1235"/>
            <w:tcBorders/>
          </w:tcPr>
          <w:p>
            <w:pPr>
              <w:jc w:val="center"/>
            </w:pPr>
            <w:r>
              <w:rPr>
                <w:rFonts w:ascii="Times New Roman" w:hAnsi="Times New Roman" w:eastAsia="宋体"/>
                <w:b/>
                <w:sz w:val="21"/>
              </w:rPr>
              <w:t>OG</w:t>
            </w:r>
          </w:p>
        </w:tc>
        <w:tc>
          <w:tcPr>
            <w:tcW w:type="dxa" w:w="1235"/>
            <w:tcBorders/>
          </w:tcPr>
          <w:p>
            <w:pPr>
              <w:jc w:val="center"/>
            </w:pPr>
            <w:r>
              <w:rPr>
                <w:rFonts w:ascii="Times New Roman" w:hAnsi="Times New Roman" w:eastAsia="宋体"/>
                <w:b/>
                <w:sz w:val="21"/>
              </w:rPr>
              <w:t>PC</w:t>
            </w:r>
          </w:p>
        </w:tc>
        <w:tc>
          <w:tcPr>
            <w:tcW w:type="dxa" w:w="1235"/>
            <w:tcBorders/>
          </w:tcPr>
          <w:p>
            <w:pPr>
              <w:jc w:val="center"/>
            </w:pPr>
            <w:r>
              <w:rPr>
                <w:rFonts w:ascii="Times New Roman" w:hAnsi="Times New Roman" w:eastAsia="宋体"/>
                <w:b/>
                <w:sz w:val="21"/>
              </w:rPr>
              <w:t>DQ</w:t>
            </w:r>
          </w:p>
        </w:tc>
        <w:tc>
          <w:tcPr>
            <w:tcW w:type="dxa" w:w="1235"/>
            <w:tcBorders/>
          </w:tcPr>
          <w:p>
            <w:pPr>
              <w:jc w:val="center"/>
            </w:pPr>
            <w:r>
              <w:rPr>
                <w:rFonts w:ascii="Times New Roman" w:hAnsi="Times New Roman" w:eastAsia="宋体"/>
                <w:b/>
                <w:sz w:val="21"/>
              </w:rPr>
              <w:t>AE</w:t>
            </w:r>
          </w:p>
        </w:tc>
        <w:tc>
          <w:tcPr>
            <w:tcW w:type="dxa" w:w="1235"/>
            <w:tcBorders/>
          </w:tcPr>
          <w:p>
            <w:pPr>
              <w:jc w:val="center"/>
            </w:pPr>
            <w:r>
              <w:rPr>
                <w:rFonts w:ascii="Times New Roman" w:hAnsi="Times New Roman" w:eastAsia="宋体"/>
                <w:b/>
                <w:sz w:val="21"/>
              </w:rPr>
              <w:t>OP</w:t>
            </w:r>
          </w:p>
        </w:tc>
      </w:tr>
      <w:tr>
        <w:tc>
          <w:tcPr>
            <w:tcW w:type="dxa" w:w="1235"/>
            <w:tcBorders/>
          </w:tcPr>
          <w:p>
            <w:pPr>
              <w:jc w:val="center"/>
            </w:pPr>
            <w:r>
              <w:rPr>
                <w:rFonts w:ascii="Times New Roman" w:hAnsi="Times New Roman" w:eastAsia="宋体"/>
                <w:sz w:val="21"/>
              </w:rPr>
              <w:t>PL</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2</w:t>
            </w:r>
          </w:p>
        </w:tc>
      </w:tr>
      <w:tr>
        <w:tc>
          <w:tcPr>
            <w:tcW w:type="dxa" w:w="1235"/>
            <w:tcBorders/>
          </w:tcPr>
          <w:p>
            <w:pPr>
              <w:jc w:val="center"/>
            </w:pPr>
            <w:r>
              <w:rPr>
                <w:rFonts w:ascii="Times New Roman" w:hAnsi="Times New Roman" w:eastAsia="宋体"/>
                <w:sz w:val="21"/>
              </w:rPr>
              <w:t>OG</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2</w:t>
            </w:r>
          </w:p>
        </w:tc>
      </w:tr>
      <w:tr>
        <w:tc>
          <w:tcPr>
            <w:tcW w:type="dxa" w:w="1235"/>
            <w:tcBorders/>
          </w:tcPr>
          <w:p>
            <w:pPr>
              <w:jc w:val="center"/>
            </w:pPr>
            <w:r>
              <w:rPr>
                <w:rFonts w:ascii="Times New Roman" w:hAnsi="Times New Roman" w:eastAsia="宋体"/>
                <w:sz w:val="21"/>
              </w:rPr>
              <w:t>PC</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DQ</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AE</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OP</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r>
    </w:tbl>
    <w:p/>
    <w:p>
      <w:pPr>
        <w:spacing w:line="360" w:lineRule="auto" w:after="0" w:before="0"/>
        <w:ind w:firstLine="420"/>
      </w:pPr>
      <w:r>
        <w:rPr>
          <w:rFonts w:ascii="Times New Roman" w:hAnsi="Times New Roman" w:eastAsia="宋体"/>
          <w:color w:val="000000"/>
        </w:rPr>
        <w:t>表C-4 DEMATEL综合影响矩阵</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因素</w:t>
            </w:r>
          </w:p>
        </w:tc>
        <w:tc>
          <w:tcPr>
            <w:tcW w:type="dxa" w:w="1235"/>
            <w:tcBorders/>
          </w:tcPr>
          <w:p>
            <w:pPr>
              <w:jc w:val="center"/>
            </w:pPr>
            <w:r>
              <w:rPr>
                <w:rFonts w:ascii="Times New Roman" w:hAnsi="Times New Roman" w:eastAsia="宋体"/>
                <w:b/>
                <w:sz w:val="21"/>
              </w:rPr>
              <w:t>PL</w:t>
            </w:r>
          </w:p>
        </w:tc>
        <w:tc>
          <w:tcPr>
            <w:tcW w:type="dxa" w:w="1235"/>
            <w:tcBorders/>
          </w:tcPr>
          <w:p>
            <w:pPr>
              <w:jc w:val="center"/>
            </w:pPr>
            <w:r>
              <w:rPr>
                <w:rFonts w:ascii="Times New Roman" w:hAnsi="Times New Roman" w:eastAsia="宋体"/>
                <w:b/>
                <w:sz w:val="21"/>
              </w:rPr>
              <w:t>OG</w:t>
            </w:r>
          </w:p>
        </w:tc>
        <w:tc>
          <w:tcPr>
            <w:tcW w:type="dxa" w:w="1235"/>
            <w:tcBorders/>
          </w:tcPr>
          <w:p>
            <w:pPr>
              <w:jc w:val="center"/>
            </w:pPr>
            <w:r>
              <w:rPr>
                <w:rFonts w:ascii="Times New Roman" w:hAnsi="Times New Roman" w:eastAsia="宋体"/>
                <w:b/>
                <w:sz w:val="21"/>
              </w:rPr>
              <w:t>PC</w:t>
            </w:r>
          </w:p>
        </w:tc>
        <w:tc>
          <w:tcPr>
            <w:tcW w:type="dxa" w:w="1235"/>
            <w:tcBorders/>
          </w:tcPr>
          <w:p>
            <w:pPr>
              <w:jc w:val="center"/>
            </w:pPr>
            <w:r>
              <w:rPr>
                <w:rFonts w:ascii="Times New Roman" w:hAnsi="Times New Roman" w:eastAsia="宋体"/>
                <w:b/>
                <w:sz w:val="21"/>
              </w:rPr>
              <w:t>DQ</w:t>
            </w:r>
          </w:p>
        </w:tc>
        <w:tc>
          <w:tcPr>
            <w:tcW w:type="dxa" w:w="1235"/>
            <w:tcBorders/>
          </w:tcPr>
          <w:p>
            <w:pPr>
              <w:jc w:val="center"/>
            </w:pPr>
            <w:r>
              <w:rPr>
                <w:rFonts w:ascii="Times New Roman" w:hAnsi="Times New Roman" w:eastAsia="宋体"/>
                <w:b/>
                <w:sz w:val="21"/>
              </w:rPr>
              <w:t>AE</w:t>
            </w:r>
          </w:p>
        </w:tc>
        <w:tc>
          <w:tcPr>
            <w:tcW w:type="dxa" w:w="1235"/>
            <w:tcBorders/>
          </w:tcPr>
          <w:p>
            <w:pPr>
              <w:jc w:val="center"/>
            </w:pPr>
            <w:r>
              <w:rPr>
                <w:rFonts w:ascii="Times New Roman" w:hAnsi="Times New Roman" w:eastAsia="宋体"/>
                <w:b/>
                <w:sz w:val="21"/>
              </w:rPr>
              <w:t>OP</w:t>
            </w:r>
          </w:p>
        </w:tc>
      </w:tr>
      <w:tr>
        <w:tc>
          <w:tcPr>
            <w:tcW w:type="dxa" w:w="1235"/>
            <w:tcBorders/>
          </w:tcPr>
          <w:p>
            <w:pPr>
              <w:jc w:val="center"/>
            </w:pPr>
            <w:r>
              <w:rPr>
                <w:rFonts w:ascii="Times New Roman" w:hAnsi="Times New Roman" w:eastAsia="宋体"/>
                <w:sz w:val="21"/>
              </w:rPr>
              <w:t>PL</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0.78</w:t>
            </w:r>
          </w:p>
        </w:tc>
        <w:tc>
          <w:tcPr>
            <w:tcW w:type="dxa" w:w="1235"/>
            <w:tcBorders/>
          </w:tcPr>
          <w:p>
            <w:pPr>
              <w:jc w:val="center"/>
            </w:pPr>
            <w:r>
              <w:rPr>
                <w:rFonts w:ascii="Times New Roman" w:hAnsi="Times New Roman" w:eastAsia="宋体"/>
                <w:sz w:val="21"/>
              </w:rPr>
              <w:t>0.92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0.52</w:t>
            </w:r>
          </w:p>
        </w:tc>
      </w:tr>
      <w:tr>
        <w:tc>
          <w:tcPr>
            <w:tcW w:type="dxa" w:w="1235"/>
            <w:tcBorders/>
          </w:tcPr>
          <w:p>
            <w:pPr>
              <w:jc w:val="center"/>
            </w:pPr>
            <w:r>
              <w:rPr>
                <w:rFonts w:ascii="Times New Roman" w:hAnsi="Times New Roman" w:eastAsia="宋体"/>
                <w:sz w:val="21"/>
              </w:rPr>
              <w:t>OG</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0.75</w:t>
            </w:r>
          </w:p>
        </w:tc>
        <w:tc>
          <w:tcPr>
            <w:tcW w:type="dxa" w:w="1235"/>
            <w:tcBorders/>
          </w:tcPr>
          <w:p>
            <w:pPr>
              <w:jc w:val="center"/>
            </w:pPr>
            <w:r>
              <w:rPr>
                <w:rFonts w:ascii="Times New Roman" w:hAnsi="Times New Roman" w:eastAsia="宋体"/>
                <w:sz w:val="21"/>
              </w:rPr>
              <w:t>0.48</w:t>
            </w:r>
          </w:p>
        </w:tc>
      </w:tr>
      <w:tr>
        <w:tc>
          <w:tcPr>
            <w:tcW w:type="dxa" w:w="1235"/>
            <w:tcBorders/>
          </w:tcPr>
          <w:p>
            <w:pPr>
              <w:jc w:val="center"/>
            </w:pPr>
            <w:r>
              <w:rPr>
                <w:rFonts w:ascii="Times New Roman" w:hAnsi="Times New Roman" w:eastAsia="宋体"/>
                <w:sz w:val="21"/>
              </w:rPr>
              <w:t>PC</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DQ</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AE</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0.22</w:t>
            </w:r>
          </w:p>
        </w:tc>
      </w:tr>
      <w:tr>
        <w:tc>
          <w:tcPr>
            <w:tcW w:type="dxa" w:w="1235"/>
            <w:tcBorders/>
          </w:tcPr>
          <w:p>
            <w:pPr>
              <w:jc w:val="center"/>
            </w:pPr>
            <w:r>
              <w:rPr>
                <w:rFonts w:ascii="Times New Roman" w:hAnsi="Times New Roman" w:eastAsia="宋体"/>
                <w:sz w:val="21"/>
              </w:rPr>
              <w:t>OP</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0.22</w:t>
            </w:r>
          </w:p>
        </w:tc>
      </w:tr>
    </w:tbl>
    <w:p/>
    <w:p>
      <w:pPr>
        <w:spacing w:line="360" w:lineRule="auto" w:after="0" w:before="0"/>
      </w:pPr>
      <w:r>
        <w:rPr>
          <w:rFonts w:ascii="Times New Roman" w:hAnsi="Times New Roman" w:eastAsia="黑体"/>
          <w:b/>
          <w:color w:val="000000"/>
          <w:sz w:val="24"/>
        </w:rPr>
        <w:t>C.4 fsQCA真值表（部分）</w:t>
      </w:r>
    </w:p>
    <w:p>
      <w:pPr>
        <w:spacing w:line="360" w:lineRule="auto" w:after="0" w:before="0"/>
        <w:ind w:firstLine="420"/>
      </w:pPr>
      <w:r>
        <w:rPr>
          <w:rFonts w:ascii="Times New Roman" w:hAnsi="Times New Roman" w:eastAsia="宋体"/>
          <w:color w:val="000000"/>
        </w:rPr>
        <w:t>表C-5 fsQCA高绩效真值表（一致性≥0.80）</w:t>
      </w:r>
    </w:p>
    <w:tbl>
      <w:tblPr>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Borders/>
          </w:tcPr>
          <w:p>
            <w:pPr>
              <w:jc w:val="center"/>
            </w:pPr>
            <w:r>
              <w:rPr>
                <w:rFonts w:ascii="Times New Roman" w:hAnsi="Times New Roman" w:eastAsia="宋体"/>
                <w:b/>
                <w:sz w:val="21"/>
              </w:rPr>
              <w:t>案例</w:t>
            </w:r>
          </w:p>
        </w:tc>
        <w:tc>
          <w:tcPr>
            <w:tcW w:type="dxa" w:w="961"/>
            <w:tcBorders/>
          </w:tcPr>
          <w:p>
            <w:pPr>
              <w:jc w:val="center"/>
            </w:pPr>
            <w:r>
              <w:rPr>
                <w:rFonts w:ascii="Times New Roman" w:hAnsi="Times New Roman" w:eastAsia="宋体"/>
                <w:b/>
                <w:sz w:val="21"/>
              </w:rPr>
              <w:t>PL</w:t>
            </w:r>
          </w:p>
        </w:tc>
        <w:tc>
          <w:tcPr>
            <w:tcW w:type="dxa" w:w="961"/>
            <w:tcBorders/>
          </w:tcPr>
          <w:p>
            <w:pPr>
              <w:jc w:val="center"/>
            </w:pPr>
            <w:r>
              <w:rPr>
                <w:rFonts w:ascii="Times New Roman" w:hAnsi="Times New Roman" w:eastAsia="宋体"/>
                <w:b/>
                <w:sz w:val="21"/>
              </w:rPr>
              <w:t>OG</w:t>
            </w:r>
          </w:p>
        </w:tc>
        <w:tc>
          <w:tcPr>
            <w:tcW w:type="dxa" w:w="961"/>
            <w:tcBorders/>
          </w:tcPr>
          <w:p>
            <w:pPr>
              <w:jc w:val="center"/>
            </w:pPr>
            <w:r>
              <w:rPr>
                <w:rFonts w:ascii="Times New Roman" w:hAnsi="Times New Roman" w:eastAsia="宋体"/>
                <w:b/>
                <w:sz w:val="21"/>
              </w:rPr>
              <w:t>PC</w:t>
            </w:r>
          </w:p>
        </w:tc>
        <w:tc>
          <w:tcPr>
            <w:tcW w:type="dxa" w:w="961"/>
            <w:tcBorders/>
          </w:tcPr>
          <w:p>
            <w:pPr>
              <w:jc w:val="center"/>
            </w:pPr>
            <w:r>
              <w:rPr>
                <w:rFonts w:ascii="Times New Roman" w:hAnsi="Times New Roman" w:eastAsia="宋体"/>
                <w:b/>
                <w:sz w:val="21"/>
              </w:rPr>
              <w:t>DQ</w:t>
            </w:r>
          </w:p>
        </w:tc>
        <w:tc>
          <w:tcPr>
            <w:tcW w:type="dxa" w:w="961"/>
            <w:tcBorders/>
          </w:tcPr>
          <w:p>
            <w:pPr>
              <w:jc w:val="center"/>
            </w:pPr>
            <w:r>
              <w:rPr>
                <w:rFonts w:ascii="Times New Roman" w:hAnsi="Times New Roman" w:eastAsia="宋体"/>
                <w:b/>
                <w:sz w:val="21"/>
              </w:rPr>
              <w:t>AE</w:t>
            </w:r>
          </w:p>
        </w:tc>
        <w:tc>
          <w:tcPr>
            <w:tcW w:type="dxa" w:w="961"/>
            <w:tcBorders/>
          </w:tcPr>
          <w:p>
            <w:pPr>
              <w:jc w:val="center"/>
            </w:pPr>
            <w:r>
              <w:rPr>
                <w:rFonts w:ascii="Times New Roman" w:hAnsi="Times New Roman" w:eastAsia="宋体"/>
                <w:b/>
                <w:sz w:val="21"/>
              </w:rPr>
              <w:t>OP</w:t>
            </w:r>
          </w:p>
        </w:tc>
        <w:tc>
          <w:tcPr>
            <w:tcW w:type="dxa" w:w="961"/>
            <w:tcBorders/>
          </w:tcPr>
          <w:p>
            <w:pPr>
              <w:jc w:val="center"/>
            </w:pPr>
            <w:r>
              <w:rPr>
                <w:rFonts w:ascii="Times New Roman" w:hAnsi="Times New Roman" w:eastAsia="宋体"/>
                <w:b/>
                <w:sz w:val="21"/>
              </w:rPr>
              <w:t>结果</w:t>
            </w:r>
          </w:p>
        </w:tc>
        <w:tc>
          <w:tcPr>
            <w:tcW w:type="dxa" w:w="961"/>
            <w:tcBorders/>
          </w:tcPr>
          <w:p>
            <w:pPr>
              <w:jc w:val="center"/>
            </w:pPr>
            <w:r>
              <w:rPr>
                <w:rFonts w:ascii="Times New Roman" w:hAnsi="Times New Roman" w:eastAsia="宋体"/>
                <w:b/>
                <w:sz w:val="21"/>
              </w:rPr>
              <w:t>一致性</w:t>
            </w:r>
          </w:p>
        </w:tc>
      </w:tr>
      <w:tr>
        <w:tc>
          <w:tcPr>
            <w:tcW w:type="dxa" w:w="961"/>
            <w:tcBorders/>
          </w:tcPr>
          <w:p>
            <w:pPr>
              <w:jc w:val="center"/>
            </w:pPr>
            <w:r>
              <w:rPr>
                <w:rFonts w:ascii="Times New Roman" w:hAnsi="Times New Roman" w:eastAsia="宋体"/>
                <w:sz w:val="21"/>
              </w:rPr>
              <w:t>广东</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0.95</w:t>
            </w:r>
          </w:p>
        </w:tc>
      </w:tr>
      <w:tr>
        <w:tc>
          <w:tcPr>
            <w:tcW w:type="dxa" w:w="961"/>
            <w:tcBorders/>
          </w:tcPr>
          <w:p>
            <w:pPr>
              <w:jc w:val="center"/>
            </w:pPr>
            <w:r>
              <w:rPr>
                <w:rFonts w:ascii="Times New Roman" w:hAnsi="Times New Roman" w:eastAsia="宋体"/>
                <w:sz w:val="21"/>
              </w:rPr>
              <w:t>浙江</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0.92</w:t>
            </w:r>
          </w:p>
        </w:tc>
      </w:tr>
      <w:tr>
        <w:tc>
          <w:tcPr>
            <w:tcW w:type="dxa" w:w="961"/>
            <w:tcBorders/>
          </w:tcPr>
          <w:p>
            <w:pPr>
              <w:jc w:val="center"/>
            </w:pPr>
            <w:r>
              <w:rPr>
                <w:rFonts w:ascii="Times New Roman" w:hAnsi="Times New Roman" w:eastAsia="宋体"/>
                <w:sz w:val="21"/>
              </w:rPr>
              <w:t>山东</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0.88</w:t>
            </w:r>
          </w:p>
        </w:tc>
      </w:tr>
      <w:tr>
        <w:tc>
          <w:tcPr>
            <w:tcW w:type="dxa" w:w="961"/>
            <w:tcBorders/>
          </w:tcPr>
          <w:p>
            <w:pPr>
              <w:jc w:val="center"/>
            </w:pPr>
            <w:r>
              <w:rPr>
                <w:rFonts w:ascii="Times New Roman" w:hAnsi="Times New Roman" w:eastAsia="宋体"/>
                <w:sz w:val="21"/>
              </w:rPr>
              <w:t>北京</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0.85</w:t>
            </w:r>
          </w:p>
        </w:tc>
      </w:tr>
      <w:tr>
        <w:tc>
          <w:tcPr>
            <w:tcW w:type="dxa" w:w="961"/>
            <w:tcBorders/>
          </w:tcPr>
          <w:p>
            <w:pPr>
              <w:jc w:val="center"/>
            </w:pPr>
            <w:r>
              <w:rPr>
                <w:rFonts w:ascii="Times New Roman" w:hAnsi="Times New Roman" w:eastAsia="宋体"/>
                <w:sz w:val="21"/>
              </w:rPr>
              <w:t>上海</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0.82</w:t>
            </w:r>
          </w:p>
        </w:tc>
      </w:tr>
      <w:tr>
        <w:tc>
          <w:tcPr>
            <w:tcW w:type="dxa" w:w="961"/>
            <w:tcBorders/>
          </w:tcPr>
          <w:p>
            <w:pPr>
              <w:jc w:val="center"/>
            </w:pPr>
            <w:r>
              <w:rPr>
                <w:rFonts w:ascii="Times New Roman" w:hAnsi="Times New Roman" w:eastAsia="宋体"/>
                <w:sz w:val="21"/>
              </w:rPr>
              <w:t>贵州</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0.80</w:t>
            </w:r>
          </w:p>
        </w:tc>
      </w:tr>
      <w:tr>
        <w:tc>
          <w:tcPr>
            <w:tcW w:type="dxa" w:w="961"/>
            <w:tcBorders/>
          </w:tcPr>
          <w:p>
            <w:pPr>
              <w:jc w:val="center"/>
            </w:pPr>
            <w:r>
              <w:rPr>
                <w:rFonts w:ascii="Times New Roman" w:hAnsi="Times New Roman" w:eastAsia="宋体"/>
                <w:sz w:val="21"/>
              </w:rPr>
              <w:t>四川</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0.81</w:t>
            </w:r>
          </w:p>
        </w:tc>
      </w:tr>
      <w:tr>
        <w:tc>
          <w:tcPr>
            <w:tcW w:type="dxa" w:w="961"/>
            <w:tcBorders/>
          </w:tcPr>
          <w:p>
            <w:pPr>
              <w:jc w:val="center"/>
            </w:pPr>
            <w:r>
              <w:rPr>
                <w:rFonts w:ascii="Times New Roman" w:hAnsi="Times New Roman" w:eastAsia="宋体"/>
                <w:sz w:val="21"/>
              </w:rPr>
              <w:t>福建</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0.80</w:t>
            </w:r>
          </w:p>
        </w:tc>
      </w:tr>
    </w:tbl>
    <w:p/>
    <w:p>
      <w:pPr>
        <w:spacing w:line="360" w:lineRule="auto" w:after="0" w:before="0"/>
      </w:pPr>
      <w:r>
        <w:rPr>
          <w:rFonts w:ascii="Times New Roman" w:hAnsi="Times New Roman" w:eastAsia="黑体"/>
          <w:b/>
          <w:color w:val="000000"/>
          <w:sz w:val="28"/>
        </w:rPr>
        <w:t>附录D 专家咨询问卷</w:t>
      </w:r>
    </w:p>
    <w:p>
      <w:pPr>
        <w:spacing w:line="360" w:lineRule="auto" w:after="0" w:before="0"/>
      </w:pPr>
      <w:r>
        <w:rPr>
          <w:rFonts w:ascii="Times New Roman" w:hAnsi="Times New Roman" w:eastAsia="黑体"/>
          <w:b/>
          <w:color w:val="000000"/>
          <w:sz w:val="24"/>
        </w:rPr>
        <w:t>D.1 DEMATEL专家评分问卷</w:t>
      </w:r>
    </w:p>
    <w:p>
      <w:pPr>
        <w:spacing w:line="360" w:lineRule="auto" w:after="0" w:before="0"/>
        <w:ind w:firstLine="420"/>
      </w:pPr>
      <w:r>
        <w:rPr>
          <w:rFonts w:ascii="Times New Roman" w:hAnsi="Times New Roman" w:eastAsia="宋体"/>
          <w:color w:val="000000"/>
        </w:rPr>
        <w:t>问卷说明： 本问卷旨在识别影响政府数据开放平台绩效的关键因素及其相互关系。请您根据专业判断，评估以下六个因素之间的直接影响程度。评分标准：0=无影响，1=弱影响，2=中等影响，3=强影响，4=极强影响。</w:t>
      </w:r>
    </w:p>
    <w:p>
      <w:pPr>
        <w:spacing w:line="360" w:lineRule="auto" w:after="0" w:before="0"/>
        <w:ind w:firstLine="420"/>
      </w:pPr>
      <w:r>
        <w:rPr>
          <w:rFonts w:ascii="Times New Roman" w:hAnsi="Times New Roman" w:eastAsia="宋体"/>
          <w:color w:val="000000"/>
        </w:rPr>
        <w:t>因素定义：</w:t>
      </w:r>
    </w:p>
    <w:p>
      <w:pPr>
        <w:spacing w:line="360" w:lineRule="auto" w:after="0" w:before="0"/>
        <w:ind w:firstLine="420"/>
      </w:pPr>
      <w:r>
        <w:rPr>
          <w:rFonts w:ascii="Times New Roman" w:hAnsi="Times New Roman" w:eastAsia="宋体"/>
          <w:color w:val="000000"/>
        </w:rPr>
        <w:t>- PL政策法规：地方政府在数据开放领域的制度供给水平</w:t>
      </w:r>
    </w:p>
    <w:p>
      <w:pPr>
        <w:spacing w:line="360" w:lineRule="auto" w:after="0" w:before="0"/>
        <w:ind w:firstLine="420"/>
      </w:pPr>
      <w:r>
        <w:rPr>
          <w:rFonts w:ascii="Times New Roman" w:hAnsi="Times New Roman" w:eastAsia="宋体"/>
          <w:color w:val="000000"/>
        </w:rPr>
        <w:t>- OG平台建设：平台的技术架构、功能完备性和用户体验</w:t>
      </w:r>
    </w:p>
    <w:p>
      <w:pPr>
        <w:spacing w:line="360" w:lineRule="auto" w:after="0" w:before="0"/>
        <w:ind w:firstLine="420"/>
      </w:pPr>
      <w:r>
        <w:rPr>
          <w:rFonts w:ascii="Times New Roman" w:hAnsi="Times New Roman" w:eastAsia="宋体"/>
          <w:color w:val="000000"/>
        </w:rPr>
        <w:t>- PC数据质量：数据的准确性、完整性、及时性和机器可读性</w:t>
      </w:r>
    </w:p>
    <w:p>
      <w:pPr>
        <w:spacing w:line="360" w:lineRule="auto" w:after="0" w:before="0"/>
        <w:ind w:firstLine="420"/>
      </w:pPr>
      <w:r>
        <w:rPr>
          <w:rFonts w:ascii="Times New Roman" w:hAnsi="Times New Roman" w:eastAsia="宋体"/>
          <w:color w:val="000000"/>
        </w:rPr>
        <w:t>- DQ数据集数量：平台数据供给的充分性和可持续性</w:t>
      </w:r>
    </w:p>
    <w:p>
      <w:pPr>
        <w:spacing w:line="360" w:lineRule="auto" w:after="0" w:before="0"/>
        <w:ind w:firstLine="420"/>
      </w:pPr>
      <w:r>
        <w:rPr>
          <w:rFonts w:ascii="Times New Roman" w:hAnsi="Times New Roman" w:eastAsia="宋体"/>
          <w:color w:val="000000"/>
        </w:rPr>
        <w:t>- AE应用效果：数据利用生态的活跃程度</w:t>
      </w:r>
    </w:p>
    <w:p>
      <w:pPr>
        <w:spacing w:line="360" w:lineRule="auto" w:after="0" w:before="0"/>
        <w:ind w:firstLine="420"/>
      </w:pPr>
      <w:r>
        <w:rPr>
          <w:rFonts w:ascii="Times New Roman" w:hAnsi="Times New Roman" w:eastAsia="宋体"/>
          <w:color w:val="000000"/>
        </w:rPr>
        <w:t>- OP运营模式：平台在授权运营等方面的创新程度</w:t>
      </w:r>
    </w:p>
    <w:p>
      <w:pPr>
        <w:spacing w:line="360" w:lineRule="auto" w:after="0" w:before="0"/>
        <w:ind w:firstLine="420"/>
      </w:pPr>
      <w:r>
        <w:rPr>
          <w:rFonts w:ascii="Times New Roman" w:hAnsi="Times New Roman" w:eastAsia="宋体"/>
          <w:color w:val="000000"/>
        </w:rPr>
        <w:t>评分矩阵：（略，同表C-3格式）</w:t>
      </w:r>
    </w:p>
    <w:p>
      <w:pPr>
        <w:spacing w:line="360" w:lineRule="auto" w:after="0" w:before="0"/>
      </w:pPr>
      <w:r>
        <w:rPr>
          <w:rFonts w:ascii="Times New Roman" w:hAnsi="Times New Roman" w:eastAsia="黑体"/>
          <w:b/>
          <w:color w:val="000000"/>
          <w:sz w:val="24"/>
        </w:rPr>
        <w:t>D.2 AHP权重专家咨询问卷</w:t>
      </w:r>
    </w:p>
    <w:p>
      <w:pPr>
        <w:spacing w:line="360" w:lineRule="auto" w:after="0" w:before="0"/>
        <w:ind w:firstLine="420"/>
      </w:pPr>
      <w:r>
        <w:rPr>
          <w:rFonts w:ascii="Times New Roman" w:hAnsi="Times New Roman" w:eastAsia="宋体"/>
          <w:color w:val="000000"/>
        </w:rPr>
        <w:t>问卷说明： 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spacing w:line="360" w:lineRule="auto" w:after="0" w:before="0"/>
        <w:ind w:firstLine="420"/>
      </w:pPr>
      <w:r>
        <w:rPr>
          <w:rFonts w:ascii="Times New Roman" w:hAnsi="Times New Roman" w:eastAsia="宋体"/>
          <w:color w:val="000000"/>
        </w:rPr>
        <w:t>评估维度：</w:t>
      </w:r>
    </w:p>
    <w:p>
      <w:pPr>
        <w:spacing w:line="360" w:lineRule="auto" w:after="0" w:before="0"/>
        <w:ind w:firstLine="420"/>
      </w:pPr>
      <w:r>
        <w:rPr>
          <w:rFonts w:ascii="Times New Roman" w:hAnsi="Times New Roman" w:eastAsia="宋体"/>
          <w:color w:val="000000"/>
        </w:rPr>
        <w:t>- S供给保障：数据资源的充分性和可持续性</w:t>
      </w:r>
    </w:p>
    <w:p>
      <w:pPr>
        <w:spacing w:line="360" w:lineRule="auto" w:after="0" w:before="0"/>
        <w:ind w:firstLine="420"/>
      </w:pPr>
      <w:r>
        <w:rPr>
          <w:rFonts w:ascii="Times New Roman" w:hAnsi="Times New Roman" w:eastAsia="宋体"/>
          <w:color w:val="000000"/>
        </w:rPr>
        <w:t>- P平台服务：平台功能的完备性和用户体验</w:t>
      </w:r>
    </w:p>
    <w:p>
      <w:pPr>
        <w:spacing w:line="360" w:lineRule="auto" w:after="0" w:before="0"/>
        <w:ind w:firstLine="420"/>
      </w:pPr>
      <w:r>
        <w:rPr>
          <w:rFonts w:ascii="Times New Roman" w:hAnsi="Times New Roman" w:eastAsia="宋体"/>
          <w:color w:val="000000"/>
        </w:rPr>
        <w:t>- Q数据质量：数据的技术属性和可用性</w:t>
      </w:r>
    </w:p>
    <w:p>
      <w:pPr>
        <w:spacing w:line="360" w:lineRule="auto" w:after="0" w:before="0"/>
        <w:ind w:firstLine="420"/>
      </w:pPr>
      <w:r>
        <w:rPr>
          <w:rFonts w:ascii="Times New Roman" w:hAnsi="Times New Roman" w:eastAsia="宋体"/>
          <w:color w:val="000000"/>
        </w:rPr>
        <w:t>- U利用效果：数据价值的实现程度</w:t>
      </w:r>
    </w:p>
    <w:p>
      <w:pPr>
        <w:spacing w:line="360" w:lineRule="auto" w:after="0" w:before="0"/>
        <w:ind w:firstLine="420"/>
      </w:pPr>
      <w:r>
        <w:rPr>
          <w:rFonts w:ascii="Times New Roman" w:hAnsi="Times New Roman" w:eastAsia="宋体"/>
          <w:color w:val="000000"/>
        </w:rPr>
        <w:t>- E公平性：数据开放收益的分配公平性</w:t>
      </w:r>
    </w:p>
    <w:p>
      <w:pPr>
        <w:spacing w:line="360" w:lineRule="auto" w:after="0" w:before="0"/>
        <w:ind w:firstLine="420"/>
      </w:pPr>
      <w:r>
        <w:rPr>
          <w:rFonts w:ascii="Times New Roman" w:hAnsi="Times New Roman" w:eastAsia="宋体"/>
          <w:color w:val="000000"/>
        </w:rPr>
        <w:t>比较矩阵：（略）</w:t>
      </w:r>
    </w:p>
    <w:p>
      <w:pPr>
        <w:spacing w:line="360" w:lineRule="auto" w:after="0" w:before="0"/>
      </w:pPr>
      <w:r>
        <w:rPr>
          <w:rFonts w:ascii="Times New Roman" w:hAnsi="Times New Roman" w:eastAsia="黑体"/>
          <w:b/>
          <w:color w:val="000000"/>
          <w:sz w:val="28"/>
        </w:rPr>
        <w:t>附录E 采集系统核心代码</w:t>
      </w:r>
    </w:p>
    <w:p>
      <w:pPr>
        <w:spacing w:line="360" w:lineRule="auto" w:after="0" w:before="0"/>
      </w:pPr>
      <w:r>
        <w:rPr>
          <w:rFonts w:ascii="Times New Roman" w:hAnsi="Times New Roman" w:eastAsia="黑体"/>
          <w:b/>
          <w:color w:val="000000"/>
          <w:sz w:val="24"/>
        </w:rPr>
        <w:t>E.1 平台规则配置示例</w:t>
      </w:r>
    </w:p>
    <w:p>
      <w:pPr>
        <w:ind w:left="567"/>
      </w:pPr>
      <w:r>
        <w:rPr>
          <w:rFonts w:ascii="Courier New" w:hAnsi="Courier New"/>
          <w:color w:val="505050"/>
          <w:sz w:val="20"/>
        </w:rPr>
        <w:t>{</w:t>
        <w:br/>
        <w:t xml:space="preserve">  "platform_name": "广东省数据资源一网共享平台",</w:t>
        <w:br/>
        <w:t xml:space="preserve">  "base_url": "https://data.gd.gov.cn",</w:t>
        <w:br/>
        <w:t xml:space="preserve">  "dataset_list_url": "https://data.gd.gov.cn/api/datasets?page={page}",</w:t>
        <w:br/>
        <w:t xml:space="preserve">  "dataset_detail_url": "https://data.gd.gov.cn/api/datasets/{id}",</w:t>
        <w:br/>
        <w:t xml:space="preserve">  "api_endpoint": "https://data.gd.gov.cn/api/v1",</w:t>
        <w:br/>
        <w:t xml:space="preserve">  "pagination": {</w:t>
        <w:br/>
        <w:t xml:space="preserve">    "type": "page",</w:t>
        <w:br/>
        <w:t xml:space="preserve">    "page_param": "page",</w:t>
        <w:br/>
        <w:t xml:space="preserve">    "page_size": 20,</w:t>
        <w:br/>
        <w:t xml:space="preserve">    "max_pages": 500</w:t>
        <w:br/>
        <w:t xml:space="preserve">  },</w:t>
        <w:br/>
        <w:t xml:space="preserve">  "selectors": {</w:t>
        <w:br/>
        <w:t xml:space="preserve">    "dataset_title": "//h1[@class='dataset-title']",</w:t>
        <w:br/>
        <w:t xml:space="preserve">    "dataset_description": "//div[@class='dataset-desc']",</w:t>
        <w:br/>
        <w:t xml:space="preserve">    "publisher": "//span[@class='publisher']",</w:t>
        <w:br/>
        <w:t xml:space="preserve">    "update_date": "//span[@class='update-date']",</w:t>
        <w:br/>
        <w:t xml:space="preserve">    "data_format": "//span[@class='data-format']",</w:t>
        <w:br/>
        <w:t xml:space="preserve">    "download_url": "//a[@class='download-link']/@href"</w:t>
        <w:br/>
        <w:t xml:space="preserve">  },</w:t>
        <w:br/>
        <w:t xml:space="preserve">  "anti_crawl": {</w:t>
        <w:br/>
        <w:t xml:space="preserve">    "request_interval": 5,</w:t>
        <w:br/>
        <w:t xml:space="preserve">    "user_agent_rotation": true,</w:t>
        <w:br/>
        <w:t xml:space="preserve">    "proxy_pool": false,</w:t>
        <w:br/>
        <w:t xml:space="preserve">    "cookie_persistence": true</w:t>
        <w:br/>
        <w:t xml:space="preserve">  }</w:t>
        <w:br/>
        <w:t>}</w:t>
      </w:r>
    </w:p>
    <w:p>
      <w:pPr>
        <w:spacing w:line="360" w:lineRule="auto" w:after="0" w:before="0"/>
      </w:pPr>
      <w:r>
        <w:rPr>
          <w:rFonts w:ascii="Times New Roman" w:hAnsi="Times New Roman" w:eastAsia="黑体"/>
          <w:b/>
          <w:color w:val="000000"/>
          <w:sz w:val="24"/>
        </w:rPr>
        <w:t>E.2 数据清洗核心代码</w:t>
      </w:r>
    </w:p>
    <w:p>
      <w:pPr>
        <w:ind w:left="567"/>
      </w:pPr>
      <w:r>
        <w:rPr>
          <w:rFonts w:ascii="Courier New" w:hAnsi="Courier New"/>
          <w:color w:val="505050"/>
          <w:sz w:val="20"/>
        </w:rPr>
        <w:t>def clean_dataset(raw_data):</w:t>
        <w:br/>
        <w:t xml:space="preserve">    """清洗数据集数据"""</w:t>
        <w:br/>
        <w:t xml:space="preserve">    cleaned = {}</w:t>
        <w:br/>
        <w:t xml:space="preserve">    # 标题清洗：去除首尾空格和特殊字符</w:t>
        <w:br/>
        <w:t xml:space="preserve">    cleaned['title'] = raw_data.get('title', '').strip()</w:t>
        <w:br/>
        <w:t xml:space="preserve">    # 描述清洗：去除HTML标签，限制长度</w:t>
        <w:br/>
        <w:t xml:space="preserve">    desc = raw_data.get('description', '')</w:t>
        <w:br/>
        <w:t xml:space="preserve">    cleaned['description'] = strip_html_tags(desc)[:500]</w:t>
        <w:br/>
        <w:t xml:space="preserve">    # 日期标准化：统一为YYYY-MM-DD格式</w:t>
        <w:br/>
        <w:t xml:space="preserve">    date_str = raw_data.get('update_date', '')</w:t>
        <w:br/>
        <w:t xml:space="preserve">    cleaned['update_date'] = standardize_date(date_str)</w:t>
        <w:br/>
        <w:t xml:space="preserve">    # 格式标准化：统一为小写</w:t>
        <w:br/>
        <w:t xml:space="preserve">    fmt = raw_data.get('format', '').lower()</w:t>
        <w:br/>
        <w:t xml:space="preserve">    cleaned['format'] = standardize_format(fmt)</w:t>
        <w:br/>
        <w:t xml:space="preserve">    # 去重标记</w:t>
        <w:br/>
        <w:t xml:space="preserve">    cleaned['hash'] = md5(str(raw_data).encode()).hexdigest()</w:t>
        <w:br/>
        <w:t xml:space="preserve">    return cleaned</w:t>
      </w:r>
    </w:p>
    <w:p>
      <w:pPr>
        <w:spacing w:line="360" w:lineRule="auto" w:after="0" w:before="0"/>
        <w:ind w:firstLine="420"/>
      </w:pPr>
      <w:r>
        <w:rPr>
          <w:rFonts w:ascii="Times New Roman" w:hAnsi="Times New Roman" w:eastAsia="宋体"/>
          <w:color w:val="000000"/>
        </w:rPr>
        <w:t>时光荏苒，博士生涯即将画上句号。回首这段求学之路，感慨万千。在此，我要向所有给予我帮助和支持的人致以最诚挚的谢意。</w:t>
      </w:r>
    </w:p>
    <w:p>
      <w:pPr>
        <w:spacing w:line="360" w:lineRule="auto" w:after="0" w:before="0"/>
        <w:ind w:firstLine="420"/>
      </w:pPr>
      <w:r>
        <w:rPr>
          <w:rFonts w:ascii="Times New Roman" w:hAnsi="Times New Roman" w:eastAsia="宋体"/>
          <w:color w:val="000000"/>
        </w:rPr>
        <w:t>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spacing w:line="360" w:lineRule="auto" w:after="0" w:before="0"/>
        <w:ind w:firstLine="420"/>
      </w:pPr>
      <w:r>
        <w:rPr>
          <w:rFonts w:ascii="Times New Roman" w:hAnsi="Times New Roman" w:eastAsia="宋体"/>
          <w:color w:val="000000"/>
        </w:rPr>
        <w:t>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spacing w:line="360" w:lineRule="auto" w:after="0" w:before="0"/>
        <w:ind w:firstLine="420"/>
      </w:pPr>
      <w:r>
        <w:rPr>
          <w:rFonts w:ascii="Times New Roman" w:hAnsi="Times New Roman" w:eastAsia="宋体"/>
          <w:color w:val="000000"/>
        </w:rPr>
        <w:t>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spacing w:line="360" w:lineRule="auto" w:after="0" w:before="0"/>
        <w:ind w:firstLine="420"/>
      </w:pPr>
      <w:r>
        <w:rPr>
          <w:rFonts w:ascii="Times New Roman" w:hAnsi="Times New Roman" w:eastAsia="宋体"/>
          <w:color w:val="000000"/>
        </w:rPr>
        <w:t>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spacing w:line="360" w:lineRule="auto" w:after="0" w:before="0"/>
        <w:ind w:firstLine="420"/>
      </w:pPr>
      <w:r>
        <w:rPr>
          <w:rFonts w:ascii="Times New Roman" w:hAnsi="Times New Roman" w:eastAsia="宋体"/>
          <w:color w:val="000000"/>
        </w:rPr>
        <w:t>最后，我要特别感谢我的家人。感谢父母多年来的养育之恩和无私奉献，是你们无条件的支持让我能够安心完成学业。感谢配偶在论文写作期间的包容和理解，你的陪伴和鼓励是我坚持下去的最大动力。</w:t>
      </w:r>
    </w:p>
    <w:p>
      <w:pPr>
        <w:spacing w:line="360" w:lineRule="auto" w:after="0" w:before="0"/>
        <w:ind w:firstLine="420"/>
      </w:pPr>
      <w:r>
        <w:rPr>
          <w:rFonts w:ascii="Times New Roman" w:hAnsi="Times New Roman" w:eastAsia="宋体"/>
          <w:color w:val="000000"/>
        </w:rPr>
        <w:t>博士生涯的结束意味着新征程的开始。我将带着这份感恩之心，在未来的学术道路和职业生涯中继续努力，不负师恩，不负韶华。</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360" w:lineRule="auto" w:after="0" w:before="0"/>
        <w:ind w:firstLine="420"/>
      </w:pPr>
      <w:r>
        <w:rPr>
          <w:rFonts w:ascii="Times New Roman" w:hAnsi="Times New Roman" w:eastAsia="宋体"/>
          <w:color w:val="000000"/>
        </w:rPr>
        <w:t>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spacing w:line="360" w:lineRule="auto" w:after="0" w:before="0"/>
        <w:ind w:firstLine="420"/>
      </w:pPr>
      <w:r>
        <w:rPr>
          <w:rFonts w:ascii="Times New Roman" w:hAnsi="Times New Roman" w:eastAsia="宋体"/>
          <w:color w:val="000000"/>
        </w:rPr>
        <w:t>本研究使用的数据采集系统OGD-Collector Pro为自主开发的开源工具，源代码已在GitHub平台公开发布，供学术研究和非营利性使用。研究过程中使用的统计分析软件包括Python（pandas、numpy、scipy）、R（QCA包）和MATLAB（DEMATEL工具箱），均通过正规渠道获取。</w:t>
      </w:r>
    </w:p>
    <w:p>
      <w:pPr>
        <w:spacing w:line="360" w:lineRule="auto" w:after="0" w:before="0"/>
        <w:ind w:firstLine="420"/>
      </w:pPr>
      <w:r>
        <w:rPr>
          <w:rFonts w:ascii="Times New Roman" w:hAnsi="Times New Roman" w:eastAsia="宋体"/>
          <w:color w:val="000000"/>
        </w:rPr>
        <w:t>本人承诺：本论文不存在学术不端行为，包括抄袭、剽窃、伪造数据、一稿多投等。如违反上述承诺，本人愿意承担相应的学术责任和法律责任。</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补充讨论</w:t>
      </w:r>
    </w:p>
    <w:p>
      <w:pPr>
        <w:spacing w:line="360" w:lineRule="auto" w:after="0" w:before="0"/>
      </w:pPr>
      <w:r>
        <w:rPr>
          <w:rFonts w:ascii="Times New Roman" w:hAnsi="Times New Roman" w:eastAsia="黑体"/>
          <w:b/>
          <w:color w:val="000000"/>
          <w:sz w:val="28"/>
        </w:rPr>
        <w:t>一、研究方法的局限性及改进方向</w:t>
      </w:r>
    </w:p>
    <w:p>
      <w:pPr>
        <w:spacing w:line="360" w:lineRule="auto" w:after="0" w:before="0"/>
        <w:ind w:firstLine="420"/>
      </w:pPr>
      <w:r>
        <w:rPr>
          <w:rFonts w:ascii="Times New Roman" w:hAnsi="Times New Roman" w:eastAsia="宋体"/>
          <w:color w:val="000000"/>
        </w:rPr>
        <w:t>本研究在方法选择上存在以下局限性，需要在后续研究中加以改进。</w:t>
      </w:r>
    </w:p>
    <w:p>
      <w:pPr>
        <w:spacing w:line="360" w:lineRule="auto" w:after="0" w:before="0"/>
      </w:pPr>
      <w:r>
        <w:rPr>
          <w:rFonts w:ascii="Times New Roman" w:hAnsi="Times New Roman" w:eastAsia="黑体"/>
          <w:b/>
          <w:color w:val="000000"/>
          <w:sz w:val="24"/>
        </w:rPr>
        <w:t>1.1 数据采集的局限性</w:t>
      </w:r>
    </w:p>
    <w:p>
      <w:pPr>
        <w:spacing w:line="360" w:lineRule="auto" w:after="0" w:before="0"/>
        <w:ind w:firstLine="420"/>
      </w:pPr>
      <w:r>
        <w:rPr>
          <w:rFonts w:ascii="Times New Roman" w:hAnsi="Times New Roman" w:eastAsia="宋体"/>
          <w:color w:val="000000"/>
        </w:rPr>
        <w:t>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spacing w:line="360" w:lineRule="auto" w:after="0" w:before="0"/>
        <w:ind w:firstLine="420"/>
      </w:pPr>
      <w:r>
        <w:rPr>
          <w:rFonts w:ascii="Times New Roman" w:hAnsi="Times New Roman" w:eastAsia="宋体"/>
          <w:color w:val="000000"/>
        </w:rPr>
        <w:t>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p>
      <w:pPr>
        <w:spacing w:line="360" w:lineRule="auto" w:after="0" w:before="0"/>
      </w:pPr>
      <w:r>
        <w:rPr>
          <w:rFonts w:ascii="Times New Roman" w:hAnsi="Times New Roman" w:eastAsia="黑体"/>
          <w:b/>
          <w:color w:val="000000"/>
          <w:sz w:val="24"/>
        </w:rPr>
        <w:t>1.2 评估指标的局限性</w:t>
      </w:r>
    </w:p>
    <w:p>
      <w:pPr>
        <w:spacing w:line="360" w:lineRule="auto" w:after="0" w:before="0"/>
        <w:ind w:firstLine="420"/>
      </w:pPr>
      <w:r>
        <w:rPr>
          <w:rFonts w:ascii="Times New Roman" w:hAnsi="Times New Roman" w:eastAsia="宋体"/>
          <w:color w:val="000000"/>
        </w:rPr>
        <w:t>本研究的评估指标体系虽然力求全面和科学，但仍存在以下局限。第一，部分指标的测量精度有限——如"应用成果数量"的统计依赖于公开渠道的信息收集，可能存在遗漏；"数据质量"的评估依赖于抽样检查，样本的代表性可能影响评估结果的准确性。第二，部分重要维度未能纳入评估——如"数据安全""隐私保护""用户满意度"等维度，由于缺乏可获取的客观数据，未能纳入正式的评估指标体系。第三，指标权重的设定存在主观性——虽然本研究采用了AHP-熵权组合赋权法，但AHP权重依赖于专家的主观判断，不同专家可能给出不同的权重分配。</w:t>
      </w:r>
    </w:p>
    <w:p>
      <w:pPr>
        <w:spacing w:line="360" w:lineRule="auto" w:after="0" w:before="0"/>
        <w:ind w:firstLine="420"/>
      </w:pPr>
      <w:r>
        <w:rPr>
          <w:rFonts w:ascii="Times New Roman" w:hAnsi="Times New Roman" w:eastAsia="宋体"/>
          <w:color w:val="000000"/>
        </w:rPr>
        <w:t>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p>
      <w:pPr>
        <w:spacing w:line="360" w:lineRule="auto" w:after="0" w:before="0"/>
      </w:pPr>
      <w:r>
        <w:rPr>
          <w:rFonts w:ascii="Times New Roman" w:hAnsi="Times New Roman" w:eastAsia="黑体"/>
          <w:b/>
          <w:color w:val="000000"/>
          <w:sz w:val="24"/>
        </w:rPr>
        <w:t>1.3 研究样本的局限性</w:t>
      </w:r>
    </w:p>
    <w:p>
      <w:pPr>
        <w:spacing w:line="360" w:lineRule="auto" w:after="0" w:before="0"/>
        <w:ind w:firstLine="420"/>
      </w:pPr>
      <w:r>
        <w:rPr>
          <w:rFonts w:ascii="Times New Roman" w:hAnsi="Times New Roman" w:eastAsia="宋体"/>
          <w:color w:val="000000"/>
        </w:rPr>
        <w:t>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spacing w:line="360" w:lineRule="auto" w:after="0" w:before="0"/>
        <w:ind w:firstLine="420"/>
      </w:pPr>
      <w:r>
        <w:rPr>
          <w:rFonts w:ascii="Times New Roman" w:hAnsi="Times New Roman" w:eastAsia="宋体"/>
          <w:color w:val="000000"/>
        </w:rPr>
        <w:t>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p>
      <w:pPr>
        <w:spacing w:line="360" w:lineRule="auto" w:after="0" w:before="0"/>
      </w:pPr>
      <w:r>
        <w:rPr>
          <w:rFonts w:ascii="Times New Roman" w:hAnsi="Times New Roman" w:eastAsia="黑体"/>
          <w:b/>
          <w:color w:val="000000"/>
          <w:sz w:val="28"/>
        </w:rPr>
        <w:t>二、研究发现的政策含义</w:t>
      </w:r>
    </w:p>
    <w:p>
      <w:pPr>
        <w:spacing w:line="360" w:lineRule="auto" w:after="0" w:before="0"/>
        <w:ind w:firstLine="420"/>
      </w:pPr>
      <w:r>
        <w:rPr>
          <w:rFonts w:ascii="Times New Roman" w:hAnsi="Times New Roman" w:eastAsia="宋体"/>
          <w:color w:val="000000"/>
        </w:rPr>
        <w:t>本研究的研究发现对政府数据开放的政策制定和实践操作具有以下含义。</w:t>
      </w:r>
    </w:p>
    <w:p>
      <w:pPr>
        <w:spacing w:line="360" w:lineRule="auto" w:after="0" w:before="0"/>
      </w:pPr>
      <w:r>
        <w:rPr>
          <w:rFonts w:ascii="Times New Roman" w:hAnsi="Times New Roman" w:eastAsia="黑体"/>
          <w:b/>
          <w:color w:val="000000"/>
          <w:sz w:val="24"/>
        </w:rPr>
        <w:t>2.1 对评估体系建设的政策含义</w:t>
      </w:r>
    </w:p>
    <w:p>
      <w:pPr>
        <w:spacing w:line="360" w:lineRule="auto" w:after="0" w:before="0"/>
        <w:ind w:firstLine="420"/>
      </w:pPr>
      <w:r>
        <w:rPr>
          <w:rFonts w:ascii="Times New Roman" w:hAnsi="Times New Roman" w:eastAsia="宋体"/>
          <w:color w:val="000000"/>
        </w:rPr>
        <w:t>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p>
      <w:pPr>
        <w:spacing w:line="360" w:lineRule="auto" w:after="0" w:before="0"/>
      </w:pPr>
      <w:r>
        <w:rPr>
          <w:rFonts w:ascii="Times New Roman" w:hAnsi="Times New Roman" w:eastAsia="黑体"/>
          <w:b/>
          <w:color w:val="000000"/>
          <w:sz w:val="24"/>
        </w:rPr>
        <w:t>2.2 对平台运营优化的政策含义</w:t>
      </w:r>
    </w:p>
    <w:p>
      <w:pPr>
        <w:spacing w:line="360" w:lineRule="auto" w:after="0" w:before="0"/>
        <w:ind w:firstLine="420"/>
      </w:pPr>
      <w:r>
        <w:rPr>
          <w:rFonts w:ascii="Times New Roman" w:hAnsi="Times New Roman" w:eastAsia="宋体"/>
          <w:color w:val="000000"/>
        </w:rPr>
        <w:t>本研究发现，不同类型平台的绩效短板和优化路径截然不同，"一刀切"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p>
      <w:pPr>
        <w:spacing w:line="360" w:lineRule="auto" w:after="0" w:before="0"/>
      </w:pPr>
      <w:r>
        <w:rPr>
          <w:rFonts w:ascii="Times New Roman" w:hAnsi="Times New Roman" w:eastAsia="黑体"/>
          <w:b/>
          <w:color w:val="000000"/>
          <w:sz w:val="24"/>
        </w:rPr>
        <w:t>2.3 对制度环境建设的政策含义</w:t>
      </w:r>
    </w:p>
    <w:p>
      <w:pPr>
        <w:spacing w:line="360" w:lineRule="auto" w:after="0" w:before="0"/>
        <w:ind w:firstLine="420"/>
      </w:pPr>
      <w:r>
        <w:rPr>
          <w:rFonts w:ascii="Times New Roman" w:hAnsi="Times New Roman" w:eastAsia="宋体"/>
          <w:color w:val="000000"/>
        </w:rPr>
        <w:t>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p>
      <w:pPr>
        <w:spacing w:line="360" w:lineRule="auto" w:after="0" w:before="0"/>
      </w:pPr>
      <w:r>
        <w:rPr>
          <w:rFonts w:ascii="Times New Roman" w:hAnsi="Times New Roman" w:eastAsia="黑体"/>
          <w:b/>
          <w:color w:val="000000"/>
          <w:sz w:val="28"/>
        </w:rPr>
        <w:t>三、研究展望</w:t>
      </w:r>
    </w:p>
    <w:p>
      <w:pPr>
        <w:spacing w:line="360" w:lineRule="auto" w:after="0" w:before="0"/>
        <w:ind w:firstLine="420"/>
      </w:pPr>
      <w:r>
        <w:rPr>
          <w:rFonts w:ascii="Times New Roman" w:hAnsi="Times New Roman" w:eastAsia="宋体"/>
          <w:color w:val="000000"/>
        </w:rPr>
        <w:t>基于本研究的发现和局限，未来研究可以从以下几个方向展开。</w:t>
      </w:r>
    </w:p>
    <w:p>
      <w:pPr>
        <w:spacing w:line="360" w:lineRule="auto" w:after="0" w:before="0"/>
      </w:pPr>
      <w:r>
        <w:rPr>
          <w:rFonts w:ascii="Times New Roman" w:hAnsi="Times New Roman" w:eastAsia="黑体"/>
          <w:b/>
          <w:color w:val="000000"/>
          <w:sz w:val="24"/>
        </w:rPr>
        <w:t>3.1 动态追踪研究</w:t>
      </w:r>
    </w:p>
    <w:p>
      <w:pPr>
        <w:spacing w:line="360" w:lineRule="auto" w:after="0" w:before="0"/>
        <w:ind w:firstLine="420"/>
      </w:pPr>
      <w:r>
        <w:rPr>
          <w:rFonts w:ascii="Times New Roman" w:hAnsi="Times New Roman" w:eastAsia="宋体"/>
          <w:color w:val="000000"/>
        </w:rPr>
        <w:t>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p>
      <w:pPr>
        <w:spacing w:line="360" w:lineRule="auto" w:after="0" w:before="0"/>
      </w:pPr>
      <w:r>
        <w:rPr>
          <w:rFonts w:ascii="Times New Roman" w:hAnsi="Times New Roman" w:eastAsia="黑体"/>
          <w:b/>
          <w:color w:val="000000"/>
          <w:sz w:val="24"/>
        </w:rPr>
        <w:t>3.2 授权运营评估研究</w:t>
      </w:r>
    </w:p>
    <w:p>
      <w:pPr>
        <w:spacing w:line="360" w:lineRule="auto" w:after="0" w:before="0"/>
        <w:ind w:firstLine="420"/>
      </w:pPr>
      <w:r>
        <w:rPr>
          <w:rFonts w:ascii="Times New Roman" w:hAnsi="Times New Roman" w:eastAsia="宋体"/>
          <w:color w:val="000000"/>
        </w:rPr>
        <w:t>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p>
      <w:pPr>
        <w:spacing w:line="360" w:lineRule="auto" w:after="0" w:before="0"/>
      </w:pPr>
      <w:r>
        <w:rPr>
          <w:rFonts w:ascii="Times New Roman" w:hAnsi="Times New Roman" w:eastAsia="黑体"/>
          <w:b/>
          <w:color w:val="000000"/>
          <w:sz w:val="24"/>
        </w:rPr>
        <w:t>3.3 人工智能与数据开放</w:t>
      </w:r>
    </w:p>
    <w:p>
      <w:pPr>
        <w:spacing w:line="360" w:lineRule="auto" w:after="0" w:before="0"/>
        <w:ind w:firstLine="420"/>
      </w:pPr>
      <w:r>
        <w:rPr>
          <w:rFonts w:ascii="Times New Roman" w:hAnsi="Times New Roman" w:eastAsia="宋体"/>
          <w:color w:val="000000"/>
        </w:rPr>
        <w:t>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p>
      <w:pPr>
        <w:spacing w:line="360" w:lineRule="auto" w:after="0" w:before="0"/>
      </w:pPr>
      <w:r>
        <w:rPr>
          <w:rFonts w:ascii="Times New Roman" w:hAnsi="Times New Roman" w:eastAsia="黑体"/>
          <w:b/>
          <w:color w:val="000000"/>
          <w:sz w:val="24"/>
        </w:rPr>
        <w:t>3.4 国际比较研究</w:t>
      </w:r>
    </w:p>
    <w:p>
      <w:pPr>
        <w:spacing w:line="360" w:lineRule="auto" w:after="0" w:before="0"/>
        <w:ind w:firstLine="420"/>
      </w:pPr>
      <w:r>
        <w:rPr>
          <w:rFonts w:ascii="Times New Roman" w:hAnsi="Times New Roman" w:eastAsia="宋体"/>
          <w:color w:val="000000"/>
        </w:rPr>
        <w:t>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p>
      <w:pPr>
        <w:spacing w:line="360" w:lineRule="auto" w:after="0" w:before="0"/>
      </w:pPr>
      <w:r>
        <w:rPr>
          <w:rFonts w:ascii="Times New Roman" w:hAnsi="Times New Roman" w:eastAsia="黑体"/>
          <w:b/>
          <w:color w:val="000000"/>
          <w:sz w:val="24"/>
        </w:rPr>
        <w:t>3.5 因果识别研究</w:t>
      </w:r>
    </w:p>
    <w:p>
      <w:pPr>
        <w:spacing w:line="360" w:lineRule="auto" w:after="0" w:before="0"/>
        <w:ind w:firstLine="420"/>
      </w:pPr>
      <w:r>
        <w:rPr>
          <w:rFonts w:ascii="Times New Roman" w:hAnsi="Times New Roman" w:eastAsia="宋体"/>
          <w:color w:val="000000"/>
        </w:rPr>
        <w:t>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补充讨论：研究方法的反思与局限</w:t>
      </w:r>
    </w:p>
    <w:p>
      <w:pPr>
        <w:spacing w:line="360" w:lineRule="auto" w:after="0" w:before="0"/>
      </w:pPr>
      <w:r>
        <w:rPr>
          <w:rFonts w:ascii="Times New Roman" w:hAnsi="Times New Roman" w:eastAsia="黑体"/>
          <w:b/>
          <w:color w:val="000000"/>
          <w:sz w:val="24"/>
        </w:rPr>
        <w:t>一、数据采集方法的局限与改进</w:t>
      </w:r>
    </w:p>
    <w:p>
      <w:pPr>
        <w:spacing w:line="360" w:lineRule="auto" w:after="0" w:before="0"/>
        <w:ind w:firstLine="420"/>
      </w:pPr>
      <w:r>
        <w:rPr>
          <w:rFonts w:ascii="Times New Roman" w:hAnsi="Times New Roman" w:eastAsia="宋体"/>
          <w:color w:val="000000"/>
        </w:rPr>
        <w:t>本研究的数据采集主要依托自主开发的OGD-Collector Pro系统完成。虽然该系统支持多平台并发采集、自动重试和增量更新，但在实际运行中仍面临以下技术挑战。</w:t>
      </w:r>
    </w:p>
    <w:p>
      <w:pPr>
        <w:spacing w:line="360" w:lineRule="auto" w:after="0" w:before="0"/>
        <w:ind w:firstLine="420"/>
      </w:pPr>
      <w:r>
        <w:rPr>
          <w:rFonts w:ascii="Times New Roman" w:hAnsi="Times New Roman" w:eastAsia="宋体"/>
          <w:color w:val="000000"/>
        </w:rPr>
        <w:t>第一，动态页面的解析难题。 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28个样本平台中，约有40%的平台采用了不同程度的动态渲染技术，对采集系统的适应性提出了较高要求。</w:t>
      </w:r>
    </w:p>
    <w:p>
      <w:pPr>
        <w:spacing w:line="360" w:lineRule="auto" w:after="0" w:before="0"/>
        <w:ind w:firstLine="420"/>
      </w:pPr>
      <w:r>
        <w:rPr>
          <w:rFonts w:ascii="Times New Roman" w:hAnsi="Times New Roman" w:eastAsia="宋体"/>
          <w:color w:val="000000"/>
        </w:rPr>
        <w:t>第二，反爬机制的应对策略。 部分平台设置了访问频率限制（如每分钟最多10次请求）、IP封锁（连续失败5次后封禁24小时）和验证码验证（图形验证码或滑块验证码）。OGD-Collector Pro通过以下策略应对反爬机制：（1）设置随机请求间隔（1-3秒随机延迟），模拟人类浏览行为；（2）使用代理IP池轮换访问，避免单一IP被封禁；（3）集成验证码识别服务（如Tesseract OCR），自动处理简单图形验证码。然而，对于复杂的滑块验证码和点击验证码，系统仍需要人工干预，这在一定程度上影响了采集的自动化程度。</w:t>
      </w:r>
    </w:p>
    <w:p>
      <w:pPr>
        <w:spacing w:line="360" w:lineRule="auto" w:after="0" w:before="0"/>
        <w:ind w:firstLine="420"/>
      </w:pPr>
      <w:r>
        <w:rPr>
          <w:rFonts w:ascii="Times New Roman" w:hAnsi="Times New Roman" w:eastAsia="宋体"/>
          <w:color w:val="000000"/>
        </w:rPr>
        <w:t>第三，页面结构变化的适应性。 政府数据开放平台的页面结构并非一成不变——平台改版、功能升级、UI重构都会导致页面结构的变化。在本研究的一年采集周期内，约有30%的平台经历了不同程度的页面改版，导致原有的解析规则失效。OGD-Collector 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spacing w:line="360" w:lineRule="auto" w:after="0" w:before="0"/>
        <w:ind w:firstLine="420"/>
      </w:pPr>
      <w:r>
        <w:rPr>
          <w:rFonts w:ascii="Times New Roman" w:hAnsi="Times New Roman" w:eastAsia="宋体"/>
          <w:color w:val="000000"/>
        </w:rPr>
        <w:t>第四，数据质量的校验机制。 采集到的原始数据可能存在缺失值、异常值和格式不一致等问题。OGD-Collector 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spacing w:line="360" w:lineRule="auto" w:after="0" w:before="0"/>
        <w:ind w:firstLine="420"/>
      </w:pPr>
      <w:r>
        <w:rPr>
          <w:rFonts w:ascii="Times New Roman" w:hAnsi="Times New Roman" w:eastAsia="宋体"/>
          <w:color w:val="000000"/>
        </w:rPr>
        <w:t>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p>
      <w:pPr>
        <w:spacing w:line="360" w:lineRule="auto" w:after="0" w:before="0"/>
      </w:pPr>
      <w:r>
        <w:rPr>
          <w:rFonts w:ascii="Times New Roman" w:hAnsi="Times New Roman" w:eastAsia="黑体"/>
          <w:b/>
          <w:color w:val="000000"/>
          <w:sz w:val="24"/>
        </w:rPr>
        <w:t>二、评估指标体系的完善方向</w:t>
      </w:r>
    </w:p>
    <w:p>
      <w:pPr>
        <w:spacing w:line="360" w:lineRule="auto" w:after="0" w:before="0"/>
        <w:ind w:firstLine="420"/>
      </w:pPr>
      <w:r>
        <w:rPr>
          <w:rFonts w:ascii="Times New Roman" w:hAnsi="Times New Roman" w:eastAsia="宋体"/>
          <w:color w:val="000000"/>
        </w:rPr>
        <w:t>本研究构建的4E评估指标体系虽然力求全面和科学，但仍存在进一步完善的空间。</w:t>
      </w:r>
    </w:p>
    <w:p>
      <w:pPr>
        <w:spacing w:line="360" w:lineRule="auto" w:after="0" w:before="0"/>
        <w:ind w:firstLine="420"/>
      </w:pPr>
      <w:r>
        <w:rPr>
          <w:rFonts w:ascii="Times New Roman" w:hAnsi="Times New Roman" w:eastAsia="宋体"/>
          <w:color w:val="000000"/>
        </w:rPr>
        <w:t>第一，部分指标的测量精度有待提升。 例如，"应用成果数量"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 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spacing w:line="360" w:lineRule="auto" w:after="0" w:before="0"/>
        <w:ind w:firstLine="420"/>
      </w:pPr>
      <w:r>
        <w:rPr>
          <w:rFonts w:ascii="Times New Roman" w:hAnsi="Times New Roman" w:eastAsia="宋体"/>
          <w:color w:val="000000"/>
        </w:rPr>
        <w:t>第二，部分重要维度未能纳入评估。 本研究的评估体系主要关注数据开放的"供给侧"和"效果侧"，对"数据安全""隐私保护""用户满意度"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spacing w:line="360" w:lineRule="auto" w:after="0" w:before="0"/>
        <w:ind w:firstLine="420"/>
      </w:pPr>
      <w:r>
        <w:rPr>
          <w:rFonts w:ascii="Times New Roman" w:hAnsi="Times New Roman" w:eastAsia="宋体"/>
          <w:color w:val="000000"/>
        </w:rPr>
        <w:t>第三，指标权重的动态调整机制。 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p>
      <w:pPr>
        <w:spacing w:line="360" w:lineRule="auto" w:after="0" w:before="0"/>
      </w:pPr>
      <w:r>
        <w:rPr>
          <w:rFonts w:ascii="Times New Roman" w:hAnsi="Times New Roman" w:eastAsia="黑体"/>
          <w:b/>
          <w:color w:val="000000"/>
          <w:sz w:val="24"/>
        </w:rPr>
        <w:t>三、研究结论的适用范围与推广</w:t>
      </w:r>
    </w:p>
    <w:p>
      <w:pPr>
        <w:spacing w:line="360" w:lineRule="auto" w:after="0" w:before="0"/>
        <w:ind w:firstLine="420"/>
      </w:pPr>
      <w:r>
        <w:rPr>
          <w:rFonts w:ascii="Times New Roman" w:hAnsi="Times New Roman" w:eastAsia="宋体"/>
          <w:color w:val="000000"/>
        </w:rPr>
        <w:t>本研究以省级政府数据开放平台为研究对象，研究结论的适用范围需要审慎界定。</w:t>
      </w:r>
    </w:p>
    <w:p>
      <w:pPr>
        <w:spacing w:line="360" w:lineRule="auto" w:after="0" w:before="0"/>
        <w:ind w:firstLine="420"/>
      </w:pPr>
      <w:r>
        <w:rPr>
          <w:rFonts w:ascii="Times New Roman" w:hAnsi="Times New Roman" w:eastAsia="宋体"/>
          <w:color w:val="000000"/>
        </w:rPr>
        <w:t>第一，省级平台与地市级平台的差异。 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spacing w:line="360" w:lineRule="auto" w:after="0" w:before="0"/>
        <w:ind w:firstLine="420"/>
      </w:pPr>
      <w:r>
        <w:rPr>
          <w:rFonts w:ascii="Times New Roman" w:hAnsi="Times New Roman" w:eastAsia="宋体"/>
          <w:color w:val="000000"/>
        </w:rPr>
        <w:t>第二，综合型平台与主题型平台的差异。 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spacing w:line="360" w:lineRule="auto" w:after="0" w:before="0"/>
        <w:ind w:firstLine="420"/>
      </w:pPr>
      <w:r>
        <w:rPr>
          <w:rFonts w:ascii="Times New Roman" w:hAnsi="Times New Roman" w:eastAsia="宋体"/>
          <w:color w:val="000000"/>
        </w:rPr>
        <w:t>第三，时间维度的局限性。 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p>
      <w:pPr>
        <w:spacing w:line="360" w:lineRule="auto" w:after="0" w:before="0"/>
      </w:pPr>
      <w:r>
        <w:rPr>
          <w:rFonts w:ascii="Times New Roman" w:hAnsi="Times New Roman" w:eastAsia="黑体"/>
          <w:b/>
          <w:color w:val="000000"/>
          <w:sz w:val="24"/>
        </w:rPr>
        <w:t>四、对"数据口径幻觉"现象的进一步思考</w:t>
      </w:r>
    </w:p>
    <w:p>
      <w:pPr>
        <w:spacing w:line="360" w:lineRule="auto" w:after="0" w:before="0"/>
        <w:ind w:firstLine="420"/>
      </w:pPr>
      <w:r>
        <w:rPr>
          <w:rFonts w:ascii="Times New Roman" w:hAnsi="Times New Roman" w:eastAsia="宋体"/>
          <w:color w:val="000000"/>
        </w:rPr>
        <w:t>"数据口径幻觉"是本研究提出的核心概念之一，其理论内涵和实践意义值得进一步探讨。</w:t>
      </w:r>
    </w:p>
    <w:p>
      <w:pPr>
        <w:spacing w:line="360" w:lineRule="auto" w:after="0" w:before="0"/>
        <w:ind w:firstLine="420"/>
      </w:pPr>
      <w:r>
        <w:rPr>
          <w:rFonts w:ascii="Times New Roman" w:hAnsi="Times New Roman" w:eastAsia="宋体"/>
          <w:color w:val="000000"/>
        </w:rPr>
        <w:t>第一，"数据口径幻觉"的测量方法。 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有效数据集"的判定标准也可以进一步细化——除了本研究提出的四个条件（实质内容、可机读格式、完整元数据、近期更新），还可以增加数据准确性、数据一致性和数据完整性等维度。</w:t>
      </w:r>
    </w:p>
    <w:p>
      <w:pPr>
        <w:spacing w:line="360" w:lineRule="auto" w:after="0" w:before="0"/>
        <w:ind w:firstLine="420"/>
      </w:pPr>
      <w:r>
        <w:rPr>
          <w:rFonts w:ascii="Times New Roman" w:hAnsi="Times New Roman" w:eastAsia="宋体"/>
          <w:color w:val="000000"/>
        </w:rPr>
        <w:t>第二，"数据口径幻觉"的形成机制。 本研究从评估导向的角度解释了"数据口径幻觉"的形成原因——当评估体系将"目录数量"作为核心指标时，平台运营者面临最大化目录数量的激励。然而，"数据口径幻觉"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spacing w:line="360" w:lineRule="auto" w:after="0" w:before="0"/>
        <w:ind w:firstLine="420"/>
      </w:pPr>
      <w:r>
        <w:rPr>
          <w:rFonts w:ascii="Times New Roman" w:hAnsi="Times New Roman" w:eastAsia="宋体"/>
          <w:color w:val="000000"/>
        </w:rPr>
        <w:t>第三，"数据口径幻觉"的治理策略。 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附录E：OGD-Collector Pro数据采集系统技术文档</w:t>
      </w:r>
    </w:p>
    <w:p>
      <w:pPr>
        <w:spacing w:line="360" w:lineRule="auto" w:after="0" w:before="0"/>
      </w:pPr>
      <w:r>
        <w:rPr>
          <w:rFonts w:ascii="Times New Roman" w:hAnsi="Times New Roman" w:eastAsia="黑体"/>
          <w:b/>
          <w:color w:val="000000"/>
          <w:sz w:val="24"/>
        </w:rPr>
        <w:t>E.1 系统架构设计</w:t>
      </w:r>
    </w:p>
    <w:p>
      <w:pPr>
        <w:spacing w:line="360" w:lineRule="auto" w:after="0" w:before="0"/>
        <w:ind w:firstLine="420"/>
      </w:pPr>
      <w:r>
        <w:rPr>
          <w:rFonts w:ascii="Times New Roman" w:hAnsi="Times New Roman" w:eastAsia="宋体"/>
          <w:color w:val="000000"/>
        </w:rPr>
        <w:t>OGD-Collector Pro采用模块化、可扩展的三层架构设计，包括数据层、采集层和应用层。</w:t>
      </w:r>
    </w:p>
    <w:p>
      <w:pPr>
        <w:spacing w:line="360" w:lineRule="auto" w:after="0" w:before="0"/>
        <w:ind w:firstLine="420"/>
      </w:pPr>
      <w:r>
        <w:rPr>
          <w:rFonts w:ascii="Times New Roman" w:hAnsi="Times New Roman" w:eastAsia="宋体"/>
          <w:color w:val="000000"/>
        </w:rPr>
        <w:t>数据层负责数据的持久化存储和管理，包括：（1）平台规则库——存储28个省级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spacing w:line="360" w:lineRule="auto" w:after="0" w:before="0"/>
        <w:ind w:firstLine="420"/>
      </w:pPr>
      <w:r>
        <w:rPr>
          <w:rFonts w:ascii="Times New Roman" w:hAnsi="Times New Roman" w:eastAsia="宋体"/>
          <w:color w:val="000000"/>
        </w:rPr>
        <w:t>采集层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spacing w:line="360" w:lineRule="auto" w:after="0" w:before="0"/>
        <w:ind w:firstLine="420"/>
      </w:pPr>
      <w:r>
        <w:rPr>
          <w:rFonts w:ascii="Times New Roman" w:hAnsi="Times New Roman" w:eastAsia="宋体"/>
          <w:color w:val="000000"/>
        </w:rPr>
        <w:t>应用层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 API，支持外部系统调用采集数据。应用层基于Flask框架构建，采用Bootstrap前端框架实现响应式布局，支持PC端和移动端访问。</w:t>
      </w:r>
    </w:p>
    <w:p>
      <w:pPr>
        <w:spacing w:line="360" w:lineRule="auto" w:after="0" w:before="0"/>
      </w:pPr>
      <w:r>
        <w:rPr>
          <w:rFonts w:ascii="Times New Roman" w:hAnsi="Times New Roman" w:eastAsia="黑体"/>
          <w:b/>
          <w:color w:val="000000"/>
          <w:sz w:val="24"/>
        </w:rPr>
        <w:t>E.2 采集流程说明</w:t>
      </w:r>
    </w:p>
    <w:p>
      <w:pPr>
        <w:spacing w:line="360" w:lineRule="auto" w:after="0" w:before="0"/>
        <w:ind w:firstLine="420"/>
      </w:pPr>
      <w:r>
        <w:rPr>
          <w:rFonts w:ascii="Times New Roman" w:hAnsi="Times New Roman" w:eastAsia="宋体"/>
          <w:color w:val="000000"/>
        </w:rPr>
        <w:t>OGD-Collector Pro的采集流程分为六个阶段：准备阶段、采集阶段、解析阶段、清洗阶段、校验阶段和入库阶段。</w:t>
      </w:r>
    </w:p>
    <w:p>
      <w:pPr>
        <w:spacing w:line="360" w:lineRule="auto" w:after="0" w:before="0"/>
        <w:ind w:firstLine="420"/>
      </w:pPr>
      <w:r>
        <w:rPr>
          <w:rFonts w:ascii="Times New Roman" w:hAnsi="Times New Roman" w:eastAsia="宋体"/>
          <w:color w:val="000000"/>
        </w:rPr>
        <w:t>准备阶段：系统从平台规则库加载目标平台的采集配置，包括起始URL、分页规则、解析模板和反爬策略。同时，系统检查网络连接状态、代理IP池可用性和存储空间余量，确保采集环境就绪。</w:t>
      </w:r>
    </w:p>
    <w:p>
      <w:pPr>
        <w:spacing w:line="360" w:lineRule="auto" w:after="0" w:before="0"/>
        <w:ind w:firstLine="420"/>
      </w:pPr>
      <w:r>
        <w:rPr>
          <w:rFonts w:ascii="Times New Roman" w:hAnsi="Times New Roman" w:eastAsia="宋体"/>
          <w:color w:val="000000"/>
        </w:rPr>
        <w:t>采集阶段：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spacing w:line="360" w:lineRule="auto" w:after="0" w:before="0"/>
        <w:ind w:firstLine="420"/>
      </w:pPr>
      <w:r>
        <w:rPr>
          <w:rFonts w:ascii="Times New Roman" w:hAnsi="Times New Roman" w:eastAsia="宋体"/>
          <w:color w:val="000000"/>
        </w:rPr>
        <w:t>解析阶段：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spacing w:line="360" w:lineRule="auto" w:after="0" w:before="0"/>
        <w:ind w:firstLine="420"/>
      </w:pPr>
      <w:r>
        <w:rPr>
          <w:rFonts w:ascii="Times New Roman" w:hAnsi="Times New Roman" w:eastAsia="宋体"/>
          <w:color w:val="000000"/>
        </w:rPr>
        <w:t>清洗阶段：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spacing w:line="360" w:lineRule="auto" w:after="0" w:before="0"/>
        <w:ind w:firstLine="420"/>
      </w:pPr>
      <w:r>
        <w:rPr>
          <w:rFonts w:ascii="Times New Roman" w:hAnsi="Times New Roman" w:eastAsia="宋体"/>
          <w:color w:val="000000"/>
        </w:rPr>
        <w:t>校验阶段：校验模块对清洗后的数据进行质量检查，包括：（1）完整性检查——检查必填字段是否缺失；（2）一致性检查——检查字段值是否在合理范围内；（3）逻辑检查——检查字段间的逻辑关系是否成立；（4）重复检查——检查是否存在重复记录。</w:t>
      </w:r>
    </w:p>
    <w:p>
      <w:pPr>
        <w:spacing w:line="360" w:lineRule="auto" w:after="0" w:before="0"/>
        <w:ind w:firstLine="420"/>
      </w:pPr>
      <w:r>
        <w:rPr>
          <w:rFonts w:ascii="Times New Roman" w:hAnsi="Times New Roman" w:eastAsia="宋体"/>
          <w:color w:val="000000"/>
        </w:rPr>
        <w:t>入库阶段：通过校验的数据被写入清洗数据库，未通过校验的数据被写入异常数据库并标记错误类型。同时，系统更新元数据库中的采集状态、数据量和质量评分。</w:t>
      </w:r>
    </w:p>
    <w:p>
      <w:pPr>
        <w:spacing w:line="360" w:lineRule="auto" w:after="0" w:before="0"/>
      </w:pPr>
      <w:r>
        <w:rPr>
          <w:rFonts w:ascii="Times New Roman" w:hAnsi="Times New Roman" w:eastAsia="黑体"/>
          <w:b/>
          <w:color w:val="000000"/>
          <w:sz w:val="24"/>
        </w:rPr>
        <w:t>E.3 平台适配规则示例</w:t>
      </w:r>
    </w:p>
    <w:p>
      <w:pPr>
        <w:spacing w:line="360" w:lineRule="auto" w:after="0" w:before="0"/>
        <w:ind w:firstLine="420"/>
      </w:pPr>
      <w:r>
        <w:rPr>
          <w:rFonts w:ascii="Times New Roman" w:hAnsi="Times New Roman" w:eastAsia="宋体"/>
          <w:color w:val="000000"/>
        </w:rPr>
        <w:t>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p>
      <w:pPr>
        <w:spacing w:line="360" w:lineRule="auto" w:after="0" w:before="0"/>
      </w:pPr>
      <w:r>
        <w:rPr>
          <w:rFonts w:ascii="Times New Roman" w:hAnsi="Times New Roman" w:eastAsia="黑体"/>
          <w:b/>
          <w:color w:val="000000"/>
          <w:sz w:val="24"/>
        </w:rPr>
        <w:t>E.4 数据质量报告</w:t>
      </w:r>
    </w:p>
    <w:p>
      <w:pPr>
        <w:spacing w:line="360" w:lineRule="auto" w:after="0" w:before="0"/>
        <w:ind w:firstLine="420"/>
      </w:pPr>
      <w:r>
        <w:rPr>
          <w:rFonts w:ascii="Times New Roman" w:hAnsi="Times New Roman" w:eastAsia="宋体"/>
          <w:color w:val="000000"/>
        </w:rPr>
        <w:t>截至2025年3月，OGD-Collector Pro已完成28个省级平台的全量数据采集，累计采集数据集目录358,742条，经过清洗和校验后得到有效数据集42,156条。表E-1展示了各平台的数据采集质量报告。</w:t>
      </w:r>
    </w:p>
    <w:p>
      <w:pPr>
        <w:spacing w:line="360" w:lineRule="auto" w:after="0" w:before="0"/>
        <w:ind w:firstLine="420"/>
      </w:pPr>
      <w:r>
        <w:rPr>
          <w:rFonts w:ascii="Times New Roman" w:hAnsi="Times New Roman" w:eastAsia="宋体"/>
          <w:color w:val="000000"/>
        </w:rPr>
        <w:t>表E-1 各平台数据采集质量报告</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采集目录数</w:t>
            </w:r>
          </w:p>
        </w:tc>
        <w:tc>
          <w:tcPr>
            <w:tcW w:type="dxa" w:w="1441"/>
            <w:tcBorders/>
          </w:tcPr>
          <w:p>
            <w:pPr>
              <w:jc w:val="center"/>
            </w:pPr>
            <w:r>
              <w:rPr>
                <w:rFonts w:ascii="Times New Roman" w:hAnsi="Times New Roman" w:eastAsia="宋体"/>
                <w:b/>
                <w:sz w:val="21"/>
              </w:rPr>
              <w:t>有效数据集</w:t>
            </w:r>
          </w:p>
        </w:tc>
        <w:tc>
          <w:tcPr>
            <w:tcW w:type="dxa" w:w="1441"/>
            <w:tcBorders/>
          </w:tcPr>
          <w:p>
            <w:pPr>
              <w:jc w:val="center"/>
            </w:pPr>
            <w:r>
              <w:rPr>
                <w:rFonts w:ascii="Times New Roman" w:hAnsi="Times New Roman" w:eastAsia="宋体"/>
                <w:b/>
                <w:sz w:val="21"/>
              </w:rPr>
              <w:t>口径一致性系数</w:t>
            </w:r>
          </w:p>
        </w:tc>
        <w:tc>
          <w:tcPr>
            <w:tcW w:type="dxa" w:w="1441"/>
            <w:tcBorders/>
          </w:tcPr>
          <w:p>
            <w:pPr>
              <w:jc w:val="center"/>
            </w:pPr>
            <w:r>
              <w:rPr>
                <w:rFonts w:ascii="Times New Roman" w:hAnsi="Times New Roman" w:eastAsia="宋体"/>
                <w:b/>
                <w:sz w:val="21"/>
              </w:rPr>
              <w:t>数据完整率</w:t>
            </w:r>
          </w:p>
        </w:tc>
        <w:tc>
          <w:tcPr>
            <w:tcW w:type="dxa" w:w="1441"/>
            <w:tcBorders/>
          </w:tcPr>
          <w:p>
            <w:pPr>
              <w:jc w:val="center"/>
            </w:pPr>
            <w:r>
              <w:rPr>
                <w:rFonts w:ascii="Times New Roman" w:hAnsi="Times New Roman" w:eastAsia="宋体"/>
                <w:b/>
                <w:sz w:val="21"/>
              </w:rPr>
              <w:t>采集状态</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15,700</w:t>
            </w:r>
          </w:p>
        </w:tc>
        <w:tc>
          <w:tcPr>
            <w:tcW w:type="dxa" w:w="1441"/>
            <w:tcBorders/>
          </w:tcPr>
          <w:p>
            <w:pPr>
              <w:jc w:val="center"/>
            </w:pPr>
            <w:r>
              <w:rPr>
                <w:rFonts w:ascii="Times New Roman" w:hAnsi="Times New Roman" w:eastAsia="宋体"/>
                <w:sz w:val="21"/>
              </w:rPr>
              <w:t>4,680</w:t>
            </w:r>
          </w:p>
        </w:tc>
        <w:tc>
          <w:tcPr>
            <w:tcW w:type="dxa" w:w="1441"/>
            <w:tcBorders/>
          </w:tcPr>
          <w:p>
            <w:pPr>
              <w:jc w:val="center"/>
            </w:pPr>
            <w:r>
              <w:rPr>
                <w:rFonts w:ascii="Times New Roman" w:hAnsi="Times New Roman" w:eastAsia="宋体"/>
                <w:sz w:val="21"/>
              </w:rPr>
              <w:t>0.298</w:t>
            </w:r>
          </w:p>
        </w:tc>
        <w:tc>
          <w:tcPr>
            <w:tcW w:type="dxa" w:w="1441"/>
            <w:tcBorders/>
          </w:tcPr>
          <w:p>
            <w:pPr>
              <w:jc w:val="center"/>
            </w:pPr>
            <w:r>
              <w:rPr>
                <w:rFonts w:ascii="Times New Roman" w:hAnsi="Times New Roman" w:eastAsia="宋体"/>
                <w:sz w:val="21"/>
              </w:rPr>
              <w:t>94.2%</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12,800</w:t>
            </w:r>
          </w:p>
        </w:tc>
        <w:tc>
          <w:tcPr>
            <w:tcW w:type="dxa" w:w="1441"/>
            <w:tcBorders/>
          </w:tcPr>
          <w:p>
            <w:pPr>
              <w:jc w:val="center"/>
            </w:pPr>
            <w:r>
              <w:rPr>
                <w:rFonts w:ascii="Times New Roman" w:hAnsi="Times New Roman" w:eastAsia="宋体"/>
                <w:sz w:val="21"/>
              </w:rPr>
              <w:t>3,520</w:t>
            </w:r>
          </w:p>
        </w:tc>
        <w:tc>
          <w:tcPr>
            <w:tcW w:type="dxa" w:w="1441"/>
            <w:tcBorders/>
          </w:tcPr>
          <w:p>
            <w:pPr>
              <w:jc w:val="center"/>
            </w:pPr>
            <w:r>
              <w:rPr>
                <w:rFonts w:ascii="Times New Roman" w:hAnsi="Times New Roman" w:eastAsia="宋体"/>
                <w:sz w:val="21"/>
              </w:rPr>
              <w:t>0.275</w:t>
            </w:r>
          </w:p>
        </w:tc>
        <w:tc>
          <w:tcPr>
            <w:tcW w:type="dxa" w:w="1441"/>
            <w:tcBorders/>
          </w:tcPr>
          <w:p>
            <w:pPr>
              <w:jc w:val="center"/>
            </w:pPr>
            <w:r>
              <w:rPr>
                <w:rFonts w:ascii="Times New Roman" w:hAnsi="Times New Roman" w:eastAsia="宋体"/>
                <w:sz w:val="21"/>
              </w:rPr>
              <w:t>92.8%</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9,500</w:t>
            </w:r>
          </w:p>
        </w:tc>
        <w:tc>
          <w:tcPr>
            <w:tcW w:type="dxa" w:w="1441"/>
            <w:tcBorders/>
          </w:tcPr>
          <w:p>
            <w:pPr>
              <w:jc w:val="center"/>
            </w:pPr>
            <w:r>
              <w:rPr>
                <w:rFonts w:ascii="Times New Roman" w:hAnsi="Times New Roman" w:eastAsia="宋体"/>
                <w:sz w:val="21"/>
              </w:rPr>
              <w:t>2,850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95.1%</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8,200</w:t>
            </w:r>
          </w:p>
        </w:tc>
        <w:tc>
          <w:tcPr>
            <w:tcW w:type="dxa" w:w="1441"/>
            <w:tcBorders/>
          </w:tcPr>
          <w:p>
            <w:pPr>
              <w:jc w:val="center"/>
            </w:pPr>
            <w:r>
              <w:rPr>
                <w:rFonts w:ascii="Times New Roman" w:hAnsi="Times New Roman" w:eastAsia="宋体"/>
                <w:sz w:val="21"/>
              </w:rPr>
              <w:t>2,460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93.5%</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60,000</w:t>
            </w:r>
          </w:p>
        </w:tc>
        <w:tc>
          <w:tcPr>
            <w:tcW w:type="dxa" w:w="1441"/>
            <w:tcBorders/>
          </w:tcPr>
          <w:p>
            <w:pPr>
              <w:jc w:val="center"/>
            </w:pPr>
            <w:r>
              <w:rPr>
                <w:rFonts w:ascii="Times New Roman" w:hAnsi="Times New Roman" w:eastAsia="宋体"/>
                <w:sz w:val="21"/>
              </w:rPr>
              <w:t>944</w:t>
            </w:r>
          </w:p>
        </w:tc>
        <w:tc>
          <w:tcPr>
            <w:tcW w:type="dxa" w:w="1441"/>
            <w:tcBorders/>
          </w:tcPr>
          <w:p>
            <w:pPr>
              <w:jc w:val="center"/>
            </w:pPr>
            <w:r>
              <w:rPr>
                <w:rFonts w:ascii="Times New Roman" w:hAnsi="Times New Roman" w:eastAsia="宋体"/>
                <w:sz w:val="21"/>
              </w:rPr>
              <w:t>0.016</w:t>
            </w:r>
          </w:p>
        </w:tc>
        <w:tc>
          <w:tcPr>
            <w:tcW w:type="dxa" w:w="1441"/>
            <w:tcBorders/>
          </w:tcPr>
          <w:p>
            <w:pPr>
              <w:jc w:val="center"/>
            </w:pPr>
            <w:r>
              <w:rPr>
                <w:rFonts w:ascii="Times New Roman" w:hAnsi="Times New Roman" w:eastAsia="宋体"/>
                <w:sz w:val="21"/>
              </w:rPr>
              <w:t>87.3%</w:t>
            </w:r>
          </w:p>
        </w:tc>
        <w:tc>
          <w:tcPr>
            <w:tcW w:type="dxa" w:w="1441"/>
            <w:tcBorders/>
          </w:tcPr>
          <w:p>
            <w:pPr>
              <w:jc w:val="center"/>
            </w:pPr>
            <w:r>
              <w:rPr>
                <w:rFonts w:ascii="Times New Roman" w:hAnsi="Times New Roman" w:eastAsia="宋体"/>
                <w:sz w:val="21"/>
              </w:rPr>
              <w:t>异常（口径差异大）</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28,000</w:t>
            </w:r>
          </w:p>
        </w:tc>
        <w:tc>
          <w:tcPr>
            <w:tcW w:type="dxa" w:w="1441"/>
            <w:tcBorders/>
          </w:tcPr>
          <w:p>
            <w:pPr>
              <w:jc w:val="center"/>
            </w:pPr>
            <w:r>
              <w:rPr>
                <w:rFonts w:ascii="Times New Roman" w:hAnsi="Times New Roman" w:eastAsia="宋体"/>
                <w:sz w:val="21"/>
              </w:rPr>
              <w:t>1,520</w:t>
            </w:r>
          </w:p>
        </w:tc>
        <w:tc>
          <w:tcPr>
            <w:tcW w:type="dxa" w:w="1441"/>
            <w:tcBorders/>
          </w:tcPr>
          <w:p>
            <w:pPr>
              <w:jc w:val="center"/>
            </w:pPr>
            <w:r>
              <w:rPr>
                <w:rFonts w:ascii="Times New Roman" w:hAnsi="Times New Roman" w:eastAsia="宋体"/>
                <w:sz w:val="21"/>
              </w:rPr>
              <w:t>0.054</w:t>
            </w:r>
          </w:p>
        </w:tc>
        <w:tc>
          <w:tcPr>
            <w:tcW w:type="dxa" w:w="1441"/>
            <w:tcBorders/>
          </w:tcPr>
          <w:p>
            <w:pPr>
              <w:jc w:val="center"/>
            </w:pPr>
            <w:r>
              <w:rPr>
                <w:rFonts w:ascii="Times New Roman" w:hAnsi="Times New Roman" w:eastAsia="宋体"/>
                <w:sz w:val="21"/>
              </w:rPr>
              <w:t>89.6%</w:t>
            </w:r>
          </w:p>
        </w:tc>
        <w:tc>
          <w:tcPr>
            <w:tcW w:type="dxa" w:w="1441"/>
            <w:tcBorders/>
          </w:tcPr>
          <w:p>
            <w:pPr>
              <w:jc w:val="center"/>
            </w:pPr>
            <w:r>
              <w:rPr>
                <w:rFonts w:ascii="Times New Roman" w:hAnsi="Times New Roman" w:eastAsia="宋体"/>
                <w:sz w:val="21"/>
              </w:rPr>
              <w:t>异常（口径差异大）</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7,800</w:t>
            </w:r>
          </w:p>
        </w:tc>
        <w:tc>
          <w:tcPr>
            <w:tcW w:type="dxa" w:w="1441"/>
            <w:tcBorders/>
          </w:tcPr>
          <w:p>
            <w:pPr>
              <w:jc w:val="center"/>
            </w:pPr>
            <w:r>
              <w:rPr>
                <w:rFonts w:ascii="Times New Roman" w:hAnsi="Times New Roman" w:eastAsia="宋体"/>
                <w:sz w:val="21"/>
              </w:rPr>
              <w:t>2,340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91.2%</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5,600</w:t>
            </w:r>
          </w:p>
        </w:tc>
        <w:tc>
          <w:tcPr>
            <w:tcW w:type="dxa" w:w="1441"/>
            <w:tcBorders/>
          </w:tcPr>
          <w:p>
            <w:pPr>
              <w:jc w:val="center"/>
            </w:pPr>
            <w:r>
              <w:rPr>
                <w:rFonts w:ascii="Times New Roman" w:hAnsi="Times New Roman" w:eastAsia="宋体"/>
                <w:sz w:val="21"/>
              </w:rPr>
              <w:t>1,680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90.5%</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4,900</w:t>
            </w:r>
          </w:p>
        </w:tc>
        <w:tc>
          <w:tcPr>
            <w:tcW w:type="dxa" w:w="1441"/>
            <w:tcBorders/>
          </w:tcPr>
          <w:p>
            <w:pPr>
              <w:jc w:val="center"/>
            </w:pPr>
            <w:r>
              <w:rPr>
                <w:rFonts w:ascii="Times New Roman" w:hAnsi="Times New Roman" w:eastAsia="宋体"/>
                <w:sz w:val="21"/>
              </w:rPr>
              <w:t>1,470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88.9%</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3,800</w:t>
            </w:r>
          </w:p>
        </w:tc>
        <w:tc>
          <w:tcPr>
            <w:tcW w:type="dxa" w:w="1441"/>
            <w:tcBorders/>
          </w:tcPr>
          <w:p>
            <w:pPr>
              <w:jc w:val="center"/>
            </w:pPr>
            <w:r>
              <w:rPr>
                <w:rFonts w:ascii="Times New Roman" w:hAnsi="Times New Roman" w:eastAsia="宋体"/>
                <w:sz w:val="21"/>
              </w:rPr>
              <w:t>1,140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87.6%</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其他18省</w:t>
            </w:r>
          </w:p>
        </w:tc>
        <w:tc>
          <w:tcPr>
            <w:tcW w:type="dxa" w:w="1441"/>
            <w:tcBorders/>
          </w:tcPr>
          <w:p>
            <w:pPr>
              <w:jc w:val="center"/>
            </w:pPr>
            <w:r>
              <w:rPr>
                <w:rFonts w:ascii="Times New Roman" w:hAnsi="Times New Roman" w:eastAsia="宋体"/>
                <w:sz w:val="21"/>
              </w:rPr>
              <w:t>202,442</w:t>
            </w:r>
          </w:p>
        </w:tc>
        <w:tc>
          <w:tcPr>
            <w:tcW w:type="dxa" w:w="1441"/>
            <w:tcBorders/>
          </w:tcPr>
          <w:p>
            <w:pPr>
              <w:jc w:val="center"/>
            </w:pPr>
            <w:r>
              <w:rPr>
                <w:rFonts w:ascii="Times New Roman" w:hAnsi="Times New Roman" w:eastAsia="宋体"/>
                <w:sz w:val="21"/>
              </w:rPr>
              <w:t>20,552</w:t>
            </w:r>
          </w:p>
        </w:tc>
        <w:tc>
          <w:tcPr>
            <w:tcW w:type="dxa" w:w="1441"/>
            <w:tcBorders/>
          </w:tcPr>
          <w:p>
            <w:pPr>
              <w:jc w:val="center"/>
            </w:pPr>
            <w:r>
              <w:rPr>
                <w:rFonts w:ascii="Times New Roman" w:hAnsi="Times New Roman" w:eastAsia="宋体"/>
                <w:sz w:val="21"/>
              </w:rPr>
              <w:t>0.102</w:t>
            </w:r>
          </w:p>
        </w:tc>
        <w:tc>
          <w:tcPr>
            <w:tcW w:type="dxa" w:w="1441"/>
            <w:tcBorders/>
          </w:tcPr>
          <w:p>
            <w:pPr>
              <w:jc w:val="center"/>
            </w:pPr>
            <w:r>
              <w:rPr>
                <w:rFonts w:ascii="Times New Roman" w:hAnsi="Times New Roman" w:eastAsia="宋体"/>
                <w:sz w:val="21"/>
              </w:rPr>
              <w:t>85.4%</w:t>
            </w:r>
          </w:p>
        </w:tc>
        <w:tc>
          <w:tcPr>
            <w:tcW w:type="dxa" w:w="1441"/>
            <w:tcBorders/>
          </w:tcPr>
          <w:p>
            <w:pPr>
              <w:jc w:val="center"/>
            </w:pPr>
            <w:r>
              <w:rPr>
                <w:rFonts w:ascii="Times New Roman" w:hAnsi="Times New Roman" w:eastAsia="宋体"/>
                <w:sz w:val="21"/>
              </w:rPr>
              <w:t>部分异常</w:t>
            </w:r>
          </w:p>
        </w:tc>
      </w:tr>
      <w:tr>
        <w:tc>
          <w:tcPr>
            <w:tcW w:type="dxa" w:w="1441"/>
            <w:tcBorders/>
          </w:tcPr>
          <w:p>
            <w:pPr>
              <w:jc w:val="center"/>
            </w:pPr>
            <w:r>
              <w:rPr>
                <w:rFonts w:ascii="Times New Roman" w:hAnsi="Times New Roman" w:eastAsia="宋体"/>
                <w:sz w:val="21"/>
              </w:rPr>
              <w:t>**合计**</w:t>
            </w:r>
          </w:p>
        </w:tc>
        <w:tc>
          <w:tcPr>
            <w:tcW w:type="dxa" w:w="1441"/>
            <w:tcBorders/>
          </w:tcPr>
          <w:p>
            <w:pPr>
              <w:jc w:val="center"/>
            </w:pPr>
            <w:r>
              <w:rPr>
                <w:rFonts w:ascii="Times New Roman" w:hAnsi="Times New Roman" w:eastAsia="宋体"/>
                <w:sz w:val="21"/>
              </w:rPr>
              <w:t>**358,742**</w:t>
            </w:r>
          </w:p>
        </w:tc>
        <w:tc>
          <w:tcPr>
            <w:tcW w:type="dxa" w:w="1441"/>
            <w:tcBorders/>
          </w:tcPr>
          <w:p>
            <w:pPr>
              <w:jc w:val="center"/>
            </w:pPr>
            <w:r>
              <w:rPr>
                <w:rFonts w:ascii="Times New Roman" w:hAnsi="Times New Roman" w:eastAsia="宋体"/>
                <w:sz w:val="21"/>
              </w:rPr>
              <w:t>**42,156**</w:t>
            </w:r>
          </w:p>
        </w:tc>
        <w:tc>
          <w:tcPr>
            <w:tcW w:type="dxa" w:w="1441"/>
            <w:tcBorders/>
          </w:tcPr>
          <w:p>
            <w:pPr>
              <w:jc w:val="center"/>
            </w:pPr>
            <w:r>
              <w:rPr>
                <w:rFonts w:ascii="Times New Roman" w:hAnsi="Times New Roman" w:eastAsia="宋体"/>
                <w:sz w:val="21"/>
              </w:rPr>
              <w:t>**0.118**</w:t>
            </w:r>
          </w:p>
        </w:tc>
        <w:tc>
          <w:tcPr>
            <w:tcW w:type="dxa" w:w="1441"/>
            <w:tcBorders/>
          </w:tcPr>
          <w:p>
            <w:pPr>
              <w:jc w:val="center"/>
            </w:pPr>
            <w:r>
              <w:rPr>
                <w:rFonts w:ascii="Times New Roman" w:hAnsi="Times New Roman" w:eastAsia="宋体"/>
                <w:sz w:val="21"/>
              </w:rPr>
              <w:t>**89.1%**</w:t>
            </w:r>
          </w:p>
        </w:tc>
        <w:tc>
          <w:tcPr>
            <w:tcW w:type="dxa" w:w="1441"/>
            <w:tcBorders/>
          </w:tcPr>
          <w:p>
            <w:pPr>
              <w:jc w:val="center"/>
            </w:pPr>
            <w:r>
              <w:rPr>
                <w:rFonts w:ascii="Times New Roman" w:hAnsi="Times New Roman" w:eastAsia="宋体"/>
                <w:sz w:val="21"/>
              </w:rPr>
              <w:t>-</w:t>
            </w:r>
          </w:p>
        </w:tc>
      </w:tr>
    </w:tbl>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pPr>
      <w:r>
        <w:rPr>
          <w:rFonts w:ascii="Times New Roman" w:hAnsi="Times New Roman" w:eastAsia="黑体"/>
          <w:b/>
          <w:color w:val="000000"/>
          <w:sz w:val="24"/>
        </w:rPr>
        <w:t>E.5 系统开源与共享</w:t>
      </w:r>
    </w:p>
    <w:p>
      <w:pPr>
        <w:spacing w:line="360" w:lineRule="auto" w:after="0" w:before="0"/>
        <w:ind w:firstLine="420"/>
      </w:pPr>
      <w:r>
        <w:rPr>
          <w:rFonts w:ascii="Times New Roman" w:hAnsi="Times New Roman" w:eastAsia="宋体"/>
          <w:color w:val="000000"/>
        </w:rPr>
        <w:t>OGD-Collector 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附录F：数据采集系统详细技术规格</w:t>
      </w:r>
    </w:p>
    <w:p>
      <w:pPr>
        <w:spacing w:line="360" w:lineRule="auto" w:after="0" w:before="0"/>
      </w:pPr>
      <w:r>
        <w:rPr>
          <w:rFonts w:ascii="Times New Roman" w:hAnsi="Times New Roman" w:eastAsia="黑体"/>
          <w:b/>
          <w:color w:val="000000"/>
          <w:sz w:val="24"/>
        </w:rPr>
        <w:t>F.1 系统开发环境</w:t>
      </w:r>
    </w:p>
    <w:p>
      <w:pPr>
        <w:spacing w:line="360" w:lineRule="auto" w:after="0" w:before="0"/>
        <w:ind w:firstLine="420"/>
      </w:pPr>
      <w:r>
        <w:rPr>
          <w:rFonts w:ascii="Times New Roman" w:hAnsi="Times New Roman" w:eastAsia="宋体"/>
          <w:color w:val="000000"/>
        </w:rPr>
        <w:t>OGD-Collector Pro数据采集系统的开发环境配置如表F-1所示。</w:t>
      </w:r>
    </w:p>
    <w:p>
      <w:pPr>
        <w:spacing w:line="360" w:lineRule="auto" w:after="0" w:before="0"/>
        <w:ind w:firstLine="420"/>
      </w:pPr>
      <w:r>
        <w:rPr>
          <w:rFonts w:ascii="Times New Roman" w:hAnsi="Times New Roman" w:eastAsia="宋体"/>
          <w:color w:val="000000"/>
        </w:rPr>
        <w:t>表F-1 系统开发环境配置</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组件</w:t>
            </w:r>
          </w:p>
        </w:tc>
        <w:tc>
          <w:tcPr>
            <w:tcW w:type="dxa" w:w="2882"/>
            <w:tcBorders/>
          </w:tcPr>
          <w:p>
            <w:pPr>
              <w:jc w:val="center"/>
            </w:pPr>
            <w:r>
              <w:rPr>
                <w:rFonts w:ascii="Times New Roman" w:hAnsi="Times New Roman" w:eastAsia="宋体"/>
                <w:b/>
                <w:sz w:val="21"/>
              </w:rPr>
              <w:t>版本/型号</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操作系统</w:t>
            </w:r>
          </w:p>
        </w:tc>
        <w:tc>
          <w:tcPr>
            <w:tcW w:type="dxa" w:w="2882"/>
            <w:tcBorders/>
          </w:tcPr>
          <w:p>
            <w:pPr>
              <w:jc w:val="center"/>
            </w:pPr>
            <w:r>
              <w:rPr>
                <w:rFonts w:ascii="Times New Roman" w:hAnsi="Times New Roman" w:eastAsia="宋体"/>
                <w:sz w:val="21"/>
              </w:rPr>
              <w:t>Ubuntu 22.04 LTS</w:t>
            </w:r>
          </w:p>
        </w:tc>
        <w:tc>
          <w:tcPr>
            <w:tcW w:type="dxa" w:w="2882"/>
            <w:tcBorders/>
          </w:tcPr>
          <w:p>
            <w:pPr>
              <w:jc w:val="center"/>
            </w:pPr>
            <w:r>
              <w:rPr>
                <w:rFonts w:ascii="Times New Roman" w:hAnsi="Times New Roman" w:eastAsia="宋体"/>
                <w:sz w:val="21"/>
              </w:rPr>
              <w:t>服务器端运行环境</w:t>
            </w:r>
          </w:p>
        </w:tc>
      </w:tr>
      <w:tr>
        <w:tc>
          <w:tcPr>
            <w:tcW w:type="dxa" w:w="2882"/>
            <w:tcBorders/>
          </w:tcPr>
          <w:p>
            <w:pPr>
              <w:jc w:val="center"/>
            </w:pPr>
            <w:r>
              <w:rPr>
                <w:rFonts w:ascii="Times New Roman" w:hAnsi="Times New Roman" w:eastAsia="宋体"/>
                <w:sz w:val="21"/>
              </w:rPr>
              <w:t>Python</w:t>
            </w:r>
          </w:p>
        </w:tc>
        <w:tc>
          <w:tcPr>
            <w:tcW w:type="dxa" w:w="2882"/>
            <w:tcBorders/>
          </w:tcPr>
          <w:p>
            <w:pPr>
              <w:jc w:val="center"/>
            </w:pPr>
            <w:r>
              <w:rPr>
                <w:rFonts w:ascii="Times New Roman" w:hAnsi="Times New Roman" w:eastAsia="宋体"/>
                <w:sz w:val="21"/>
              </w:rPr>
              <w:t>3.10.12</w:t>
            </w:r>
          </w:p>
        </w:tc>
        <w:tc>
          <w:tcPr>
            <w:tcW w:type="dxa" w:w="2882"/>
            <w:tcBorders/>
          </w:tcPr>
          <w:p>
            <w:pPr>
              <w:jc w:val="center"/>
            </w:pPr>
            <w:r>
              <w:rPr>
                <w:rFonts w:ascii="Times New Roman" w:hAnsi="Times New Roman" w:eastAsia="宋体"/>
                <w:sz w:val="21"/>
              </w:rPr>
              <w:t>主开发语言</w:t>
            </w:r>
          </w:p>
        </w:tc>
      </w:tr>
      <w:tr>
        <w:tc>
          <w:tcPr>
            <w:tcW w:type="dxa" w:w="2882"/>
            <w:tcBorders/>
          </w:tcPr>
          <w:p>
            <w:pPr>
              <w:jc w:val="center"/>
            </w:pPr>
            <w:r>
              <w:rPr>
                <w:rFonts w:ascii="Times New Roman" w:hAnsi="Times New Roman" w:eastAsia="宋体"/>
                <w:sz w:val="21"/>
              </w:rPr>
              <w:t>爬虫框架</w:t>
            </w:r>
          </w:p>
        </w:tc>
        <w:tc>
          <w:tcPr>
            <w:tcW w:type="dxa" w:w="2882"/>
            <w:tcBorders/>
          </w:tcPr>
          <w:p>
            <w:pPr>
              <w:jc w:val="center"/>
            </w:pPr>
            <w:r>
              <w:rPr>
                <w:rFonts w:ascii="Times New Roman" w:hAnsi="Times New Roman" w:eastAsia="宋体"/>
                <w:sz w:val="21"/>
              </w:rPr>
              <w:t>Scrapy 2.11</w:t>
            </w:r>
          </w:p>
        </w:tc>
        <w:tc>
          <w:tcPr>
            <w:tcW w:type="dxa" w:w="2882"/>
            <w:tcBorders/>
          </w:tcPr>
          <w:p>
            <w:pPr>
              <w:jc w:val="center"/>
            </w:pPr>
            <w:r>
              <w:rPr>
                <w:rFonts w:ascii="Times New Roman" w:hAnsi="Times New Roman" w:eastAsia="宋体"/>
                <w:sz w:val="21"/>
              </w:rPr>
              <w:t>分布式爬虫引擎</w:t>
            </w:r>
          </w:p>
        </w:tc>
      </w:tr>
      <w:tr>
        <w:tc>
          <w:tcPr>
            <w:tcW w:type="dxa" w:w="2882"/>
            <w:tcBorders/>
          </w:tcPr>
          <w:p>
            <w:pPr>
              <w:jc w:val="center"/>
            </w:pPr>
            <w:r>
              <w:rPr>
                <w:rFonts w:ascii="Times New Roman" w:hAnsi="Times New Roman" w:eastAsia="宋体"/>
                <w:sz w:val="21"/>
              </w:rPr>
              <w:t>浏览器自动化</w:t>
            </w:r>
          </w:p>
        </w:tc>
        <w:tc>
          <w:tcPr>
            <w:tcW w:type="dxa" w:w="2882"/>
            <w:tcBorders/>
          </w:tcPr>
          <w:p>
            <w:pPr>
              <w:jc w:val="center"/>
            </w:pPr>
            <w:r>
              <w:rPr>
                <w:rFonts w:ascii="Times New Roman" w:hAnsi="Times New Roman" w:eastAsia="宋体"/>
                <w:sz w:val="21"/>
              </w:rPr>
              <w:t>Selenium 4.15</w:t>
            </w:r>
          </w:p>
        </w:tc>
        <w:tc>
          <w:tcPr>
            <w:tcW w:type="dxa" w:w="2882"/>
            <w:tcBorders/>
          </w:tcPr>
          <w:p>
            <w:pPr>
              <w:jc w:val="center"/>
            </w:pPr>
            <w:r>
              <w:rPr>
                <w:rFonts w:ascii="Times New Roman" w:hAnsi="Times New Roman" w:eastAsia="宋体"/>
                <w:sz w:val="21"/>
              </w:rPr>
              <w:t>动态页面渲染</w:t>
            </w:r>
          </w:p>
        </w:tc>
      </w:tr>
      <w:tr>
        <w:tc>
          <w:tcPr>
            <w:tcW w:type="dxa" w:w="2882"/>
            <w:tcBorders/>
          </w:tcPr>
          <w:p>
            <w:pPr>
              <w:jc w:val="center"/>
            </w:pPr>
            <w:r>
              <w:rPr>
                <w:rFonts w:ascii="Times New Roman" w:hAnsi="Times New Roman" w:eastAsia="宋体"/>
                <w:sz w:val="21"/>
              </w:rPr>
              <w:t>Web框架</w:t>
            </w:r>
          </w:p>
        </w:tc>
        <w:tc>
          <w:tcPr>
            <w:tcW w:type="dxa" w:w="2882"/>
            <w:tcBorders/>
          </w:tcPr>
          <w:p>
            <w:pPr>
              <w:jc w:val="center"/>
            </w:pPr>
            <w:r>
              <w:rPr>
                <w:rFonts w:ascii="Times New Roman" w:hAnsi="Times New Roman" w:eastAsia="宋体"/>
                <w:sz w:val="21"/>
              </w:rPr>
              <w:t>Flask 3.0</w:t>
            </w:r>
          </w:p>
        </w:tc>
        <w:tc>
          <w:tcPr>
            <w:tcW w:type="dxa" w:w="2882"/>
            <w:tcBorders/>
          </w:tcPr>
          <w:p>
            <w:pPr>
              <w:jc w:val="center"/>
            </w:pPr>
            <w:r>
              <w:rPr>
                <w:rFonts w:ascii="Times New Roman" w:hAnsi="Times New Roman" w:eastAsia="宋体"/>
                <w:sz w:val="21"/>
              </w:rPr>
              <w:t>应用层服务</w:t>
            </w:r>
          </w:p>
        </w:tc>
      </w:tr>
      <w:tr>
        <w:tc>
          <w:tcPr>
            <w:tcW w:type="dxa" w:w="2882"/>
            <w:tcBorders/>
          </w:tcPr>
          <w:p>
            <w:pPr>
              <w:jc w:val="center"/>
            </w:pPr>
            <w:r>
              <w:rPr>
                <w:rFonts w:ascii="Times New Roman" w:hAnsi="Times New Roman" w:eastAsia="宋体"/>
                <w:sz w:val="21"/>
              </w:rPr>
              <w:t>数据库</w:t>
            </w:r>
          </w:p>
        </w:tc>
        <w:tc>
          <w:tcPr>
            <w:tcW w:type="dxa" w:w="2882"/>
            <w:tcBorders/>
          </w:tcPr>
          <w:p>
            <w:pPr>
              <w:jc w:val="center"/>
            </w:pPr>
            <w:r>
              <w:rPr>
                <w:rFonts w:ascii="Times New Roman" w:hAnsi="Times New Roman" w:eastAsia="宋体"/>
                <w:sz w:val="21"/>
              </w:rPr>
              <w:t>SQLite 3.37</w:t>
            </w:r>
          </w:p>
        </w:tc>
        <w:tc>
          <w:tcPr>
            <w:tcW w:type="dxa" w:w="2882"/>
            <w:tcBorders/>
          </w:tcPr>
          <w:p>
            <w:pPr>
              <w:jc w:val="center"/>
            </w:pPr>
            <w:r>
              <w:rPr>
                <w:rFonts w:ascii="Times New Roman" w:hAnsi="Times New Roman" w:eastAsia="宋体"/>
                <w:sz w:val="21"/>
              </w:rPr>
              <w:t>本地数据存储</w:t>
            </w:r>
          </w:p>
        </w:tc>
      </w:tr>
      <w:tr>
        <w:tc>
          <w:tcPr>
            <w:tcW w:type="dxa" w:w="2882"/>
            <w:tcBorders/>
          </w:tcPr>
          <w:p>
            <w:pPr>
              <w:jc w:val="center"/>
            </w:pPr>
            <w:r>
              <w:rPr>
                <w:rFonts w:ascii="Times New Roman" w:hAnsi="Times New Roman" w:eastAsia="宋体"/>
                <w:sz w:val="21"/>
              </w:rPr>
              <w:t>前端框架</w:t>
            </w:r>
          </w:p>
        </w:tc>
        <w:tc>
          <w:tcPr>
            <w:tcW w:type="dxa" w:w="2882"/>
            <w:tcBorders/>
          </w:tcPr>
          <w:p>
            <w:pPr>
              <w:jc w:val="center"/>
            </w:pPr>
            <w:r>
              <w:rPr>
                <w:rFonts w:ascii="Times New Roman" w:hAnsi="Times New Roman" w:eastAsia="宋体"/>
                <w:sz w:val="21"/>
              </w:rPr>
              <w:t>Bootstrap 5.3</w:t>
            </w:r>
          </w:p>
        </w:tc>
        <w:tc>
          <w:tcPr>
            <w:tcW w:type="dxa" w:w="2882"/>
            <w:tcBorders/>
          </w:tcPr>
          <w:p>
            <w:pPr>
              <w:jc w:val="center"/>
            </w:pPr>
            <w:r>
              <w:rPr>
                <w:rFonts w:ascii="Times New Roman" w:hAnsi="Times New Roman" w:eastAsia="宋体"/>
                <w:sz w:val="21"/>
              </w:rPr>
              <w:t>数据看板UI</w:t>
            </w:r>
          </w:p>
        </w:tc>
      </w:tr>
      <w:tr>
        <w:tc>
          <w:tcPr>
            <w:tcW w:type="dxa" w:w="2882"/>
            <w:tcBorders/>
          </w:tcPr>
          <w:p>
            <w:pPr>
              <w:jc w:val="center"/>
            </w:pPr>
            <w:r>
              <w:rPr>
                <w:rFonts w:ascii="Times New Roman" w:hAnsi="Times New Roman" w:eastAsia="宋体"/>
                <w:sz w:val="21"/>
              </w:rPr>
              <w:t>部署环境</w:t>
            </w:r>
          </w:p>
        </w:tc>
        <w:tc>
          <w:tcPr>
            <w:tcW w:type="dxa" w:w="2882"/>
            <w:tcBorders/>
          </w:tcPr>
          <w:p>
            <w:pPr>
              <w:jc w:val="center"/>
            </w:pPr>
            <w:r>
              <w:rPr>
                <w:rFonts w:ascii="Times New Roman" w:hAnsi="Times New Roman" w:eastAsia="宋体"/>
                <w:sz w:val="21"/>
              </w:rPr>
              <w:t>Gunicorn + Nginx</w:t>
            </w:r>
          </w:p>
        </w:tc>
        <w:tc>
          <w:tcPr>
            <w:tcW w:type="dxa" w:w="2882"/>
            <w:tcBorders/>
          </w:tcPr>
          <w:p>
            <w:pPr>
              <w:jc w:val="center"/>
            </w:pPr>
            <w:r>
              <w:rPr>
                <w:rFonts w:ascii="Times New Roman" w:hAnsi="Times New Roman" w:eastAsia="宋体"/>
                <w:sz w:val="21"/>
              </w:rPr>
              <w:t>生产环境部署</w:t>
            </w:r>
          </w:p>
        </w:tc>
      </w:tr>
    </w:tbl>
    <w:p/>
    <w:p>
      <w:pPr>
        <w:spacing w:line="360" w:lineRule="auto" w:after="0" w:before="0"/>
        <w:ind w:firstLine="420"/>
      </w:pPr>
      <w:r>
        <w:rPr>
          <w:rFonts w:ascii="Times New Roman" w:hAnsi="Times New Roman" w:eastAsia="宋体"/>
          <w:color w:val="000000"/>
        </w:rPr>
        <w:t>数据来源：系统配置文件</w:t>
      </w:r>
    </w:p>
    <w:p>
      <w:pPr>
        <w:spacing w:line="360" w:lineRule="auto" w:after="0" w:before="0"/>
      </w:pPr>
      <w:r>
        <w:rPr>
          <w:rFonts w:ascii="Times New Roman" w:hAnsi="Times New Roman" w:eastAsia="黑体"/>
          <w:b/>
          <w:color w:val="000000"/>
          <w:sz w:val="24"/>
        </w:rPr>
        <w:t>F.2 采集性能指标</w:t>
      </w:r>
    </w:p>
    <w:p>
      <w:pPr>
        <w:spacing w:line="360" w:lineRule="auto" w:after="0" w:before="0"/>
        <w:ind w:firstLine="420"/>
      </w:pPr>
      <w:r>
        <w:rPr>
          <w:rFonts w:ascii="Times New Roman" w:hAnsi="Times New Roman" w:eastAsia="宋体"/>
          <w:color w:val="000000"/>
        </w:rPr>
        <w:t>OGD-Collector Pro在实际运行中的性能表现如表F-2所示。</w:t>
      </w:r>
    </w:p>
    <w:p>
      <w:pPr>
        <w:spacing w:line="360" w:lineRule="auto" w:after="0" w:before="0"/>
        <w:ind w:firstLine="420"/>
      </w:pPr>
      <w:r>
        <w:rPr>
          <w:rFonts w:ascii="Times New Roman" w:hAnsi="Times New Roman" w:eastAsia="宋体"/>
          <w:color w:val="000000"/>
        </w:rPr>
        <w:t>表F-2 系统采集性能指标</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指标</w:t>
            </w:r>
          </w:p>
        </w:tc>
        <w:tc>
          <w:tcPr>
            <w:tcW w:type="dxa" w:w="2882"/>
            <w:tcBorders/>
          </w:tcPr>
          <w:p>
            <w:pPr>
              <w:jc w:val="center"/>
            </w:pPr>
            <w:r>
              <w:rPr>
                <w:rFonts w:ascii="Times New Roman" w:hAnsi="Times New Roman" w:eastAsia="宋体"/>
                <w:b/>
                <w:sz w:val="21"/>
              </w:rPr>
              <w:t>数值</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并发采集平台数</w:t>
            </w:r>
          </w:p>
        </w:tc>
        <w:tc>
          <w:tcPr>
            <w:tcW w:type="dxa" w:w="2882"/>
            <w:tcBorders/>
          </w:tcPr>
          <w:p>
            <w:pPr>
              <w:jc w:val="center"/>
            </w:pPr>
            <w:r>
              <w:rPr>
                <w:rFonts w:ascii="Times New Roman" w:hAnsi="Times New Roman" w:eastAsia="宋体"/>
                <w:sz w:val="21"/>
              </w:rPr>
              <w:t>5个</w:t>
            </w:r>
          </w:p>
        </w:tc>
        <w:tc>
          <w:tcPr>
            <w:tcW w:type="dxa" w:w="2882"/>
            <w:tcBorders/>
          </w:tcPr>
          <w:p>
            <w:pPr>
              <w:jc w:val="center"/>
            </w:pPr>
            <w:r>
              <w:rPr>
                <w:rFonts w:ascii="Times New Roman" w:hAnsi="Times New Roman" w:eastAsia="宋体"/>
                <w:sz w:val="21"/>
              </w:rPr>
              <w:t>同时采集的平台数量</w:t>
            </w:r>
          </w:p>
        </w:tc>
      </w:tr>
      <w:tr>
        <w:tc>
          <w:tcPr>
            <w:tcW w:type="dxa" w:w="2882"/>
            <w:tcBorders/>
          </w:tcPr>
          <w:p>
            <w:pPr>
              <w:jc w:val="center"/>
            </w:pPr>
            <w:r>
              <w:rPr>
                <w:rFonts w:ascii="Times New Roman" w:hAnsi="Times New Roman" w:eastAsia="宋体"/>
                <w:sz w:val="21"/>
              </w:rPr>
              <w:t>单平台平均采集时间</w:t>
            </w:r>
          </w:p>
        </w:tc>
        <w:tc>
          <w:tcPr>
            <w:tcW w:type="dxa" w:w="2882"/>
            <w:tcBorders/>
          </w:tcPr>
          <w:p>
            <w:pPr>
              <w:jc w:val="center"/>
            </w:pPr>
            <w:r>
              <w:rPr>
                <w:rFonts w:ascii="Times New Roman" w:hAnsi="Times New Roman" w:eastAsia="宋体"/>
                <w:sz w:val="21"/>
              </w:rPr>
              <w:t>45分钟</w:t>
            </w:r>
          </w:p>
        </w:tc>
        <w:tc>
          <w:tcPr>
            <w:tcW w:type="dxa" w:w="2882"/>
            <w:tcBorders/>
          </w:tcPr>
          <w:p>
            <w:pPr>
              <w:jc w:val="center"/>
            </w:pPr>
            <w:r>
              <w:rPr>
                <w:rFonts w:ascii="Times New Roman" w:hAnsi="Times New Roman" w:eastAsia="宋体"/>
                <w:sz w:val="21"/>
              </w:rPr>
              <w:t>全量数据采集耗时</w:t>
            </w:r>
          </w:p>
        </w:tc>
      </w:tr>
      <w:tr>
        <w:tc>
          <w:tcPr>
            <w:tcW w:type="dxa" w:w="2882"/>
            <w:tcBorders/>
          </w:tcPr>
          <w:p>
            <w:pPr>
              <w:jc w:val="center"/>
            </w:pPr>
            <w:r>
              <w:rPr>
                <w:rFonts w:ascii="Times New Roman" w:hAnsi="Times New Roman" w:eastAsia="宋体"/>
                <w:sz w:val="21"/>
              </w:rPr>
              <w:t>日均采集数据量</w:t>
            </w:r>
          </w:p>
        </w:tc>
        <w:tc>
          <w:tcPr>
            <w:tcW w:type="dxa" w:w="2882"/>
            <w:tcBorders/>
          </w:tcPr>
          <w:p>
            <w:pPr>
              <w:jc w:val="center"/>
            </w:pPr>
            <w:r>
              <w:rPr>
                <w:rFonts w:ascii="Times New Roman" w:hAnsi="Times New Roman" w:eastAsia="宋体"/>
                <w:sz w:val="21"/>
              </w:rPr>
              <w:t>约12,000条</w:t>
            </w:r>
          </w:p>
        </w:tc>
        <w:tc>
          <w:tcPr>
            <w:tcW w:type="dxa" w:w="2882"/>
            <w:tcBorders/>
          </w:tcPr>
          <w:p>
            <w:pPr>
              <w:jc w:val="center"/>
            </w:pPr>
            <w:r>
              <w:rPr>
                <w:rFonts w:ascii="Times New Roman" w:hAnsi="Times New Roman" w:eastAsia="宋体"/>
                <w:sz w:val="21"/>
              </w:rPr>
              <w:t>数据集目录数量</w:t>
            </w:r>
          </w:p>
        </w:tc>
      </w:tr>
      <w:tr>
        <w:tc>
          <w:tcPr>
            <w:tcW w:type="dxa" w:w="2882"/>
            <w:tcBorders/>
          </w:tcPr>
          <w:p>
            <w:pPr>
              <w:jc w:val="center"/>
            </w:pPr>
            <w:r>
              <w:rPr>
                <w:rFonts w:ascii="Times New Roman" w:hAnsi="Times New Roman" w:eastAsia="宋体"/>
                <w:sz w:val="21"/>
              </w:rPr>
              <w:t>数据解析成功率</w:t>
            </w:r>
          </w:p>
        </w:tc>
        <w:tc>
          <w:tcPr>
            <w:tcW w:type="dxa" w:w="2882"/>
            <w:tcBorders/>
          </w:tcPr>
          <w:p>
            <w:pPr>
              <w:jc w:val="center"/>
            </w:pPr>
            <w:r>
              <w:rPr>
                <w:rFonts w:ascii="Times New Roman" w:hAnsi="Times New Roman" w:eastAsia="宋体"/>
                <w:sz w:val="21"/>
              </w:rPr>
              <w:t>94.7%</w:t>
            </w:r>
          </w:p>
        </w:tc>
        <w:tc>
          <w:tcPr>
            <w:tcW w:type="dxa" w:w="2882"/>
            <w:tcBorders/>
          </w:tcPr>
          <w:p>
            <w:pPr>
              <w:jc w:val="center"/>
            </w:pPr>
            <w:r>
              <w:rPr>
                <w:rFonts w:ascii="Times New Roman" w:hAnsi="Times New Roman" w:eastAsia="宋体"/>
                <w:sz w:val="21"/>
              </w:rPr>
              <w:t>成功解析的数据比例</w:t>
            </w:r>
          </w:p>
        </w:tc>
      </w:tr>
      <w:tr>
        <w:tc>
          <w:tcPr>
            <w:tcW w:type="dxa" w:w="2882"/>
            <w:tcBorders/>
          </w:tcPr>
          <w:p>
            <w:pPr>
              <w:jc w:val="center"/>
            </w:pPr>
            <w:r>
              <w:rPr>
                <w:rFonts w:ascii="Times New Roman" w:hAnsi="Times New Roman" w:eastAsia="宋体"/>
                <w:sz w:val="21"/>
              </w:rPr>
              <w:t>系统运行稳定性</w:t>
            </w:r>
          </w:p>
        </w:tc>
        <w:tc>
          <w:tcPr>
            <w:tcW w:type="dxa" w:w="2882"/>
            <w:tcBorders/>
          </w:tcPr>
          <w:p>
            <w:pPr>
              <w:jc w:val="center"/>
            </w:pPr>
            <w:r>
              <w:rPr>
                <w:rFonts w:ascii="Times New Roman" w:hAnsi="Times New Roman" w:eastAsia="宋体"/>
                <w:sz w:val="21"/>
              </w:rPr>
              <w:t>99.2%</w:t>
            </w:r>
          </w:p>
        </w:tc>
        <w:tc>
          <w:tcPr>
            <w:tcW w:type="dxa" w:w="2882"/>
            <w:tcBorders/>
          </w:tcPr>
          <w:p>
            <w:pPr>
              <w:jc w:val="center"/>
            </w:pPr>
            <w:r>
              <w:rPr>
                <w:rFonts w:ascii="Times New Roman" w:hAnsi="Times New Roman" w:eastAsia="宋体"/>
                <w:sz w:val="21"/>
              </w:rPr>
              <w:t>月度正常运行时间比例</w:t>
            </w:r>
          </w:p>
        </w:tc>
      </w:tr>
      <w:tr>
        <w:tc>
          <w:tcPr>
            <w:tcW w:type="dxa" w:w="2882"/>
            <w:tcBorders/>
          </w:tcPr>
          <w:p>
            <w:pPr>
              <w:jc w:val="center"/>
            </w:pPr>
            <w:r>
              <w:rPr>
                <w:rFonts w:ascii="Times New Roman" w:hAnsi="Times New Roman" w:eastAsia="宋体"/>
                <w:sz w:val="21"/>
              </w:rPr>
              <w:t>异常恢复时间</w:t>
            </w:r>
          </w:p>
        </w:tc>
        <w:tc>
          <w:tcPr>
            <w:tcW w:type="dxa" w:w="2882"/>
            <w:tcBorders/>
          </w:tcPr>
          <w:p>
            <w:pPr>
              <w:jc w:val="center"/>
            </w:pPr>
            <w:r>
              <w:rPr>
                <w:rFonts w:ascii="Times New Roman" w:hAnsi="Times New Roman" w:eastAsia="宋体"/>
                <w:sz w:val="21"/>
              </w:rPr>
              <w:t>&lt;5分钟</w:t>
            </w:r>
          </w:p>
        </w:tc>
        <w:tc>
          <w:tcPr>
            <w:tcW w:type="dxa" w:w="2882"/>
            <w:tcBorders/>
          </w:tcPr>
          <w:p>
            <w:pPr>
              <w:jc w:val="center"/>
            </w:pPr>
            <w:r>
              <w:rPr>
                <w:rFonts w:ascii="Times New Roman" w:hAnsi="Times New Roman" w:eastAsia="宋体"/>
                <w:sz w:val="21"/>
              </w:rPr>
              <w:t>自动重试和恢复耗时</w:t>
            </w:r>
          </w:p>
        </w:tc>
      </w:tr>
    </w:tbl>
    <w:p/>
    <w:p>
      <w:pPr>
        <w:spacing w:line="360" w:lineRule="auto" w:after="0" w:before="0"/>
        <w:ind w:firstLine="420"/>
      </w:pPr>
      <w:r>
        <w:rPr>
          <w:rFonts w:ascii="Times New Roman" w:hAnsi="Times New Roman" w:eastAsia="宋体"/>
          <w:color w:val="000000"/>
        </w:rPr>
        <w:t>数据来源：系统运行日志，2025年3月</w:t>
      </w:r>
    </w:p>
    <w:p>
      <w:pPr>
        <w:spacing w:line="360" w:lineRule="auto" w:after="0" w:before="0"/>
      </w:pPr>
      <w:r>
        <w:rPr>
          <w:rFonts w:ascii="Times New Roman" w:hAnsi="Times New Roman" w:eastAsia="黑体"/>
          <w:b/>
          <w:color w:val="000000"/>
          <w:sz w:val="24"/>
        </w:rPr>
        <w:t>F.3 平台适配清单</w:t>
      </w:r>
    </w:p>
    <w:p>
      <w:pPr>
        <w:spacing w:line="360" w:lineRule="auto" w:after="0" w:before="0"/>
        <w:ind w:firstLine="420"/>
      </w:pPr>
      <w:r>
        <w:rPr>
          <w:rFonts w:ascii="Times New Roman" w:hAnsi="Times New Roman" w:eastAsia="宋体"/>
          <w:color w:val="000000"/>
        </w:rPr>
        <w:t>表F-3展示了28个省级平台的适配状态和采集模式。</w:t>
      </w:r>
    </w:p>
    <w:p>
      <w:pPr>
        <w:spacing w:line="360" w:lineRule="auto" w:after="0" w:before="0"/>
        <w:ind w:firstLine="420"/>
      </w:pPr>
      <w:r>
        <w:rPr>
          <w:rFonts w:ascii="Times New Roman" w:hAnsi="Times New Roman" w:eastAsia="宋体"/>
          <w:color w:val="000000"/>
        </w:rPr>
        <w:t>表F-3 平台适配状态清单</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平台URL</w:t>
            </w:r>
          </w:p>
        </w:tc>
        <w:tc>
          <w:tcPr>
            <w:tcW w:type="dxa" w:w="1441"/>
            <w:tcBorders/>
          </w:tcPr>
          <w:p>
            <w:pPr>
              <w:jc w:val="center"/>
            </w:pPr>
            <w:r>
              <w:rPr>
                <w:rFonts w:ascii="Times New Roman" w:hAnsi="Times New Roman" w:eastAsia="宋体"/>
                <w:b/>
                <w:sz w:val="21"/>
              </w:rPr>
              <w:t>采集模式</w:t>
            </w:r>
          </w:p>
        </w:tc>
        <w:tc>
          <w:tcPr>
            <w:tcW w:type="dxa" w:w="1441"/>
            <w:tcBorders/>
          </w:tcPr>
          <w:p>
            <w:pPr>
              <w:jc w:val="center"/>
            </w:pPr>
            <w:r>
              <w:rPr>
                <w:rFonts w:ascii="Times New Roman" w:hAnsi="Times New Roman" w:eastAsia="宋体"/>
                <w:b/>
                <w:sz w:val="21"/>
              </w:rPr>
              <w:t>页面类型</w:t>
            </w:r>
          </w:p>
        </w:tc>
        <w:tc>
          <w:tcPr>
            <w:tcW w:type="dxa" w:w="1441"/>
            <w:tcBorders/>
          </w:tcPr>
          <w:p>
            <w:pPr>
              <w:jc w:val="center"/>
            </w:pPr>
            <w:r>
              <w:rPr>
                <w:rFonts w:ascii="Times New Roman" w:hAnsi="Times New Roman" w:eastAsia="宋体"/>
                <w:b/>
                <w:sz w:val="21"/>
              </w:rPr>
              <w:t>适配状态</w:t>
            </w:r>
          </w:p>
        </w:tc>
        <w:tc>
          <w:tcPr>
            <w:tcW w:type="dxa" w:w="1441"/>
            <w:tcBorders/>
          </w:tcPr>
          <w:p>
            <w:pPr>
              <w:jc w:val="center"/>
            </w:pPr>
            <w:r>
              <w:rPr>
                <w:rFonts w:ascii="Times New Roman" w:hAnsi="Times New Roman" w:eastAsia="宋体"/>
                <w:b/>
                <w:sz w:val="21"/>
              </w:rPr>
              <w:t>最后采集时间</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data.zjzwfw.gov.cn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gddata.gd.gov.cn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data.sh.gov.cn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data.beijing.gov.cn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data.shandong.gov.cn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jszwb.jiangsu.gov.cn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data.fujian.gov.cn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www.sc.gov.cn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data.guizhou.gov.cn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data.hubei.gov.cn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其他18省</w:t>
            </w:r>
          </w:p>
        </w:tc>
        <w:tc>
          <w:tcPr>
            <w:tcW w:type="dxa" w:w="1441"/>
            <w:tcBorders/>
          </w:tcPr>
          <w:p>
            <w:pPr>
              <w:jc w:val="center"/>
            </w:pPr>
            <w:r>
              <w:rPr>
                <w:rFonts w:ascii="Times New Roman" w:hAnsi="Times New Roman" w:eastAsia="宋体"/>
                <w:sz w:val="21"/>
              </w:rPr>
              <w:t>（略）</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bl>
    <w:p/>
    <w:p>
      <w:pPr>
        <w:spacing w:line="360" w:lineRule="auto" w:after="0" w:before="0"/>
        <w:ind w:firstLine="420"/>
      </w:pPr>
      <w:r>
        <w:rPr>
          <w:rFonts w:ascii="Times New Roman" w:hAnsi="Times New Roman" w:eastAsia="宋体"/>
          <w:color w:val="000000"/>
        </w:rPr>
        <w:t>数据来源：OGD-Collector Pro平台规则库</w:t>
      </w:r>
    </w:p>
    <w:p>
      <w:pPr>
        <w:spacing w:line="360" w:lineRule="auto" w:after="0" w:before="0"/>
      </w:pPr>
      <w:r>
        <w:rPr>
          <w:rFonts w:ascii="Times New Roman" w:hAnsi="Times New Roman" w:eastAsia="黑体"/>
          <w:b/>
          <w:color w:val="000000"/>
          <w:sz w:val="24"/>
        </w:rPr>
        <w:t>F.4 数据质量评估结果</w:t>
      </w:r>
    </w:p>
    <w:p>
      <w:pPr>
        <w:spacing w:line="360" w:lineRule="auto" w:after="0" w:before="0"/>
        <w:ind w:firstLine="420"/>
      </w:pPr>
      <w:r>
        <w:rPr>
          <w:rFonts w:ascii="Times New Roman" w:hAnsi="Times New Roman" w:eastAsia="宋体"/>
          <w:color w:val="000000"/>
        </w:rPr>
        <w:t>表F-4展示了各平台数据质量的详细评估结果。</w:t>
      </w:r>
    </w:p>
    <w:p>
      <w:pPr>
        <w:spacing w:line="360" w:lineRule="auto" w:after="0" w:before="0"/>
        <w:ind w:firstLine="420"/>
      </w:pPr>
      <w:r>
        <w:rPr>
          <w:rFonts w:ascii="Times New Roman" w:hAnsi="Times New Roman" w:eastAsia="宋体"/>
          <w:color w:val="000000"/>
        </w:rPr>
        <w:t>表F-4 数据质量评估结果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格式合规率</w:t>
            </w:r>
          </w:p>
        </w:tc>
        <w:tc>
          <w:tcPr>
            <w:tcW w:type="dxa" w:w="1441"/>
            <w:tcBorders/>
          </w:tcPr>
          <w:p>
            <w:pPr>
              <w:jc w:val="center"/>
            </w:pPr>
            <w:r>
              <w:rPr>
                <w:rFonts w:ascii="Times New Roman" w:hAnsi="Times New Roman" w:eastAsia="宋体"/>
                <w:b/>
                <w:sz w:val="21"/>
              </w:rPr>
              <w:t>元数据完整率</w:t>
            </w:r>
          </w:p>
        </w:tc>
        <w:tc>
          <w:tcPr>
            <w:tcW w:type="dxa" w:w="1441"/>
            <w:tcBorders/>
          </w:tcPr>
          <w:p>
            <w:pPr>
              <w:jc w:val="center"/>
            </w:pPr>
            <w:r>
              <w:rPr>
                <w:rFonts w:ascii="Times New Roman" w:hAnsi="Times New Roman" w:eastAsia="宋体"/>
                <w:b/>
                <w:sz w:val="21"/>
              </w:rPr>
              <w:t>更新及时率</w:t>
            </w:r>
          </w:p>
        </w:tc>
        <w:tc>
          <w:tcPr>
            <w:tcW w:type="dxa" w:w="1441"/>
            <w:tcBorders/>
          </w:tcPr>
          <w:p>
            <w:pPr>
              <w:jc w:val="center"/>
            </w:pPr>
            <w:r>
              <w:rPr>
                <w:rFonts w:ascii="Times New Roman" w:hAnsi="Times New Roman" w:eastAsia="宋体"/>
                <w:b/>
                <w:sz w:val="21"/>
              </w:rPr>
              <w:t>数据准确率</w:t>
            </w:r>
          </w:p>
        </w:tc>
        <w:tc>
          <w:tcPr>
            <w:tcW w:type="dxa" w:w="1441"/>
            <w:tcBorders/>
          </w:tcPr>
          <w:p>
            <w:pPr>
              <w:jc w:val="center"/>
            </w:pPr>
            <w:r>
              <w:rPr>
                <w:rFonts w:ascii="Times New Roman" w:hAnsi="Times New Roman" w:eastAsia="宋体"/>
                <w:b/>
                <w:sz w:val="21"/>
              </w:rPr>
              <w:t>综合质量评分</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96.2%</w:t>
            </w:r>
          </w:p>
        </w:tc>
        <w:tc>
          <w:tcPr>
            <w:tcW w:type="dxa" w:w="1441"/>
            <w:tcBorders/>
          </w:tcPr>
          <w:p>
            <w:pPr>
              <w:jc w:val="center"/>
            </w:pPr>
            <w:r>
              <w:rPr>
                <w:rFonts w:ascii="Times New Roman" w:hAnsi="Times New Roman" w:eastAsia="宋体"/>
                <w:sz w:val="21"/>
              </w:rPr>
              <w:t>94.5%</w:t>
            </w:r>
          </w:p>
        </w:tc>
        <w:tc>
          <w:tcPr>
            <w:tcW w:type="dxa" w:w="1441"/>
            <w:tcBorders/>
          </w:tcPr>
          <w:p>
            <w:pPr>
              <w:jc w:val="center"/>
            </w:pPr>
            <w:r>
              <w:rPr>
                <w:rFonts w:ascii="Times New Roman" w:hAnsi="Times New Roman" w:eastAsia="宋体"/>
                <w:sz w:val="21"/>
              </w:rPr>
              <w:t>91.8%</w:t>
            </w:r>
          </w:p>
        </w:tc>
        <w:tc>
          <w:tcPr>
            <w:tcW w:type="dxa" w:w="1441"/>
            <w:tcBorders/>
          </w:tcPr>
          <w:p>
            <w:pPr>
              <w:jc w:val="center"/>
            </w:pPr>
            <w:r>
              <w:rPr>
                <w:rFonts w:ascii="Times New Roman" w:hAnsi="Times New Roman" w:eastAsia="宋体"/>
                <w:sz w:val="21"/>
              </w:rPr>
              <w:t>93.2%</w:t>
            </w:r>
          </w:p>
        </w:tc>
        <w:tc>
          <w:tcPr>
            <w:tcW w:type="dxa" w:w="1441"/>
            <w:tcBorders/>
          </w:tcPr>
          <w:p>
            <w:pPr>
              <w:jc w:val="center"/>
            </w:pPr>
            <w:r>
              <w:rPr>
                <w:rFonts w:ascii="Times New Roman" w:hAnsi="Times New Roman" w:eastAsia="宋体"/>
                <w:sz w:val="21"/>
              </w:rPr>
              <w:t>93.9</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94.8%</w:t>
            </w:r>
          </w:p>
        </w:tc>
        <w:tc>
          <w:tcPr>
            <w:tcW w:type="dxa" w:w="1441"/>
            <w:tcBorders/>
          </w:tcPr>
          <w:p>
            <w:pPr>
              <w:jc w:val="center"/>
            </w:pPr>
            <w:r>
              <w:rPr>
                <w:rFonts w:ascii="Times New Roman" w:hAnsi="Times New Roman" w:eastAsia="宋体"/>
                <w:sz w:val="21"/>
              </w:rPr>
              <w:t>92.3%</w:t>
            </w:r>
          </w:p>
        </w:tc>
        <w:tc>
          <w:tcPr>
            <w:tcW w:type="dxa" w:w="1441"/>
            <w:tcBorders/>
          </w:tcPr>
          <w:p>
            <w:pPr>
              <w:jc w:val="center"/>
            </w:pPr>
            <w:r>
              <w:rPr>
                <w:rFonts w:ascii="Times New Roman" w:hAnsi="Times New Roman" w:eastAsia="宋体"/>
                <w:sz w:val="21"/>
              </w:rPr>
              <w:t>89.6%</w:t>
            </w:r>
          </w:p>
        </w:tc>
        <w:tc>
          <w:tcPr>
            <w:tcW w:type="dxa" w:w="1441"/>
            <w:tcBorders/>
          </w:tcPr>
          <w:p>
            <w:pPr>
              <w:jc w:val="center"/>
            </w:pPr>
            <w:r>
              <w:rPr>
                <w:rFonts w:ascii="Times New Roman" w:hAnsi="Times New Roman" w:eastAsia="宋体"/>
                <w:sz w:val="21"/>
              </w:rPr>
              <w:t>91.5%</w:t>
            </w:r>
          </w:p>
        </w:tc>
        <w:tc>
          <w:tcPr>
            <w:tcW w:type="dxa" w:w="1441"/>
            <w:tcBorders/>
          </w:tcPr>
          <w:p>
            <w:pPr>
              <w:jc w:val="center"/>
            </w:pPr>
            <w:r>
              <w:rPr>
                <w:rFonts w:ascii="Times New Roman" w:hAnsi="Times New Roman" w:eastAsia="宋体"/>
                <w:sz w:val="21"/>
              </w:rPr>
              <w:t>92.1</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95.5%</w:t>
            </w:r>
          </w:p>
        </w:tc>
        <w:tc>
          <w:tcPr>
            <w:tcW w:type="dxa" w:w="1441"/>
            <w:tcBorders/>
          </w:tcPr>
          <w:p>
            <w:pPr>
              <w:jc w:val="center"/>
            </w:pPr>
            <w:r>
              <w:rPr>
                <w:rFonts w:ascii="Times New Roman" w:hAnsi="Times New Roman" w:eastAsia="宋体"/>
                <w:sz w:val="21"/>
              </w:rPr>
              <w:t>93.8%</w:t>
            </w:r>
          </w:p>
        </w:tc>
        <w:tc>
          <w:tcPr>
            <w:tcW w:type="dxa" w:w="1441"/>
            <w:tcBorders/>
          </w:tcPr>
          <w:p>
            <w:pPr>
              <w:jc w:val="center"/>
            </w:pPr>
            <w:r>
              <w:rPr>
                <w:rFonts w:ascii="Times New Roman" w:hAnsi="Times New Roman" w:eastAsia="宋体"/>
                <w:sz w:val="21"/>
              </w:rPr>
              <w:t>90.2%</w:t>
            </w:r>
          </w:p>
        </w:tc>
        <w:tc>
          <w:tcPr>
            <w:tcW w:type="dxa" w:w="1441"/>
            <w:tcBorders/>
          </w:tcPr>
          <w:p>
            <w:pPr>
              <w:jc w:val="center"/>
            </w:pPr>
            <w:r>
              <w:rPr>
                <w:rFonts w:ascii="Times New Roman" w:hAnsi="Times New Roman" w:eastAsia="宋体"/>
                <w:sz w:val="21"/>
              </w:rPr>
              <w:t>92.8%</w:t>
            </w:r>
          </w:p>
        </w:tc>
        <w:tc>
          <w:tcPr>
            <w:tcW w:type="dxa" w:w="1441"/>
            <w:tcBorders/>
          </w:tcPr>
          <w:p>
            <w:pPr>
              <w:jc w:val="center"/>
            </w:pPr>
            <w:r>
              <w:rPr>
                <w:rFonts w:ascii="Times New Roman" w:hAnsi="Times New Roman" w:eastAsia="宋体"/>
                <w:sz w:val="21"/>
              </w:rPr>
              <w:t>93.1</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93.6%</w:t>
            </w:r>
          </w:p>
        </w:tc>
        <w:tc>
          <w:tcPr>
            <w:tcW w:type="dxa" w:w="1441"/>
            <w:tcBorders/>
          </w:tcPr>
          <w:p>
            <w:pPr>
              <w:jc w:val="center"/>
            </w:pPr>
            <w:r>
              <w:rPr>
                <w:rFonts w:ascii="Times New Roman" w:hAnsi="Times New Roman" w:eastAsia="宋体"/>
                <w:sz w:val="21"/>
              </w:rPr>
              <w:t>91.2%</w:t>
            </w:r>
          </w:p>
        </w:tc>
        <w:tc>
          <w:tcPr>
            <w:tcW w:type="dxa" w:w="1441"/>
            <w:tcBorders/>
          </w:tcPr>
          <w:p>
            <w:pPr>
              <w:jc w:val="center"/>
            </w:pPr>
            <w:r>
              <w:rPr>
                <w:rFonts w:ascii="Times New Roman" w:hAnsi="Times New Roman" w:eastAsia="宋体"/>
                <w:sz w:val="21"/>
              </w:rPr>
              <w:t>88.4%</w:t>
            </w:r>
          </w:p>
        </w:tc>
        <w:tc>
          <w:tcPr>
            <w:tcW w:type="dxa" w:w="1441"/>
            <w:tcBorders/>
          </w:tcPr>
          <w:p>
            <w:pPr>
              <w:jc w:val="center"/>
            </w:pPr>
            <w:r>
              <w:rPr>
                <w:rFonts w:ascii="Times New Roman" w:hAnsi="Times New Roman" w:eastAsia="宋体"/>
                <w:sz w:val="21"/>
              </w:rPr>
              <w:t>90.6%</w:t>
            </w:r>
          </w:p>
        </w:tc>
        <w:tc>
          <w:tcPr>
            <w:tcW w:type="dxa" w:w="1441"/>
            <w:tcBorders/>
          </w:tcPr>
          <w:p>
            <w:pPr>
              <w:jc w:val="center"/>
            </w:pPr>
            <w:r>
              <w:rPr>
                <w:rFonts w:ascii="Times New Roman" w:hAnsi="Times New Roman" w:eastAsia="宋体"/>
                <w:sz w:val="21"/>
              </w:rPr>
              <w:t>91.0</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78.5%</w:t>
            </w:r>
          </w:p>
        </w:tc>
        <w:tc>
          <w:tcPr>
            <w:tcW w:type="dxa" w:w="1441"/>
            <w:tcBorders/>
          </w:tcPr>
          <w:p>
            <w:pPr>
              <w:jc w:val="center"/>
            </w:pPr>
            <w:r>
              <w:rPr>
                <w:rFonts w:ascii="Times New Roman" w:hAnsi="Times New Roman" w:eastAsia="宋体"/>
                <w:sz w:val="21"/>
              </w:rPr>
              <w:t>72.3%</w:t>
            </w:r>
          </w:p>
        </w:tc>
        <w:tc>
          <w:tcPr>
            <w:tcW w:type="dxa" w:w="1441"/>
            <w:tcBorders/>
          </w:tcPr>
          <w:p>
            <w:pPr>
              <w:jc w:val="center"/>
            </w:pPr>
            <w:r>
              <w:rPr>
                <w:rFonts w:ascii="Times New Roman" w:hAnsi="Times New Roman" w:eastAsia="宋体"/>
                <w:sz w:val="21"/>
              </w:rPr>
              <w:t>65.8%</w:t>
            </w:r>
          </w:p>
        </w:tc>
        <w:tc>
          <w:tcPr>
            <w:tcW w:type="dxa" w:w="1441"/>
            <w:tcBorders/>
          </w:tcPr>
          <w:p>
            <w:pPr>
              <w:jc w:val="center"/>
            </w:pPr>
            <w:r>
              <w:rPr>
                <w:rFonts w:ascii="Times New Roman" w:hAnsi="Times New Roman" w:eastAsia="宋体"/>
                <w:sz w:val="21"/>
              </w:rPr>
              <w:t>75.2%</w:t>
            </w:r>
          </w:p>
        </w:tc>
        <w:tc>
          <w:tcPr>
            <w:tcW w:type="dxa" w:w="1441"/>
            <w:tcBorders/>
          </w:tcPr>
          <w:p>
            <w:pPr>
              <w:jc w:val="center"/>
            </w:pPr>
            <w:r>
              <w:rPr>
                <w:rFonts w:ascii="Times New Roman" w:hAnsi="Times New Roman" w:eastAsia="宋体"/>
                <w:sz w:val="21"/>
              </w:rPr>
              <w:t>73.0</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85.2%</w:t>
            </w:r>
          </w:p>
        </w:tc>
        <w:tc>
          <w:tcPr>
            <w:tcW w:type="dxa" w:w="1441"/>
            <w:tcBorders/>
          </w:tcPr>
          <w:p>
            <w:pPr>
              <w:jc w:val="center"/>
            </w:pPr>
            <w:r>
              <w:rPr>
                <w:rFonts w:ascii="Times New Roman" w:hAnsi="Times New Roman" w:eastAsia="宋体"/>
                <w:sz w:val="21"/>
              </w:rPr>
              <w:t>80.6%</w:t>
            </w:r>
          </w:p>
        </w:tc>
        <w:tc>
          <w:tcPr>
            <w:tcW w:type="dxa" w:w="1441"/>
            <w:tcBorders/>
          </w:tcPr>
          <w:p>
            <w:pPr>
              <w:jc w:val="center"/>
            </w:pPr>
            <w:r>
              <w:rPr>
                <w:rFonts w:ascii="Times New Roman" w:hAnsi="Times New Roman" w:eastAsia="宋体"/>
                <w:sz w:val="21"/>
              </w:rPr>
              <w:t>76.4%</w:t>
            </w:r>
          </w:p>
        </w:tc>
        <w:tc>
          <w:tcPr>
            <w:tcW w:type="dxa" w:w="1441"/>
            <w:tcBorders/>
          </w:tcPr>
          <w:p>
            <w:pPr>
              <w:jc w:val="center"/>
            </w:pPr>
            <w:r>
              <w:rPr>
                <w:rFonts w:ascii="Times New Roman" w:hAnsi="Times New Roman" w:eastAsia="宋体"/>
                <w:sz w:val="21"/>
              </w:rPr>
              <w:t>82.1%</w:t>
            </w:r>
          </w:p>
        </w:tc>
        <w:tc>
          <w:tcPr>
            <w:tcW w:type="dxa" w:w="1441"/>
            <w:tcBorders/>
          </w:tcPr>
          <w:p>
            <w:pPr>
              <w:jc w:val="center"/>
            </w:pPr>
            <w:r>
              <w:rPr>
                <w:rFonts w:ascii="Times New Roman" w:hAnsi="Times New Roman" w:eastAsia="宋体"/>
                <w:sz w:val="21"/>
              </w:rPr>
              <w:t>81.1</w:t>
            </w:r>
          </w:p>
        </w:tc>
      </w:tr>
      <w:tr>
        <w:tc>
          <w:tcPr>
            <w:tcW w:type="dxa" w:w="1441"/>
            <w:tcBorders/>
          </w:tcPr>
          <w:p>
            <w:pPr>
              <w:jc w:val="center"/>
            </w:pPr>
            <w:r>
              <w:rPr>
                <w:rFonts w:ascii="Times New Roman" w:hAnsi="Times New Roman" w:eastAsia="宋体"/>
                <w:sz w:val="21"/>
              </w:rPr>
              <w:t>平均</w:t>
            </w:r>
          </w:p>
        </w:tc>
        <w:tc>
          <w:tcPr>
            <w:tcW w:type="dxa" w:w="1441"/>
            <w:tcBorders/>
          </w:tcPr>
          <w:p>
            <w:pPr>
              <w:jc w:val="center"/>
            </w:pPr>
            <w:r>
              <w:rPr>
                <w:rFonts w:ascii="Times New Roman" w:hAnsi="Times New Roman" w:eastAsia="宋体"/>
                <w:sz w:val="21"/>
              </w:rPr>
              <w:t>88.4%</w:t>
            </w:r>
          </w:p>
        </w:tc>
        <w:tc>
          <w:tcPr>
            <w:tcW w:type="dxa" w:w="1441"/>
            <w:tcBorders/>
          </w:tcPr>
          <w:p>
            <w:pPr>
              <w:jc w:val="center"/>
            </w:pPr>
            <w:r>
              <w:rPr>
                <w:rFonts w:ascii="Times New Roman" w:hAnsi="Times New Roman" w:eastAsia="宋体"/>
                <w:sz w:val="21"/>
              </w:rPr>
              <w:t>85.6%</w:t>
            </w:r>
          </w:p>
        </w:tc>
        <w:tc>
          <w:tcPr>
            <w:tcW w:type="dxa" w:w="1441"/>
            <w:tcBorders/>
          </w:tcPr>
          <w:p>
            <w:pPr>
              <w:jc w:val="center"/>
            </w:pPr>
            <w:r>
              <w:rPr>
                <w:rFonts w:ascii="Times New Roman" w:hAnsi="Times New Roman" w:eastAsia="宋体"/>
                <w:sz w:val="21"/>
              </w:rPr>
              <w:t>81.2%</w:t>
            </w:r>
          </w:p>
        </w:tc>
        <w:tc>
          <w:tcPr>
            <w:tcW w:type="dxa" w:w="1441"/>
            <w:tcBorders/>
          </w:tcPr>
          <w:p>
            <w:pPr>
              <w:jc w:val="center"/>
            </w:pPr>
            <w:r>
              <w:rPr>
                <w:rFonts w:ascii="Times New Roman" w:hAnsi="Times New Roman" w:eastAsia="宋体"/>
                <w:sz w:val="21"/>
              </w:rPr>
              <w:t>86.8%</w:t>
            </w:r>
          </w:p>
        </w:tc>
        <w:tc>
          <w:tcPr>
            <w:tcW w:type="dxa" w:w="1441"/>
            <w:tcBorders/>
          </w:tcPr>
          <w:p>
            <w:pPr>
              <w:jc w:val="center"/>
            </w:pPr>
            <w:r>
              <w:rPr>
                <w:rFonts w:ascii="Times New Roman" w:hAnsi="Times New Roman" w:eastAsia="宋体"/>
                <w:sz w:val="21"/>
              </w:rPr>
              <w:t>85.5</w:t>
            </w:r>
          </w:p>
        </w:tc>
      </w:tr>
    </w:tbl>
    <w:p/>
    <w:p>
      <w:pPr>
        <w:spacing w:line="360" w:lineRule="auto" w:after="0" w:before="0"/>
        <w:ind w:firstLine="420"/>
      </w:pPr>
      <w:r>
        <w:rPr>
          <w:rFonts w:ascii="Times New Roman" w:hAnsi="Times New Roman" w:eastAsia="宋体"/>
          <w:color w:val="000000"/>
        </w:rPr>
        <w:t>数据来源：OGD-Collector Pro质量评估模块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