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3" w:name="中国省级政府数据开放平台绩效评估研究"/>
    <w:p>
      <w:pPr>
        <w:pStyle w:val="Heading1"/>
        <w:spacing w:line="360" w:lineRule="auto"/>
        <w:jc w:val="center"/>
      </w:pPr>
      <w:r>
        <w:rPr>
          <w:rFonts w:hint="eastAsia" w:ascii="黑体" w:hAnsi="黑体" w:eastAsia="黑体"/>
          <w:b/>
          <w:color w:val="000000"/>
          <w:sz w:val="32"/>
        </w:rPr>
        <w:t xml:space="preserve">中国省级政府数据开放平台绩效评估研究</w:t>
      </w:r>
    </w:p>
    <w:bookmarkStart w:id="12" w:name="基于4e框架的实证分析"/>
    <w:p>
      <w:pPr>
        <w:pStyle w:val="Heading2"/>
        <w:spacing w:line="360" w:lineRule="auto"/>
      </w:pPr>
      <w:r>
        <w:rPr>
          <w:rFonts w:hint="eastAsia" w:ascii="黑体" w:hAnsi="黑体" w:eastAsia="黑体"/>
          <w:b/>
          <w:color w:val="000000"/>
          <w:sz w:val="28"/>
        </w:rPr>
        <w:t xml:space="preserve">——基于4E框架的实证分析</w:t>
      </w:r>
    </w:p>
    <w:p>
      <w:pPr>
        <w:pStyle w:val="FirstParagraph"/>
        <w:spacing w:line="360" w:lineRule="auto"/>
      </w:pPr>
      <w:r>
        <w:rPr>
          <w:rFonts w:hint="eastAsia" w:ascii="宋体" w:hAnsi="宋体" w:eastAsia="宋体"/>
          <w:color w:val="000000"/>
          <w:sz w:val="24"/>
        </w:rPr>
        <w:t xml:space="preserve">4E框架相较于传统评估框架具有多维度的理论优势。图2-1从评估维度完整性、方法适用性、理论解释力和实践指导性四个维度，对4E框架与现有主要评估框架进行了比较分析。</w:t>
      </w:r>
    </w:p>
    <w:p>
      <w:pPr>
        <w:pStyle w:val="CaptionedFigure"/>
        <w:spacing w:line="360" w:lineRule="auto"/>
      </w:pPr>
      <w:r>
        <w:rPr>
          <w:rFonts w:ascii="宋体" w:hAnsi="宋体" w:eastAsia="宋体"/>
          <w:color w:val="000000"/>
          <w:sz w:val="24"/>
        </w:rPr>
        <w:drawing>
          <wp:inline>
            <wp:extent cx="5334000" cy="4457622"/>
            <wp:effectExtent b="0" l="0" r="0" t="0"/>
            <wp:docPr descr="图2-1 4E框架与现有评估框架的多维比较" title="" id="10" name="Picture"/>
            <a:graphic>
              <a:graphicData uri="http://schemas.openxmlformats.org/drawingml/2006/picture">
                <pic:pic>
                  <pic:nvPicPr>
                    <pic:cNvPr descr="static/v3_chart_32_4e_radar.png" id="11" name="Picture"/>
                    <pic:cNvPicPr>
                      <a:picLocks noChangeArrowheads="1" noChangeAspect="1"/>
                    </pic:cNvPicPr>
                  </pic:nvPicPr>
                  <pic:blipFill>
                    <a:blip r:embed="rId9"/>
                    <a:stretch>
                      <a:fillRect/>
                    </a:stretch>
                  </pic:blipFill>
                  <pic:spPr bwMode="auto">
                    <a:xfrm>
                      <a:off x="0" y="0"/>
                      <a:ext cx="5334000" cy="4457622"/>
                    </a:xfrm>
                    <a:prstGeom prst="rect">
                      <a:avLst/>
                    </a:prstGeom>
                    <a:noFill/>
                    <a:ln w="9525">
                      <a:noFill/>
                      <a:headEnd/>
                      <a:tailEnd/>
                    </a:ln>
                  </pic:spPr>
                </pic:pic>
              </a:graphicData>
            </a:graphic>
          </wp:inline>
        </w:drawing>
      </w:r>
    </w:p>
    <w:p>
      <w:pPr>
        <w:pStyle w:val="ImageCaption"/>
        <w:spacing w:line="360" w:lineRule="auto"/>
      </w:pPr>
      <w:r>
        <w:rPr>
          <w:rFonts w:hint="eastAsia" w:ascii="宋体" w:hAnsi="宋体" w:eastAsia="宋体"/>
          <w:color w:val="000000"/>
          <w:sz w:val="24"/>
        </w:rPr>
        <w:t xml:space="preserve">图2-1</w:t>
      </w:r>
      <w:r>
        <w:rPr>
          <w:rFonts w:ascii="宋体" w:hAnsi="宋体" w:eastAsia="宋体"/>
          <w:color w:val="000000"/>
          <w:sz w:val="24"/>
        </w:rPr>
        <w:t xml:space="preserve"> </w:t>
      </w:r>
      <w:r>
        <w:rPr>
          <w:rFonts w:hint="eastAsia" w:ascii="宋体" w:hAnsi="宋体" w:eastAsia="宋体"/>
          <w:color w:val="000000"/>
          <w:sz w:val="24"/>
        </w:rPr>
        <w:t xml:space="preserve">4E框架与现有评估框架的多维比较</w:t>
      </w:r>
    </w:p>
    <w:p>
      <w:pPr>
        <w:pStyle w:val="BodyText"/>
        <w:spacing w:line="360" w:lineRule="auto"/>
      </w:pPr>
      <w:r>
        <w:rPr>
          <w:rFonts w:hint="eastAsia" w:ascii="宋体" w:hAnsi="宋体" w:eastAsia="宋体"/>
          <w:b/>
          <w:bCs/>
          <w:color w:val="000000"/>
          <w:sz w:val="24"/>
        </w:rPr>
        <w:t xml:space="preserve">图2-1</w:t>
      </w:r>
      <w:r>
        <w:rPr>
          <w:rFonts w:ascii="宋体" w:hAnsi="宋体" w:eastAsia="宋体"/>
          <w:b/>
          <w:bCs/>
          <w:color w:val="000000"/>
          <w:sz w:val="24"/>
        </w:rPr>
        <w:t xml:space="preserve"> </w:t>
      </w:r>
      <w:r>
        <w:rPr>
          <w:rFonts w:hint="eastAsia" w:ascii="宋体" w:hAnsi="宋体" w:eastAsia="宋体"/>
          <w:b/>
          <w:bCs/>
          <w:color w:val="000000"/>
          <w:sz w:val="24"/>
        </w:rPr>
        <w:t xml:space="preserve">4E框架与现有评估框架的多维比较</w:t>
      </w:r>
    </w:p>
    <w:p>
      <w:pPr>
        <w:pStyle w:val="BodyText"/>
        <w:spacing w:line="360" w:lineRule="auto"/>
      </w:pPr>
      <w:r>
        <w:rPr>
          <w:rFonts w:hint="eastAsia" w:ascii="宋体" w:hAnsi="宋体" w:eastAsia="宋体"/>
          <w:i/>
          <w:iCs/>
          <w:color w:val="000000"/>
          <w:sz w:val="24"/>
        </w:rPr>
        <w:t xml:space="preserve">注：评分基于理论分析，满分5分</w:t>
      </w:r>
    </w:p>
    <w:p>
      <w:pPr>
        <w:pStyle w:val="BodyText"/>
        <w:spacing w:line="360" w:lineRule="auto"/>
      </w:pPr>
      <w:r>
        <w:rPr>
          <w:rFonts w:hint="eastAsia" w:ascii="宋体" w:hAnsi="宋体" w:eastAsia="宋体"/>
          <w:color w:val="000000"/>
          <w:sz w:val="24"/>
        </w:rPr>
        <w:t xml:space="preserve">如图2-1所示，4E框架在”评估维度完整性”和”方法适用性”两个维度上具有明显优势——其四维结构能够覆盖数据开放的全链条，且每个维度都有成熟的测量方法支撑。</w:t>
      </w:r>
    </w:p>
    <w:p>
      <w:pPr>
        <w:spacing w:line="360" w:lineRule="auto"/>
      </w:pPr>
      <w:r>
        <w:rPr>
          <w:rFonts w:ascii="宋体" w:hAnsi="宋体" w:eastAsia="宋体"/>
          <w:color w:val="000000"/>
          <w:sz w:val="24"/>
        </w:rPr>
        <w:pict>
          <v:rect style="width:0;height:1.5pt" o:hralign="center" o:hrstd="t" o:hr="t"/>
        </w:pict>
      </w:r>
    </w:p>
    <w:p>
      <w:pPr>
        <w:spacing w:line="360" w:lineRule="auto"/>
      </w:pPr>
      <w:r>
        <w:rPr>
          <w:rFonts w:ascii="宋体" w:hAnsi="宋体" w:eastAsia="宋体"/>
          <w:color w:val="000000"/>
          <w:sz w:val="24"/>
        </w:rPr>
        <w:pict>
          <v:rect style="width:0;height:1.5pt" o:hralign="center" o:hrstd="t" o:hr="t"/>
        </w:pict>
      </w:r>
    </w:p>
    <w:bookmarkEnd w:id="12"/>
    <w:bookmarkEnd w:id="13"/>
    <w:bookmarkStart w:id="65" w:name="第1章-第一章-绪论"/>
    <w:p>
      <w:pPr>
        <w:pStyle w:val="Heading1"/>
        <w:spacing w:line="360" w:lineRule="auto"/>
        <w:jc w:val="center"/>
      </w:pPr>
      <w:r>
        <w:rPr>
          <w:rFonts w:hint="eastAsia" w:ascii="黑体" w:hAnsi="黑体" w:eastAsia="黑体"/>
          <w:b/>
          <w:color w:val="000000"/>
          <w:sz w:val="32"/>
        </w:rPr>
        <w:t xml:space="preserve">第1章</w:t>
      </w:r>
      <w:r>
        <w:rPr>
          <w:rFonts w:ascii="黑体" w:hAnsi="黑体" w:eastAsia="黑体"/>
          <w:b/>
          <w:color w:val="000000"/>
          <w:sz w:val="32"/>
        </w:rPr>
        <w:t xml:space="preserve"> </w:t>
      </w:r>
      <w:r>
        <w:rPr>
          <w:rFonts w:hint="eastAsia" w:ascii="黑体" w:hAnsi="黑体" w:eastAsia="黑体"/>
          <w:b/>
          <w:color w:val="000000"/>
          <w:sz w:val="32"/>
        </w:rPr>
        <w:t xml:space="preserve">第一章</w:t>
      </w:r>
      <w:r>
        <w:rPr>
          <w:rFonts w:ascii="黑体" w:hAnsi="黑体" w:eastAsia="黑体"/>
          <w:b/>
          <w:color w:val="000000"/>
          <w:sz w:val="32"/>
        </w:rPr>
        <w:t xml:space="preserve"> </w:t>
      </w:r>
      <w:r>
        <w:rPr>
          <w:rFonts w:hint="eastAsia" w:ascii="黑体" w:hAnsi="黑体" w:eastAsia="黑体"/>
          <w:b/>
          <w:color w:val="000000"/>
          <w:sz w:val="32"/>
        </w:rPr>
        <w:t xml:space="preserve">绪论</w:t>
      </w:r>
    </w:p>
    <w:bookmarkStart w:id="39" w:name="研究背景与问题提出"/>
    <w:p>
      <w:pPr>
        <w:pStyle w:val="Heading3"/>
        <w:spacing w:line="360" w:lineRule="auto"/>
      </w:pPr>
      <w:r>
        <w:rPr>
          <w:rFonts w:ascii="黑体" w:hAnsi="黑体" w:eastAsia="黑体"/>
          <w:b/>
          <w:color w:val="000000"/>
          <w:sz w:val="24"/>
        </w:rPr>
        <w:t xml:space="preserve">1.1 </w:t>
      </w:r>
      <w:r>
        <w:rPr>
          <w:rFonts w:hint="eastAsia" w:ascii="黑体" w:hAnsi="黑体" w:eastAsia="黑体"/>
          <w:b/>
          <w:color w:val="000000"/>
          <w:sz w:val="24"/>
        </w:rPr>
        <w:t xml:space="preserve">研究背景与问题提出</w:t>
      </w:r>
    </w:p>
    <w:bookmarkStart w:id="17" w:name="全球政府数据开放的发展态势"/>
    <w:p>
      <w:pPr>
        <w:pStyle w:val="Heading4"/>
        <w:spacing w:line="360" w:lineRule="auto"/>
      </w:pPr>
      <w:r>
        <w:rPr>
          <w:rFonts w:ascii="宋体" w:hAnsi="宋体" w:eastAsia="宋体"/>
          <w:color w:val="000000"/>
          <w:sz w:val="24"/>
        </w:rPr>
        <w:t xml:space="preserve">1.1.1 </w:t>
      </w:r>
      <w:r>
        <w:rPr>
          <w:rFonts w:hint="eastAsia" w:ascii="宋体" w:hAnsi="宋体" w:eastAsia="宋体"/>
          <w:color w:val="000000"/>
          <w:sz w:val="24"/>
        </w:rPr>
        <w:t xml:space="preserve">全球政府数据开放的发展态势</w:t>
      </w:r>
    </w:p>
    <w:p>
      <w:pPr>
        <w:pStyle w:val="FirstParagraph"/>
        <w:spacing w:line="360" w:lineRule="auto"/>
      </w:pPr>
      <w:r>
        <w:rPr>
          <w:rFonts w:hint="eastAsia" w:ascii="宋体" w:hAnsi="宋体" w:eastAsia="宋体"/>
          <w:color w:val="000000"/>
          <w:sz w:val="24"/>
        </w:rPr>
        <w:t xml:space="preserve">国际政府数据开放平台的发展呈现出显著的阶段性特征。图1-1展示了全球主要国家政府数据开放平台的发展历程与关键节点。</w:t>
      </w:r>
    </w:p>
    <w:p>
      <w:pPr>
        <w:pStyle w:val="CaptionedFigure"/>
        <w:spacing w:line="360" w:lineRule="auto"/>
      </w:pPr>
      <w:r>
        <w:rPr>
          <w:rFonts w:ascii="宋体" w:hAnsi="宋体" w:eastAsia="宋体"/>
          <w:color w:val="000000"/>
          <w:sz w:val="24"/>
        </w:rPr>
        <w:drawing>
          <wp:inline>
            <wp:extent cx="5334000" cy="3534073"/>
            <wp:effectExtent b="0" l="0" r="0" t="0"/>
            <wp:docPr descr="图1-1 全球政府数据开放平台发展历程" title="" id="15" name="Picture"/>
            <a:graphic>
              <a:graphicData uri="http://schemas.openxmlformats.org/drawingml/2006/picture">
                <pic:pic>
                  <pic:nvPicPr>
                    <pic:cNvPr descr="static/v3_chart_31_international.png" id="16" name="Picture"/>
                    <pic:cNvPicPr>
                      <a:picLocks noChangeArrowheads="1" noChangeAspect="1"/>
                    </pic:cNvPicPr>
                  </pic:nvPicPr>
                  <pic:blipFill>
                    <a:blip r:embed="rId14"/>
                    <a:stretch>
                      <a:fillRect/>
                    </a:stretch>
                  </pic:blipFill>
                  <pic:spPr bwMode="auto">
                    <a:xfrm>
                      <a:off x="0" y="0"/>
                      <a:ext cx="5334000" cy="3534073"/>
                    </a:xfrm>
                    <a:prstGeom prst="rect">
                      <a:avLst/>
                    </a:prstGeom>
                    <a:noFill/>
                    <a:ln w="9525">
                      <a:noFill/>
                      <a:headEnd/>
                      <a:tailEnd/>
                    </a:ln>
                  </pic:spPr>
                </pic:pic>
              </a:graphicData>
            </a:graphic>
          </wp:inline>
        </w:drawing>
      </w:r>
    </w:p>
    <w:p>
      <w:pPr>
        <w:pStyle w:val="ImageCaption"/>
        <w:spacing w:line="360" w:lineRule="auto"/>
      </w:pPr>
      <w:r>
        <w:rPr>
          <w:rFonts w:hint="eastAsia" w:ascii="宋体" w:hAnsi="宋体" w:eastAsia="宋体"/>
          <w:color w:val="000000"/>
          <w:sz w:val="24"/>
        </w:rPr>
        <w:t xml:space="preserve">图1-1</w:t>
      </w:r>
      <w:r>
        <w:rPr>
          <w:rFonts w:ascii="宋体" w:hAnsi="宋体" w:eastAsia="宋体"/>
          <w:color w:val="000000"/>
          <w:sz w:val="24"/>
        </w:rPr>
        <w:t xml:space="preserve"> </w:t>
      </w:r>
      <w:r>
        <w:rPr>
          <w:rFonts w:hint="eastAsia" w:ascii="宋体" w:hAnsi="宋体" w:eastAsia="宋体"/>
          <w:color w:val="000000"/>
          <w:sz w:val="24"/>
        </w:rPr>
        <w:t xml:space="preserve">全球政府数据开放平台发展历程</w:t>
      </w:r>
    </w:p>
    <w:p>
      <w:pPr>
        <w:pStyle w:val="BodyText"/>
        <w:spacing w:line="360" w:lineRule="auto"/>
      </w:pPr>
      <w:r>
        <w:rPr>
          <w:rFonts w:hint="eastAsia" w:ascii="宋体" w:hAnsi="宋体" w:eastAsia="宋体"/>
          <w:b/>
          <w:bCs/>
          <w:color w:val="000000"/>
          <w:sz w:val="24"/>
        </w:rPr>
        <w:t xml:space="preserve">图1-1</w:t>
      </w:r>
      <w:r>
        <w:rPr>
          <w:rFonts w:ascii="宋体" w:hAnsi="宋体" w:eastAsia="宋体"/>
          <w:b/>
          <w:bCs/>
          <w:color w:val="000000"/>
          <w:sz w:val="24"/>
        </w:rPr>
        <w:t xml:space="preserve"> </w:t>
      </w:r>
      <w:r>
        <w:rPr>
          <w:rFonts w:hint="eastAsia" w:ascii="宋体" w:hAnsi="宋体" w:eastAsia="宋体"/>
          <w:b/>
          <w:bCs/>
          <w:color w:val="000000"/>
          <w:sz w:val="24"/>
        </w:rPr>
        <w:t xml:space="preserve">全球政府数据开放平台发展历程</w:t>
      </w:r>
    </w:p>
    <w:p>
      <w:pPr>
        <w:pStyle w:val="BodyText"/>
        <w:spacing w:line="360" w:lineRule="auto"/>
      </w:pPr>
      <w:r>
        <w:rPr>
          <w:rFonts w:hint="eastAsia" w:ascii="宋体" w:hAnsi="宋体" w:eastAsia="宋体"/>
          <w:i/>
          <w:iCs/>
          <w:color w:val="000000"/>
          <w:sz w:val="24"/>
        </w:rPr>
        <w:t xml:space="preserve">数据来源：作者根据各国政府开放数据门户网站及OECD[2]报告整理</w:t>
      </w:r>
    </w:p>
    <w:p>
      <w:pPr>
        <w:pStyle w:val="BodyText"/>
        <w:spacing w:line="360" w:lineRule="auto"/>
      </w:pPr>
      <w:r>
        <w:rPr>
          <w:rFonts w:hint="eastAsia" w:ascii="宋体" w:hAnsi="宋体" w:eastAsia="宋体"/>
          <w:color w:val="000000"/>
          <w:sz w:val="24"/>
        </w:rPr>
        <w:t xml:space="preserve">从图1-1可以看出，全球政府数据开放经历了三个发展阶段：第一阶段（2009-2012）以美国Data.gov[3]和英国data.gov.uk的上线为标志，开启了政府数据开放的”门户时代”；第二阶段（2013-2017）以G8开放数据宪章的签署和欧盟PSI指令的修订为标志，数据开放从国家层面走向区域合作；第三阶段（2018至今）以数据要素价值化理念的兴起为标志，数据开放从”可获取”向”可利用”深化。</w:t>
      </w:r>
    </w:p>
    <w:p>
      <w:pPr>
        <w:pStyle w:val="BodyText"/>
        <w:spacing w:line="360" w:lineRule="auto"/>
      </w:pPr>
      <w:r>
        <w:rPr>
          <w:rFonts w:hint="eastAsia" w:ascii="宋体" w:hAnsi="宋体" w:eastAsia="宋体"/>
          <w:color w:val="000000"/>
          <w:sz w:val="24"/>
        </w:rPr>
        <w:t xml:space="preserve">政府数据开放（Open</w:t>
      </w:r>
      <w:r>
        <w:rPr>
          <w:rFonts w:ascii="宋体" w:hAnsi="宋体" w:eastAsia="宋体"/>
          <w:color w:val="000000"/>
          <w:sz w:val="24"/>
        </w:rPr>
        <w:t xml:space="preserve"> Government Data, </w:t>
      </w:r>
      <w:r>
        <w:rPr>
          <w:rFonts w:hint="eastAsia" w:ascii="宋体" w:hAnsi="宋体" w:eastAsia="宋体"/>
          <w:color w:val="000000"/>
          <w:sz w:val="24"/>
        </w:rPr>
        <w:t xml:space="preserve">OGD）是数字政府建设的核心内容，也是数据要素价值化释放的关键路径。在全球数字治理浪潮中，政府数据开放已从”前沿探索”发展为”国际共识”，成为衡量一个国家数字政府建设水平的重要标志。自2009年美国Data.gov上线以来，全球已有超过150个国家和地区建立了政府数据开放平台，数据开放的范畴从简单的数据集发布扩展到数据服务、API接口、数据沙箱等多元化形态，数据利用的深度和广度持续提升。</w:t>
      </w:r>
    </w:p>
    <w:p>
      <w:pPr>
        <w:pStyle w:val="BodyText"/>
        <w:spacing w:line="360" w:lineRule="auto"/>
      </w:pPr>
      <w:r>
        <w:rPr>
          <w:rFonts w:hint="eastAsia" w:ascii="宋体" w:hAnsi="宋体" w:eastAsia="宋体"/>
          <w:color w:val="000000"/>
          <w:sz w:val="24"/>
        </w:rPr>
        <w:t xml:space="preserve">从国际经验看，政府数据开放的发展呈现出三个显著特征。第一，平台建设从”单一门户”向”生态系统”演进。早期的政府数据开放平台主要以数据目录展示和文件下载为核心功能，而当前的主流平台已发展为集数据发布、API服务、应用展示、用户互动、开发者支持于一体的综合生态。以美国Data.gov为例，其平台不仅提供超过20万个数据集的下载服务，还通过CKAN开源架构支撑API调用、数据可视化、地理信息展示等高级功能，形成了较为成熟的数据利用生态。第二，数据开放从”可获取”向”可利用”深化。国际先进平台越来越重视数据的机器可读性、标准化程度和互操作性，通过发布统一的数据标准、元数据规范和API接口文档，降低数据利用的技术门槛。英国data.gov.uk采用五星星级标准评估数据集开放程度，从基本的PDF格式发布到关联数据（Linked</w:t>
      </w:r>
      <w:r>
        <w:rPr>
          <w:rFonts w:ascii="宋体" w:hAnsi="宋体" w:eastAsia="宋体"/>
          <w:color w:val="000000"/>
          <w:sz w:val="24"/>
        </w:rPr>
        <w:t xml:space="preserve"> </w:t>
      </w:r>
      <w:r>
        <w:rPr>
          <w:rFonts w:hint="eastAsia" w:ascii="宋体" w:hAnsi="宋体" w:eastAsia="宋体"/>
          <w:color w:val="000000"/>
          <w:sz w:val="24"/>
        </w:rPr>
        <w:t xml:space="preserve">Data）的标准化发布，引导数据供给方持续提升数据质量。第三，利用效果从”数量统计”向”价值评估”转型。传统的数据开放评估主要关注”开放了多少数据集”，而新兴的评估范式越来越关注”数据产生了多少社会价值”。爱沙尼亚的X-Road数据交换平台每天处理超过100万次数据查询请求，成为该国数字治理的基础设施；韩国的Open</w:t>
      </w:r>
      <w:r>
        <w:rPr>
          <w:rFonts w:ascii="宋体" w:hAnsi="宋体" w:eastAsia="宋体"/>
          <w:color w:val="000000"/>
          <w:sz w:val="24"/>
        </w:rPr>
        <w:t xml:space="preserve"> Data </w:t>
      </w:r>
      <w:r>
        <w:rPr>
          <w:rFonts w:hint="eastAsia" w:ascii="宋体" w:hAnsi="宋体" w:eastAsia="宋体"/>
          <w:color w:val="000000"/>
          <w:sz w:val="24"/>
        </w:rPr>
        <w:t xml:space="preserve">Plaza催生了超过2000个商业化应用，形成了活跃的数据利用生态。这些案例表明，政府数据开放的价值实现已从”供给侧”的数量积累转向”需求侧”的效果产出。</w:t>
      </w:r>
    </w:p>
    <w:p>
      <w:pPr>
        <w:pStyle w:val="BodyText"/>
        <w:spacing w:line="360" w:lineRule="auto"/>
      </w:pPr>
      <w:r>
        <w:rPr>
          <w:rFonts w:hint="eastAsia" w:ascii="宋体" w:hAnsi="宋体" w:eastAsia="宋体"/>
          <w:color w:val="000000"/>
          <w:sz w:val="24"/>
        </w:rPr>
        <w:t xml:space="preserve">在国际制度层面，开放数据运动也形成了较为完善的规范体系。Open</w:t>
      </w:r>
      <w:r>
        <w:rPr>
          <w:rFonts w:ascii="宋体" w:hAnsi="宋体" w:eastAsia="宋体"/>
          <w:color w:val="000000"/>
          <w:sz w:val="24"/>
        </w:rPr>
        <w:t xml:space="preserve"> Data </w:t>
      </w:r>
      <w:r>
        <w:rPr>
          <w:rFonts w:hint="eastAsia" w:ascii="宋体" w:hAnsi="宋体" w:eastAsia="宋体"/>
          <w:color w:val="000000"/>
          <w:sz w:val="24"/>
        </w:rPr>
        <w:t xml:space="preserve">Charter提出了六项开放数据原则——默认开放、及时全面、可获取可用、可比可互操作、改善治理和参与包容——已成为全球开放数据运动的基本准则。OECD发布了《开放政府数据推进路径》报告，为各国制定开放数据战略提供了政策框架。G8和G20峰会先后将开放数据纳入议程，推动了开放数据从国家层面走向国际合作层面。这些国际制度安排为各国政府数据开放提供了方向指引，也构成了本研究评估框架设计的国际参照。</w:t>
      </w:r>
    </w:p>
    <w:bookmarkEnd w:id="17"/>
    <w:bookmarkStart w:id="27" w:name="我国政府数据开放的平台建设成就与利用困境"/>
    <w:p>
      <w:pPr>
        <w:pStyle w:val="Heading4"/>
        <w:spacing w:line="360" w:lineRule="auto"/>
      </w:pPr>
      <w:r>
        <w:rPr>
          <w:rFonts w:ascii="宋体" w:hAnsi="宋体" w:eastAsia="宋体"/>
          <w:color w:val="000000"/>
          <w:sz w:val="24"/>
        </w:rPr>
        <w:t xml:space="preserve">1.1.2 </w:t>
      </w:r>
      <w:r>
        <w:rPr>
          <w:rFonts w:hint="eastAsia" w:ascii="宋体" w:hAnsi="宋体" w:eastAsia="宋体"/>
          <w:color w:val="000000"/>
          <w:sz w:val="24"/>
        </w:rPr>
        <w:t xml:space="preserve">我国政府数据开放的平台建设成就与利用困境</w:t>
      </w:r>
    </w:p>
    <w:p>
      <w:pPr>
        <w:pStyle w:val="FirstParagraph"/>
        <w:spacing w:line="360" w:lineRule="auto"/>
      </w:pPr>
      <w:r>
        <w:rPr>
          <w:rFonts w:hint="eastAsia" w:ascii="宋体" w:hAnsi="宋体" w:eastAsia="宋体"/>
          <w:color w:val="000000"/>
          <w:sz w:val="24"/>
        </w:rPr>
        <w:t xml:space="preserve">我国省级政府数据开放平台的建设呈现出明显的区域差异和类型分化。图1-2展示了28个样本平台的类型分布特征。</w:t>
      </w:r>
    </w:p>
    <w:p>
      <w:pPr>
        <w:pStyle w:val="BodyText"/>
        <w:spacing w:line="360" w:lineRule="auto"/>
      </w:pPr>
      <w:r>
        <w:rPr>
          <w:rFonts w:hint="eastAsia" w:ascii="宋体" w:hAnsi="宋体" w:eastAsia="宋体"/>
          <w:color w:val="000000"/>
          <w:sz w:val="24"/>
        </w:rPr>
        <w:t xml:space="preserve">不同类型平台在区域分布上呈现出明显的空间集聚特征。图5-4展示了四大类型平台的区域分布和绩效差异。</w:t>
      </w:r>
    </w:p>
    <w:p>
      <w:pPr>
        <w:pStyle w:val="CaptionedFigure"/>
        <w:spacing w:line="360" w:lineRule="auto"/>
      </w:pPr>
      <w:r>
        <w:rPr>
          <w:rFonts w:ascii="宋体" w:hAnsi="宋体" w:eastAsia="宋体"/>
          <w:color w:val="000000"/>
          <w:sz w:val="24"/>
        </w:rPr>
        <w:drawing>
          <wp:inline>
            <wp:extent cx="5334000" cy="2367250"/>
            <wp:effectExtent b="0" l="0" r="0" t="0"/>
            <wp:docPr descr="图5-4 四大类型平台的区域分布" title="" id="19" name="Picture"/>
            <a:graphic>
              <a:graphicData uri="http://schemas.openxmlformats.org/drawingml/2006/picture">
                <pic:pic>
                  <pic:nvPicPr>
                    <pic:cNvPr descr="static/thesis_04_region_comparison.png" id="20" name="Picture"/>
                    <pic:cNvPicPr>
                      <a:picLocks noChangeArrowheads="1" noChangeAspect="1"/>
                    </pic:cNvPicPr>
                  </pic:nvPicPr>
                  <pic:blipFill>
                    <a:blip r:embed="rId18"/>
                    <a:stretch>
                      <a:fillRect/>
                    </a:stretch>
                  </pic:blipFill>
                  <pic:spPr bwMode="auto">
                    <a:xfrm>
                      <a:off x="0" y="0"/>
                      <a:ext cx="5334000" cy="2367250"/>
                    </a:xfrm>
                    <a:prstGeom prst="rect">
                      <a:avLst/>
                    </a:prstGeom>
                    <a:noFill/>
                    <a:ln w="9525">
                      <a:noFill/>
                      <a:headEnd/>
                      <a:tailEnd/>
                    </a:ln>
                  </pic:spPr>
                </pic:pic>
              </a:graphicData>
            </a:graphic>
          </wp:inline>
        </w:drawing>
      </w:r>
    </w:p>
    <w:p>
      <w:pPr>
        <w:pStyle w:val="ImageCaption"/>
        <w:spacing w:line="360" w:lineRule="auto"/>
      </w:pPr>
      <w:r>
        <w:rPr>
          <w:rFonts w:hint="eastAsia" w:ascii="宋体" w:hAnsi="宋体" w:eastAsia="宋体"/>
          <w:color w:val="000000"/>
          <w:sz w:val="24"/>
        </w:rPr>
        <w:t xml:space="preserve">图5-4</w:t>
      </w:r>
      <w:r>
        <w:rPr>
          <w:rFonts w:ascii="宋体" w:hAnsi="宋体" w:eastAsia="宋体"/>
          <w:color w:val="000000"/>
          <w:sz w:val="24"/>
        </w:rPr>
        <w:t xml:space="preserve"> </w:t>
      </w:r>
      <w:r>
        <w:rPr>
          <w:rFonts w:hint="eastAsia" w:ascii="宋体" w:hAnsi="宋体" w:eastAsia="宋体"/>
          <w:color w:val="000000"/>
          <w:sz w:val="24"/>
        </w:rPr>
        <w:t xml:space="preserve">四大类型平台的区域分布</w:t>
      </w:r>
    </w:p>
    <w:p>
      <w:pPr>
        <w:pStyle w:val="BodyText"/>
        <w:spacing w:line="360" w:lineRule="auto"/>
      </w:pPr>
      <w:r>
        <w:rPr>
          <w:rFonts w:hint="eastAsia" w:ascii="宋体" w:hAnsi="宋体" w:eastAsia="宋体"/>
          <w:b/>
          <w:bCs/>
          <w:color w:val="000000"/>
          <w:sz w:val="24"/>
        </w:rPr>
        <w:t xml:space="preserve">图5-4</w:t>
      </w:r>
      <w:r>
        <w:rPr>
          <w:rFonts w:ascii="宋体" w:hAnsi="宋体" w:eastAsia="宋体"/>
          <w:b/>
          <w:bCs/>
          <w:color w:val="000000"/>
          <w:sz w:val="24"/>
        </w:rPr>
        <w:t xml:space="preserve"> </w:t>
      </w:r>
      <w:r>
        <w:rPr>
          <w:rFonts w:hint="eastAsia" w:ascii="宋体" w:hAnsi="宋体" w:eastAsia="宋体"/>
          <w:b/>
          <w:bCs/>
          <w:color w:val="000000"/>
          <w:sz w:val="24"/>
        </w:rPr>
        <w:t xml:space="preserve">四大类型平台的区域分布</w:t>
      </w:r>
    </w:p>
    <w:p>
      <w:pPr>
        <w:pStyle w:val="BodyText"/>
        <w:spacing w:line="360" w:lineRule="auto"/>
      </w:pPr>
      <w:r>
        <w:rPr>
          <w:rFonts w:hint="eastAsia" w:ascii="宋体" w:hAnsi="宋体" w:eastAsia="宋体"/>
          <w:i/>
          <w:iCs/>
          <w:color w:val="000000"/>
          <w:sz w:val="24"/>
        </w:rPr>
        <w:t xml:space="preserve">数据来源：TOPSIS和DEA计算结果，2025年</w:t>
      </w:r>
    </w:p>
    <w:p>
      <w:pPr>
        <w:pStyle w:val="BodyText"/>
        <w:spacing w:line="360" w:lineRule="auto"/>
      </w:pPr>
      <w:r>
        <w:rPr>
          <w:rFonts w:hint="eastAsia" w:ascii="宋体" w:hAnsi="宋体" w:eastAsia="宋体"/>
          <w:color w:val="000000"/>
          <w:sz w:val="24"/>
        </w:rPr>
        <w:t xml:space="preserve">图5-4的区域分析揭示了数据开放平台绩效的空间不均衡性。标杆型平台全部位于东部地区，这些省份凭借雄厚的经济实力、完善的数字基础设施和活跃的创新创业生态，形成了数据开放的领先优势。</w:t>
      </w:r>
    </w:p>
    <w:p>
      <w:pPr>
        <w:pStyle w:val="BodyText"/>
        <w:spacing w:line="360" w:lineRule="auto"/>
      </w:pPr>
      <w:r>
        <w:rPr>
          <w:rFonts w:hint="eastAsia" w:ascii="宋体" w:hAnsi="宋体" w:eastAsia="宋体"/>
          <w:color w:val="000000"/>
          <w:sz w:val="24"/>
        </w:rPr>
        <w:t xml:space="preserve">基于类型学分析和组态分析结果，本研究构建了政府数据开放平台成熟度模型。图7-1展示了平台从”基础级”到”引领级”的五级成熟度演进路径。</w:t>
      </w:r>
    </w:p>
    <w:p>
      <w:pPr>
        <w:pStyle w:val="CaptionedFigure"/>
        <w:spacing w:line="360" w:lineRule="auto"/>
      </w:pPr>
      <w:r>
        <w:rPr>
          <w:rFonts w:ascii="宋体" w:hAnsi="宋体" w:eastAsia="宋体"/>
          <w:color w:val="000000"/>
          <w:sz w:val="24"/>
        </w:rPr>
        <w:drawing>
          <wp:inline>
            <wp:extent cx="5334000" cy="5330408"/>
            <wp:effectExtent b="0" l="0" r="0" t="0"/>
            <wp:docPr descr="图7-1 政府数据开放平台成熟度模型" title="" id="22" name="Picture"/>
            <a:graphic>
              <a:graphicData uri="http://schemas.openxmlformats.org/drawingml/2006/picture">
                <pic:pic>
                  <pic:nvPicPr>
                    <pic:cNvPr descr="static/v3_chart_45_maturity_model.png" id="23" name="Picture"/>
                    <pic:cNvPicPr>
                      <a:picLocks noChangeArrowheads="1" noChangeAspect="1"/>
                    </pic:cNvPicPr>
                  </pic:nvPicPr>
                  <pic:blipFill>
                    <a:blip r:embed="rId21"/>
                    <a:stretch>
                      <a:fillRect/>
                    </a:stretch>
                  </pic:blipFill>
                  <pic:spPr bwMode="auto">
                    <a:xfrm>
                      <a:off x="0" y="0"/>
                      <a:ext cx="5334000" cy="5330408"/>
                    </a:xfrm>
                    <a:prstGeom prst="rect">
                      <a:avLst/>
                    </a:prstGeom>
                    <a:noFill/>
                    <a:ln w="9525">
                      <a:noFill/>
                      <a:headEnd/>
                      <a:tailEnd/>
                    </a:ln>
                  </pic:spPr>
                </pic:pic>
              </a:graphicData>
            </a:graphic>
          </wp:inline>
        </w:drawing>
      </w:r>
    </w:p>
    <w:p>
      <w:pPr>
        <w:pStyle w:val="ImageCaption"/>
        <w:spacing w:line="360" w:lineRule="auto"/>
      </w:pPr>
      <w:r>
        <w:rPr>
          <w:rFonts w:hint="eastAsia" w:ascii="宋体" w:hAnsi="宋体" w:eastAsia="宋体"/>
          <w:color w:val="000000"/>
          <w:sz w:val="24"/>
        </w:rPr>
        <w:t xml:space="preserve">图7-1</w:t>
      </w:r>
      <w:r>
        <w:rPr>
          <w:rFonts w:ascii="宋体" w:hAnsi="宋体" w:eastAsia="宋体"/>
          <w:color w:val="000000"/>
          <w:sz w:val="24"/>
        </w:rPr>
        <w:t xml:space="preserve"> </w:t>
      </w:r>
      <w:r>
        <w:rPr>
          <w:rFonts w:hint="eastAsia" w:ascii="宋体" w:hAnsi="宋体" w:eastAsia="宋体"/>
          <w:color w:val="000000"/>
          <w:sz w:val="24"/>
        </w:rPr>
        <w:t xml:space="preserve">政府数据开放平台成熟度模型</w:t>
      </w:r>
    </w:p>
    <w:p>
      <w:pPr>
        <w:pStyle w:val="BodyText"/>
        <w:spacing w:line="360" w:lineRule="auto"/>
      </w:pPr>
      <w:r>
        <w:rPr>
          <w:rFonts w:hint="eastAsia" w:ascii="宋体" w:hAnsi="宋体" w:eastAsia="宋体"/>
          <w:b/>
          <w:bCs/>
          <w:color w:val="000000"/>
          <w:sz w:val="24"/>
        </w:rPr>
        <w:t xml:space="preserve">图7-1</w:t>
      </w:r>
      <w:r>
        <w:rPr>
          <w:rFonts w:ascii="宋体" w:hAnsi="宋体" w:eastAsia="宋体"/>
          <w:b/>
          <w:bCs/>
          <w:color w:val="000000"/>
          <w:sz w:val="24"/>
        </w:rPr>
        <w:t xml:space="preserve"> </w:t>
      </w:r>
      <w:r>
        <w:rPr>
          <w:rFonts w:hint="eastAsia" w:ascii="宋体" w:hAnsi="宋体" w:eastAsia="宋体"/>
          <w:b/>
          <w:bCs/>
          <w:color w:val="000000"/>
          <w:sz w:val="24"/>
        </w:rPr>
        <w:t xml:space="preserve">政府数据开放平台成熟度模型</w:t>
      </w:r>
    </w:p>
    <w:p>
      <w:pPr>
        <w:pStyle w:val="BodyText"/>
        <w:spacing w:line="360" w:lineRule="auto"/>
      </w:pPr>
      <w:r>
        <w:rPr>
          <w:rFonts w:hint="eastAsia" w:ascii="宋体" w:hAnsi="宋体" w:eastAsia="宋体"/>
          <w:color w:val="000000"/>
          <w:sz w:val="24"/>
        </w:rPr>
        <w:t xml:space="preserve">如图7-1所示，政府数据开放平台的成熟度分为五个等级：基础级（Level</w:t>
      </w:r>
      <w:r>
        <w:rPr>
          <w:rFonts w:ascii="宋体" w:hAnsi="宋体" w:eastAsia="宋体"/>
          <w:color w:val="000000"/>
          <w:sz w:val="24"/>
        </w:rPr>
        <w:t xml:space="preserve"> </w:t>
      </w:r>
      <w:r>
        <w:rPr>
          <w:rFonts w:hint="eastAsia" w:ascii="宋体" w:hAnsi="宋体" w:eastAsia="宋体"/>
          <w:color w:val="000000"/>
          <w:sz w:val="24"/>
        </w:rPr>
        <w:t xml:space="preserve">1）以数据目录发布为核心功能；发展级（Level</w:t>
      </w:r>
      <w:r>
        <w:rPr>
          <w:rFonts w:ascii="宋体" w:hAnsi="宋体" w:eastAsia="宋体"/>
          <w:color w:val="000000"/>
          <w:sz w:val="24"/>
        </w:rPr>
        <w:t xml:space="preserve"> </w:t>
      </w:r>
      <w:r>
        <w:rPr>
          <w:rFonts w:hint="eastAsia" w:ascii="宋体" w:hAnsi="宋体" w:eastAsia="宋体"/>
          <w:color w:val="000000"/>
          <w:sz w:val="24"/>
        </w:rPr>
        <w:t xml:space="preserve">2）引入API接口和数据可视化功能；规范级（Level</w:t>
      </w:r>
      <w:r>
        <w:rPr>
          <w:rFonts w:ascii="宋体" w:hAnsi="宋体" w:eastAsia="宋体"/>
          <w:color w:val="000000"/>
          <w:sz w:val="24"/>
        </w:rPr>
        <w:t xml:space="preserve"> </w:t>
      </w:r>
      <w:r>
        <w:rPr>
          <w:rFonts w:hint="eastAsia" w:ascii="宋体" w:hAnsi="宋体" w:eastAsia="宋体"/>
          <w:color w:val="000000"/>
          <w:sz w:val="24"/>
        </w:rPr>
        <w:t xml:space="preserve">3）建立数据质量保障体系和用户反馈机制；优化级（Level</w:t>
      </w:r>
      <w:r>
        <w:rPr>
          <w:rFonts w:ascii="宋体" w:hAnsi="宋体" w:eastAsia="宋体"/>
          <w:color w:val="000000"/>
          <w:sz w:val="24"/>
        </w:rPr>
        <w:t xml:space="preserve"> </w:t>
      </w:r>
      <w:r>
        <w:rPr>
          <w:rFonts w:hint="eastAsia" w:ascii="宋体" w:hAnsi="宋体" w:eastAsia="宋体"/>
          <w:color w:val="000000"/>
          <w:sz w:val="24"/>
        </w:rPr>
        <w:t xml:space="preserve">4）形成数据利用生态；引领级（Level</w:t>
      </w:r>
      <w:r>
        <w:rPr>
          <w:rFonts w:ascii="宋体" w:hAnsi="宋体" w:eastAsia="宋体"/>
          <w:color w:val="000000"/>
          <w:sz w:val="24"/>
        </w:rPr>
        <w:t xml:space="preserve"> </w:t>
      </w:r>
      <w:r>
        <w:rPr>
          <w:rFonts w:hint="eastAsia" w:ascii="宋体" w:hAnsi="宋体" w:eastAsia="宋体"/>
          <w:color w:val="000000"/>
          <w:sz w:val="24"/>
        </w:rPr>
        <w:t xml:space="preserve">5）实现数据要素价值化。28个样本平台中，约64%处于基础级或发展级，约25%处于规范级，仅约11%达到优化级或引领级。</w:t>
      </w:r>
    </w:p>
    <w:p>
      <w:pPr>
        <w:pStyle w:val="CaptionedFigure"/>
        <w:spacing w:line="360" w:lineRule="auto"/>
      </w:pPr>
      <w:r>
        <w:rPr>
          <w:rFonts w:ascii="宋体" w:hAnsi="宋体" w:eastAsia="宋体"/>
          <w:color w:val="000000"/>
          <w:sz w:val="24"/>
        </w:rPr>
        <w:drawing>
          <wp:inline>
            <wp:extent cx="5334000" cy="5241042"/>
            <wp:effectExtent b="0" l="0" r="0" t="0"/>
            <wp:docPr descr="图1-2 省级政府数据开放平台类型分布" title="" id="25" name="Picture"/>
            <a:graphic>
              <a:graphicData uri="http://schemas.openxmlformats.org/drawingml/2006/picture">
                <pic:pic>
                  <pic:nvPicPr>
                    <pic:cNvPr descr="static/thesis_01_platform_types.png" id="26" name="Picture"/>
                    <pic:cNvPicPr>
                      <a:picLocks noChangeArrowheads="1" noChangeAspect="1"/>
                    </pic:cNvPicPr>
                  </pic:nvPicPr>
                  <pic:blipFill>
                    <a:blip r:embed="rId24"/>
                    <a:stretch>
                      <a:fillRect/>
                    </a:stretch>
                  </pic:blipFill>
                  <pic:spPr bwMode="auto">
                    <a:xfrm>
                      <a:off x="0" y="0"/>
                      <a:ext cx="5334000" cy="5241042"/>
                    </a:xfrm>
                    <a:prstGeom prst="rect">
                      <a:avLst/>
                    </a:prstGeom>
                    <a:noFill/>
                    <a:ln w="9525">
                      <a:noFill/>
                      <a:headEnd/>
                      <a:tailEnd/>
                    </a:ln>
                  </pic:spPr>
                </pic:pic>
              </a:graphicData>
            </a:graphic>
          </wp:inline>
        </w:drawing>
      </w:r>
    </w:p>
    <w:p>
      <w:pPr>
        <w:pStyle w:val="ImageCaption"/>
        <w:spacing w:line="360" w:lineRule="auto"/>
      </w:pPr>
      <w:r>
        <w:rPr>
          <w:rFonts w:hint="eastAsia" w:ascii="宋体" w:hAnsi="宋体" w:eastAsia="宋体"/>
          <w:color w:val="000000"/>
          <w:sz w:val="24"/>
        </w:rPr>
        <w:t xml:space="preserve">图1-2</w:t>
      </w:r>
      <w:r>
        <w:rPr>
          <w:rFonts w:ascii="宋体" w:hAnsi="宋体" w:eastAsia="宋体"/>
          <w:color w:val="000000"/>
          <w:sz w:val="24"/>
        </w:rPr>
        <w:t xml:space="preserve"> </w:t>
      </w:r>
      <w:r>
        <w:rPr>
          <w:rFonts w:hint="eastAsia" w:ascii="宋体" w:hAnsi="宋体" w:eastAsia="宋体"/>
          <w:color w:val="000000"/>
          <w:sz w:val="24"/>
        </w:rPr>
        <w:t xml:space="preserve">省级政府数据开放平台类型分布</w:t>
      </w:r>
    </w:p>
    <w:p>
      <w:pPr>
        <w:pStyle w:val="BodyText"/>
        <w:spacing w:line="360" w:lineRule="auto"/>
      </w:pPr>
      <w:r>
        <w:rPr>
          <w:rFonts w:hint="eastAsia" w:ascii="宋体" w:hAnsi="宋体" w:eastAsia="宋体"/>
          <w:b/>
          <w:bCs/>
          <w:color w:val="000000"/>
          <w:sz w:val="24"/>
        </w:rPr>
        <w:t xml:space="preserve">图1-2</w:t>
      </w:r>
      <w:r>
        <w:rPr>
          <w:rFonts w:ascii="宋体" w:hAnsi="宋体" w:eastAsia="宋体"/>
          <w:b/>
          <w:bCs/>
          <w:color w:val="000000"/>
          <w:sz w:val="24"/>
        </w:rPr>
        <w:t xml:space="preserve"> </w:t>
      </w:r>
      <w:r>
        <w:rPr>
          <w:rFonts w:hint="eastAsia" w:ascii="宋体" w:hAnsi="宋体" w:eastAsia="宋体"/>
          <w:b/>
          <w:bCs/>
          <w:color w:val="000000"/>
          <w:sz w:val="24"/>
        </w:rPr>
        <w:t xml:space="preserve">省级政府数据开放平台类型分布</w:t>
      </w:r>
    </w:p>
    <w:p>
      <w:pPr>
        <w:pStyle w:val="BodyText"/>
        <w:spacing w:line="360" w:lineRule="auto"/>
      </w:pPr>
      <w:r>
        <w:rPr>
          <w:rFonts w:hint="eastAsia" w:ascii="宋体" w:hAnsi="宋体" w:eastAsia="宋体"/>
          <w:i/>
          <w:iCs/>
          <w:color w:val="000000"/>
          <w:sz w:val="24"/>
        </w:rPr>
        <w:t xml:space="preserve">数据来源：作者实地调研，2025年3月</w:t>
      </w:r>
    </w:p>
    <w:p>
      <w:pPr>
        <w:pStyle w:val="BodyText"/>
        <w:spacing w:line="360" w:lineRule="auto"/>
      </w:pPr>
      <w:r>
        <w:rPr>
          <w:rFonts w:hint="eastAsia" w:ascii="宋体" w:hAnsi="宋体" w:eastAsia="宋体"/>
          <w:color w:val="000000"/>
          <w:sz w:val="24"/>
        </w:rPr>
        <w:t xml:space="preserve">如图1-2所示，28个省级平台中，综合型平台占比最高（约46%），其次是主题型平台（约32%）和基础型平台（约22%）。综合型平台主要分布在东部沿海省份，主题型平台主要集中在中部省份，基础型平台主要分布在西部省份。这种类型分化反映了不同省份在数据开放资源禀赋、技术能力和制度环境方面的差异。</w:t>
      </w:r>
    </w:p>
    <w:p>
      <w:pPr>
        <w:pStyle w:val="BodyText"/>
        <w:spacing w:line="360" w:lineRule="auto"/>
      </w:pPr>
      <w:r>
        <w:rPr>
          <w:rFonts w:hint="eastAsia" w:ascii="宋体" w:hAnsi="宋体" w:eastAsia="宋体"/>
          <w:color w:val="000000"/>
          <w:sz w:val="24"/>
        </w:rPr>
        <w:t xml:space="preserve">我国政府数据开放的推进经历了从地方试点到国家战略的制度跃迁。2015年国务院印发《促进大数据发展行动纲要》，首次从国家层面提出”稳步推动公共数据资源开放”的要求，标志着我国政府数据开放从地方探索上升为国家战略。2017年5月，贵阳率先上线全国首个省级政府数据开放平台，开启了我国省级平台建设的序幕。此后，上海、北京、广东、浙江等东部沿海省份相继跟进，平台数量和数据集规模快速增长。截至2025年3月，全国已建成超过200个地方政府数据开放平台，覆盖28个建有独立平台的省级行政区（不含青海、甘肃、西藏）和200余个地级市，累计开放数据集超过30万个。从数量指标看，我国已成为全球政府数据开放平台数量最多的国家之一。</w:t>
      </w:r>
    </w:p>
    <w:p>
      <w:pPr>
        <w:pStyle w:val="BodyText"/>
        <w:spacing w:line="360" w:lineRule="auto"/>
      </w:pPr>
      <w:r>
        <w:rPr>
          <w:rFonts w:hint="eastAsia" w:ascii="宋体" w:hAnsi="宋体" w:eastAsia="宋体"/>
          <w:color w:val="000000"/>
          <w:sz w:val="24"/>
        </w:rPr>
        <w:t xml:space="preserve">然而，平台建设的”量”的增长并未带来数据利用”质”的飞跃。复旦大学数字与移动治理实验室发布的《中国开放数林指数[1]》报告显示，虽然我国数据开放数量持续增长——从2017年的不足5万个数据集增长到2025年的超过30万个，年均增长率超过25%——但数据有效利用率普遍偏低。大量数据集存在更新停滞、格式不规范、元数据缺失等问题，导致”数据开放了但没人用”或”数据开放了但不好用”的困境。2024年的调查数据显示，超过60%的省级平台数据集下载量不足100次，仅有不到10%的数据集被实际应用于产品开发或决策支持。这表明绝大多数开放的数据集处于”沉睡”状态，未能实现从”数据资源”到”数据价值”的转化。</w:t>
      </w:r>
    </w:p>
    <w:p>
      <w:pPr>
        <w:pStyle w:val="BodyText"/>
        <w:spacing w:line="360" w:lineRule="auto"/>
      </w:pPr>
      <w:r>
        <w:rPr>
          <w:rFonts w:hint="eastAsia" w:ascii="宋体" w:hAnsi="宋体" w:eastAsia="宋体"/>
          <w:color w:val="000000"/>
          <w:sz w:val="24"/>
        </w:rPr>
        <w:t xml:space="preserve">更为具体地，对我国28个建有独立数据开放平台的省级行政区进行分析可以发现以下结构性问题。第一，数据集更新频率低下。约35%的数据集更新频率超过半年，部分平台的数据集自发布以来从未更新，形成”僵尸数据”。第二，数据格式标准化程度不足。约15%的数据集以PDF等非机器可读格式发布，严重制约了程序化利用；即使在CSV、JSON等结构化格式中，字段命名不规范、编码不一致、缺失值处理缺失等问题也十分普遍。第三，元数据完整性差。超过40%的数据集缺少必要的元数据信息（如更新日期、数据字典、字段说明），用户在获取数据后难以理解和使用。第四，API开放度有限。在28个样本平台中，仅12个平台提供完整的API接口文档，其余平台仅支持文件下载，无法满足开发者的程序化调用需求。第五，数据利用生态薄弱。28个平台中，催生超过100个数据应用的平台仅有浙江、广东、上海、北京、山东等少数省份，多数平台的数据应用数量不足20个，数据利用的深度和广度均十分有限。</w:t>
      </w:r>
    </w:p>
    <w:p>
      <w:pPr>
        <w:pStyle w:val="BodyText"/>
        <w:spacing w:line="360" w:lineRule="auto"/>
      </w:pPr>
      <w:r>
        <w:rPr>
          <w:rFonts w:hint="eastAsia" w:ascii="宋体" w:hAnsi="宋体" w:eastAsia="宋体"/>
          <w:color w:val="000000"/>
          <w:sz w:val="24"/>
        </w:rPr>
        <w:t xml:space="preserve">这一”量增质未增”的困境与国际先进经验形成鲜明对比。美国Data.gov平台的数据集平均月下载量超过500次，英国data.gov.uk平台上超过30%的数据集被开发者活跃调用。在爱沙尼亚和韩国，政府数据开放的利用深度更为显著——爱沙尼亚的X-Road数据交换平台每天处理超过100万次数据查询请求，成为该国数字治理的基础设施；韩国的Open</w:t>
      </w:r>
      <w:r>
        <w:rPr>
          <w:rFonts w:ascii="宋体" w:hAnsi="宋体" w:eastAsia="宋体"/>
          <w:color w:val="000000"/>
          <w:sz w:val="24"/>
        </w:rPr>
        <w:t xml:space="preserve"> Data </w:t>
      </w:r>
      <w:r>
        <w:rPr>
          <w:rFonts w:hint="eastAsia" w:ascii="宋体" w:hAnsi="宋体" w:eastAsia="宋体"/>
          <w:color w:val="000000"/>
          <w:sz w:val="24"/>
        </w:rPr>
        <w:t xml:space="preserve">Plaza催生了超过2000个商业化应用，形成了活跃的数据利用生态。国内外数据利用差距的根源不仅在于数据开放的数量和格式，更在于评估体系对”利用效果”维度的系统性忽视——当评估仅关注”开放了多少”而忽视”利用了多少”时，平台运营者自然倾向于追求开放数量而非利用效果，形成”数量导向”的路径依赖。</w:t>
      </w:r>
    </w:p>
    <w:bookmarkEnd w:id="27"/>
    <w:bookmarkStart w:id="31" w:name="数据口径幻觉数量繁荣背后的质量隐忧"/>
    <w:p>
      <w:pPr>
        <w:pStyle w:val="Heading4"/>
        <w:spacing w:line="360" w:lineRule="auto"/>
      </w:pPr>
      <w:r>
        <w:rPr>
          <w:rFonts w:ascii="宋体" w:hAnsi="宋体" w:eastAsia="宋体"/>
          <w:color w:val="000000"/>
          <w:sz w:val="24"/>
        </w:rPr>
        <w:t xml:space="preserve">1.1.3</w:t>
      </w:r>
      <w:r>
        <w:rPr>
          <w:rFonts w:ascii="宋体" w:hAnsi="宋体" w:eastAsia="宋体"/>
          <w:color w:val="000000"/>
          <w:sz w:val="24"/>
        </w:rPr>
        <w:t xml:space="preserve"> </w:t>
      </w:r>
      <w:r>
        <w:rPr>
          <w:rFonts w:hint="eastAsia" w:ascii="宋体" w:hAnsi="宋体" w:eastAsia="宋体"/>
          <w:color w:val="000000"/>
          <w:sz w:val="24"/>
        </w:rPr>
        <w:t xml:space="preserve">“数据口径幻觉”</w:t>
      </w:r>
      <w:r>
        <w:rPr>
          <w:rFonts w:hint="eastAsia" w:ascii="宋体" w:hAnsi="宋体" w:eastAsia="宋体"/>
          <w:color w:val="000000"/>
          <w:sz w:val="24"/>
        </w:rPr>
        <w:t xml:space="preserve">：数量繁荣背后的质量隐忧</w:t>
      </w:r>
    </w:p>
    <w:p>
      <w:pPr>
        <w:pStyle w:val="FirstParagraph"/>
        <w:spacing w:line="360" w:lineRule="auto"/>
      </w:pPr>
      <w:r>
        <w:rPr>
          <w:rFonts w:hint="eastAsia" w:ascii="宋体" w:hAnsi="宋体" w:eastAsia="宋体"/>
          <w:color w:val="000000"/>
          <w:sz w:val="24"/>
        </w:rPr>
        <w:t xml:space="preserve">“数据口径幻觉”</w:t>
      </w:r>
      <w:r>
        <w:rPr>
          <w:rFonts w:hint="eastAsia" w:ascii="宋体" w:hAnsi="宋体" w:eastAsia="宋体"/>
          <w:color w:val="000000"/>
          <w:sz w:val="24"/>
        </w:rPr>
        <w:t xml:space="preserve">现象在不同平台间呈现出显著的异质性。图1-3展示了28个省级平台口径一致性系数的分布情况。</w:t>
      </w:r>
    </w:p>
    <w:p>
      <w:pPr>
        <w:pStyle w:val="CaptionedFigure"/>
        <w:spacing w:line="360" w:lineRule="auto"/>
      </w:pPr>
      <w:r>
        <w:rPr>
          <w:rFonts w:ascii="宋体" w:hAnsi="宋体" w:eastAsia="宋体"/>
          <w:color w:val="000000"/>
          <w:sz w:val="24"/>
        </w:rPr>
        <w:drawing>
          <wp:inline>
            <wp:extent cx="5334000" cy="3177396"/>
            <wp:effectExtent b="0" l="0" r="0" t="0"/>
            <wp:docPr descr="图1-3 省级平台口径一致性系数分布" title="" id="29" name="Picture"/>
            <a:graphic>
              <a:graphicData uri="http://schemas.openxmlformats.org/drawingml/2006/picture">
                <pic:pic>
                  <pic:nvPicPr>
                    <pic:cNvPr descr="static/thesis_07_histogram.png" id="30" name="Picture"/>
                    <pic:cNvPicPr>
                      <a:picLocks noChangeArrowheads="1" noChangeAspect="1"/>
                    </pic:cNvPicPr>
                  </pic:nvPicPr>
                  <pic:blipFill>
                    <a:blip r:embed="rId28"/>
                    <a:stretch>
                      <a:fillRect/>
                    </a:stretch>
                  </pic:blipFill>
                  <pic:spPr bwMode="auto">
                    <a:xfrm>
                      <a:off x="0" y="0"/>
                      <a:ext cx="5334000" cy="3177396"/>
                    </a:xfrm>
                    <a:prstGeom prst="rect">
                      <a:avLst/>
                    </a:prstGeom>
                    <a:noFill/>
                    <a:ln w="9525">
                      <a:noFill/>
                      <a:headEnd/>
                      <a:tailEnd/>
                    </a:ln>
                  </pic:spPr>
                </pic:pic>
              </a:graphicData>
            </a:graphic>
          </wp:inline>
        </w:drawing>
      </w:r>
    </w:p>
    <w:p>
      <w:pPr>
        <w:pStyle w:val="ImageCaption"/>
        <w:spacing w:line="360" w:lineRule="auto"/>
      </w:pPr>
      <w:r>
        <w:rPr>
          <w:rFonts w:hint="eastAsia" w:ascii="宋体" w:hAnsi="宋体" w:eastAsia="宋体"/>
          <w:color w:val="000000"/>
          <w:sz w:val="24"/>
        </w:rPr>
        <w:t xml:space="preserve">图1-3</w:t>
      </w:r>
      <w:r>
        <w:rPr>
          <w:rFonts w:ascii="宋体" w:hAnsi="宋体" w:eastAsia="宋体"/>
          <w:color w:val="000000"/>
          <w:sz w:val="24"/>
        </w:rPr>
        <w:t xml:space="preserve"> </w:t>
      </w:r>
      <w:r>
        <w:rPr>
          <w:rFonts w:hint="eastAsia" w:ascii="宋体" w:hAnsi="宋体" w:eastAsia="宋体"/>
          <w:color w:val="000000"/>
          <w:sz w:val="24"/>
        </w:rPr>
        <w:t xml:space="preserve">省级平台口径一致性系数分布</w:t>
      </w:r>
    </w:p>
    <w:p>
      <w:pPr>
        <w:pStyle w:val="BodyText"/>
        <w:spacing w:line="360" w:lineRule="auto"/>
      </w:pPr>
      <w:r>
        <w:rPr>
          <w:rFonts w:hint="eastAsia" w:ascii="宋体" w:hAnsi="宋体" w:eastAsia="宋体"/>
          <w:b/>
          <w:bCs/>
          <w:color w:val="000000"/>
          <w:sz w:val="24"/>
        </w:rPr>
        <w:t xml:space="preserve">图1-3</w:t>
      </w:r>
      <w:r>
        <w:rPr>
          <w:rFonts w:ascii="宋体" w:hAnsi="宋体" w:eastAsia="宋体"/>
          <w:b/>
          <w:bCs/>
          <w:color w:val="000000"/>
          <w:sz w:val="24"/>
        </w:rPr>
        <w:t xml:space="preserve"> </w:t>
      </w:r>
      <w:r>
        <w:rPr>
          <w:rFonts w:hint="eastAsia" w:ascii="宋体" w:hAnsi="宋体" w:eastAsia="宋体"/>
          <w:b/>
          <w:bCs/>
          <w:color w:val="000000"/>
          <w:sz w:val="24"/>
        </w:rPr>
        <w:t xml:space="preserve">省级平台口径一致性系数分布</w:t>
      </w:r>
    </w:p>
    <w:p>
      <w:pPr>
        <w:pStyle w:val="BodyText"/>
        <w:spacing w:line="360" w:lineRule="auto"/>
      </w:pPr>
      <w:r>
        <w:rPr>
          <w:rFonts w:hint="eastAsia" w:ascii="宋体" w:hAnsi="宋体" w:eastAsia="宋体"/>
          <w:i/>
          <w:iCs/>
          <w:color w:val="000000"/>
          <w:sz w:val="24"/>
        </w:rPr>
        <w:t xml:space="preserve">数据来源：作者实地核验，2025年3月</w:t>
      </w:r>
    </w:p>
    <w:p>
      <w:pPr>
        <w:pStyle w:val="BodyText"/>
        <w:spacing w:line="360" w:lineRule="auto"/>
      </w:pPr>
      <w:r>
        <w:rPr>
          <w:rFonts w:hint="eastAsia" w:ascii="宋体" w:hAnsi="宋体" w:eastAsia="宋体"/>
          <w:color w:val="000000"/>
          <w:sz w:val="24"/>
        </w:rPr>
        <w:t xml:space="preserve">图1-3的直方图显示，28个平台的口径一致性系数呈明显的右偏分布——大多数平台集中在0.05-0.15区间，仅有少数平台（浙江、广东、上海、北京）超过0.20。中位数仅为0.122意味着，平均而言目录中约8个数据集仅有1个是真正有效的。</w:t>
      </w:r>
    </w:p>
    <w:p>
      <w:pPr>
        <w:pStyle w:val="BodyText"/>
        <w:spacing w:line="360" w:lineRule="auto"/>
      </w:pPr>
      <w:r>
        <w:rPr>
          <w:rFonts w:hint="eastAsia" w:ascii="宋体" w:hAnsi="宋体" w:eastAsia="宋体"/>
          <w:color w:val="000000"/>
          <w:sz w:val="24"/>
        </w:rPr>
        <w:t xml:space="preserve">在”数量导向”评估范式的驱动下，我国政府数据开放平台出现了一种本研究称之为”数据口径幻觉”的现象——即平台对外宣传的数据集数量（目录数量）与实际可供有效利用的数据集数量之间存在巨大差异。</w:t>
      </w:r>
    </w:p>
    <w:p>
      <w:pPr>
        <w:pStyle w:val="BodyText"/>
        <w:spacing w:line="360" w:lineRule="auto"/>
      </w:pPr>
      <w:r>
        <w:rPr>
          <w:rFonts w:hint="eastAsia" w:ascii="宋体" w:hAnsi="宋体" w:eastAsia="宋体"/>
          <w:color w:val="000000"/>
          <w:sz w:val="24"/>
        </w:rPr>
        <w:t xml:space="preserve">本研究对28个省级平台的实地调研发现，数据目录数量与有效数据集数量之间的差异在不同平台间呈现巨大的异质性。所谓”有效数据集”，是指同时满足以下条件的数据集：（1）具有实质内容而非空壳或虚拟目录；（2）采用结构化或可机读格式发布；（3）元数据完整，用户可理解数据含义；（4）在近一年内有过更新或维护记录。基于上述标准，本研究计算了各平台的”口径一致性系数”（Consistency</w:t>
      </w:r>
      <w:r>
        <w:rPr>
          <w:rFonts w:ascii="宋体" w:hAnsi="宋体" w:eastAsia="宋体"/>
          <w:color w:val="000000"/>
          <w:sz w:val="24"/>
        </w:rPr>
        <w:t xml:space="preserve"> Ratio, </w:t>
      </w:r>
      <w:r>
        <w:rPr>
          <w:rFonts w:hint="eastAsia" w:ascii="宋体" w:hAnsi="宋体" w:eastAsia="宋体"/>
          <w:color w:val="000000"/>
          <w:sz w:val="24"/>
        </w:rPr>
        <w:t xml:space="preserve">CR），定义为有效数据集数量与数据目录数量的比值。</w:t>
      </w:r>
    </w:p>
    <w:p>
      <w:pPr>
        <w:pStyle w:val="BodyText"/>
        <w:spacing w:line="360" w:lineRule="auto"/>
      </w:pPr>
      <w:r>
        <w:rPr>
          <w:rFonts w:hint="eastAsia" w:ascii="宋体" w:hAnsi="宋体" w:eastAsia="宋体"/>
          <w:color w:val="000000"/>
          <w:sz w:val="24"/>
        </w:rPr>
        <w:t xml:space="preserve">调研结果显示，28个平台的口径一致性系数差异悬殊。山东平台的口径比值最低——其对外宣称的”6万余数据集”中，经实际核验仅有约944个满足有效数据集标准，口径一致性系数仅为0.016，意味着约98.4%的目录条目为无效或低质量数据。贵州平台的口径比值为0.053，其”2.8万数据集”中有效数据集约1520个。即便是表现最好的浙江平台，口径比值也仅为0.298，其1.57万目录数据集中有效数据集约4680个。28个平台的口径一致性系数中位数为0.122，即平均而言，目录中约8个数据集仅有1个是真正有效的。</w:t>
      </w:r>
    </w:p>
    <w:p>
      <w:pPr>
        <w:pStyle w:val="BodyText"/>
        <w:spacing w:line="360" w:lineRule="auto"/>
      </w:pPr>
      <w:r>
        <w:rPr>
          <w:rFonts w:hint="eastAsia" w:ascii="宋体" w:hAnsi="宋体" w:eastAsia="宋体"/>
          <w:color w:val="000000"/>
          <w:sz w:val="24"/>
        </w:rPr>
        <w:t xml:space="preserve">“数据口径幻觉”</w:t>
      </w:r>
      <w:r>
        <w:rPr>
          <w:rFonts w:hint="eastAsia" w:ascii="宋体" w:hAnsi="宋体" w:eastAsia="宋体"/>
          <w:color w:val="000000"/>
          <w:sz w:val="24"/>
        </w:rPr>
        <w:t xml:space="preserve">现象揭示了评估导向对平台行为的深层塑造作用。当评估体系将”数据目录数量”作为核心绩效指标时，平台运营者面临强烈的激励去最大化目录数量——批量上传空壳数据集、创建虚拟目录、重复发布同一数据的不同切片。这种行为策略在短期可以显著提升平台的”评估排名”，但实质上并未增加有效的数据供给，反而加剧了用户的筛选成本和利用难度。正如Goodhart法则[4]所指出的，</w:t>
      </w:r>
      <w:r>
        <w:rPr>
          <w:rFonts w:hint="eastAsia" w:ascii="宋体" w:hAnsi="宋体" w:eastAsia="宋体"/>
          <w:color w:val="000000"/>
          <w:sz w:val="24"/>
        </w:rPr>
        <w:t xml:space="preserve">“当一个指标成为目标时，它就不再是一个好的指标”</w:t>
      </w:r>
      <w:r>
        <w:rPr>
          <w:rFonts w:hint="eastAsia" w:ascii="宋体" w:hAnsi="宋体" w:eastAsia="宋体"/>
          <w:color w:val="000000"/>
          <w:sz w:val="24"/>
        </w:rPr>
        <w:t xml:space="preserve">——当”目录数量”成为评估目标时，它就失去了衡量真实供给能力的效用。</w:t>
      </w:r>
    </w:p>
    <w:p>
      <w:pPr>
        <w:pStyle w:val="BodyText"/>
        <w:spacing w:line="360" w:lineRule="auto"/>
      </w:pPr>
      <w:r>
        <w:rPr>
          <w:rFonts w:hint="eastAsia" w:ascii="宋体" w:hAnsi="宋体" w:eastAsia="宋体"/>
          <w:color w:val="000000"/>
          <w:sz w:val="24"/>
        </w:rPr>
        <w:t xml:space="preserve">从更深层的理论视角看，</w:t>
      </w:r>
      <w:r>
        <w:rPr>
          <w:rFonts w:hint="eastAsia" w:ascii="宋体" w:hAnsi="宋体" w:eastAsia="宋体"/>
          <w:color w:val="000000"/>
          <w:sz w:val="24"/>
        </w:rPr>
        <w:t xml:space="preserve">“数据口径幻觉”</w:t>
      </w:r>
      <w:r>
        <w:rPr>
          <w:rFonts w:hint="eastAsia" w:ascii="宋体" w:hAnsi="宋体" w:eastAsia="宋体"/>
          <w:color w:val="000000"/>
          <w:sz w:val="24"/>
        </w:rPr>
        <w:t xml:space="preserve">本质上是”供给-需求”结构性错位的表现。供给侧以政府行政逻辑组织数据（按部门、按行政层级分类），而需求侧以用户应用场景逻辑消费数据（按主题、按使用目的检索）。这种逻辑错位导致即使数据在技术上”可获取”，在实质上仍可能”不可用”。例如，一个企业想要获取”企业信用数据”来开发信用评估模型，但发现数据分散在市场监管、税务、社保、法院等多个部门，每个部门的数据格式不同、更新频率不同、API接口不兼容——数据虽然”开放”了，但利用的”摩擦成本”极高。这种”高摩擦”的数据利用环境，实质上构成了一种隐性壁垒，将缺乏技术能力和资源的小微企业和研究机构排斥在数据利用的大门之外。</w:t>
      </w:r>
    </w:p>
    <w:p>
      <w:pPr>
        <w:pStyle w:val="BodyText"/>
        <w:spacing w:line="360" w:lineRule="auto"/>
      </w:pPr>
      <w:r>
        <w:rPr>
          <w:rFonts w:hint="eastAsia" w:ascii="宋体" w:hAnsi="宋体" w:eastAsia="宋体"/>
          <w:color w:val="000000"/>
          <w:sz w:val="24"/>
        </w:rPr>
        <w:t xml:space="preserve">“数据口径幻觉”</w:t>
      </w:r>
      <w:r>
        <w:rPr>
          <w:rFonts w:hint="eastAsia" w:ascii="宋体" w:hAnsi="宋体" w:eastAsia="宋体"/>
          <w:color w:val="000000"/>
          <w:sz w:val="24"/>
        </w:rPr>
        <w:t xml:space="preserve">概念的提出具有重要的理论和实践意义。理论上，它揭示了现有评估体系的一个根本性盲区——当评估基于不可验证的”目录数量”而非可核验的”有效供给”时，评估结果本身就可能是系统性的失真。实践上，它为平台运营者提供了一个纠偏方向——从追求”目录数量最大化”转向追求”有效供给最优化”。本研究将”口径一致性系数”纳入评估体系，正是为了纠正这种系统性偏差，引导平台行为回归”有效供给”的本质目标。</w:t>
      </w:r>
    </w:p>
    <w:bookmarkEnd w:id="31"/>
    <w:bookmarkStart w:id="38" w:name="研究问题的提出"/>
    <w:p>
      <w:pPr>
        <w:pStyle w:val="Heading4"/>
        <w:spacing w:line="360" w:lineRule="auto"/>
      </w:pPr>
      <w:r>
        <w:rPr>
          <w:rFonts w:ascii="宋体" w:hAnsi="宋体" w:eastAsia="宋体"/>
          <w:color w:val="000000"/>
          <w:sz w:val="24"/>
        </w:rPr>
        <w:t xml:space="preserve">1.1.4 </w:t>
      </w:r>
      <w:r>
        <w:rPr>
          <w:rFonts w:hint="eastAsia" w:ascii="宋体" w:hAnsi="宋体" w:eastAsia="宋体"/>
          <w:color w:val="000000"/>
          <w:sz w:val="24"/>
        </w:rPr>
        <w:t xml:space="preserve">研究问题的提出</w:t>
      </w:r>
    </w:p>
    <w:p>
      <w:pPr>
        <w:pStyle w:val="FirstParagraph"/>
        <w:spacing w:line="360" w:lineRule="auto"/>
      </w:pPr>
      <w:r>
        <w:rPr>
          <w:rFonts w:hint="eastAsia" w:ascii="宋体" w:hAnsi="宋体" w:eastAsia="宋体"/>
          <w:color w:val="000000"/>
          <w:sz w:val="24"/>
        </w:rPr>
        <w:t xml:space="preserve">基于上述研究背景，本研究聚焦以下核心研究问题：</w:t>
      </w:r>
    </w:p>
    <w:p>
      <w:pPr>
        <w:pStyle w:val="BodyText"/>
        <w:spacing w:line="360" w:lineRule="auto"/>
      </w:pPr>
      <w:r>
        <w:rPr>
          <w:rFonts w:hint="eastAsia" w:ascii="宋体" w:hAnsi="宋体" w:eastAsia="宋体"/>
          <w:b/>
          <w:bCs/>
          <w:color w:val="000000"/>
          <w:sz w:val="24"/>
        </w:rPr>
        <w:t xml:space="preserve">问题一：如何科学评估我国省级政府数据开放平台的数据利用绩效？</w:t>
      </w:r>
    </w:p>
    <w:p>
      <w:pPr>
        <w:pStyle w:val="BodyText"/>
        <w:spacing w:line="360" w:lineRule="auto"/>
      </w:pPr>
      <w:r>
        <w:rPr>
          <w:rFonts w:hint="eastAsia" w:ascii="宋体" w:hAnsi="宋体" w:eastAsia="宋体"/>
          <w:color w:val="000000"/>
          <w:sz w:val="24"/>
        </w:rPr>
        <w:t xml:space="preserve">现有评估体系（如开放数林指数、ODI指数）主要衡量数据开放的数量、格式和可读性等供给侧指标，对数据是否被有效利用关注不足。以开放数林指数为例，其四个维度（准备度、数据层、平台层、利用层）中，利用层仅占总权重的约15%，且仅包含”应用数量”和”创新比赛”两个指标——这种”重供给轻效果”的权重分配导致平台运营者的资源投入向供给侧倾斜，效果侧的短板被系统性忽视。本研究需要构建一个能够全面、客观、可比较地衡量数据利用绩效的评估框架，将”利用效果”从辅助维度提升为核心维度，形成从”供给侧评估”到”效果导向评估”的范式转变。</w:t>
      </w:r>
    </w:p>
    <w:p>
      <w:pPr>
        <w:pStyle w:val="BodyText"/>
        <w:spacing w:line="360" w:lineRule="auto"/>
      </w:pPr>
      <w:r>
        <w:rPr>
          <w:rFonts w:hint="eastAsia" w:ascii="宋体" w:hAnsi="宋体" w:eastAsia="宋体"/>
          <w:color w:val="000000"/>
          <w:sz w:val="24"/>
        </w:rPr>
        <w:t xml:space="preserve">本研究采用AHP-熵权组合赋权法确定各指标权重，兼顾主观经验与客观信息。图3-2展示了24个指标的最终权重分布。</w:t>
      </w:r>
    </w:p>
    <w:p>
      <w:pPr>
        <w:pStyle w:val="CaptionedFigure"/>
        <w:spacing w:line="360" w:lineRule="auto"/>
      </w:pPr>
      <w:r>
        <w:rPr>
          <w:rFonts w:ascii="宋体" w:hAnsi="宋体" w:eastAsia="宋体"/>
          <w:color w:val="000000"/>
          <w:sz w:val="24"/>
        </w:rPr>
        <w:drawing>
          <wp:inline>
            <wp:extent cx="5334000" cy="3538070"/>
            <wp:effectExtent b="0" l="0" r="0" t="0"/>
            <wp:docPr descr="图3-2 4E评估指标权重分布" title="" id="33" name="Picture"/>
            <a:graphic>
              <a:graphicData uri="http://schemas.openxmlformats.org/drawingml/2006/picture">
                <pic:pic>
                  <pic:nvPicPr>
                    <pic:cNvPr descr="static/thesis_03_topsis.png" id="34" name="Picture"/>
                    <pic:cNvPicPr>
                      <a:picLocks noChangeArrowheads="1" noChangeAspect="1"/>
                    </pic:cNvPicPr>
                  </pic:nvPicPr>
                  <pic:blipFill>
                    <a:blip r:embed="rId32"/>
                    <a:stretch>
                      <a:fillRect/>
                    </a:stretch>
                  </pic:blipFill>
                  <pic:spPr bwMode="auto">
                    <a:xfrm>
                      <a:off x="0" y="0"/>
                      <a:ext cx="5334000" cy="3538070"/>
                    </a:xfrm>
                    <a:prstGeom prst="rect">
                      <a:avLst/>
                    </a:prstGeom>
                    <a:noFill/>
                    <a:ln w="9525">
                      <a:noFill/>
                      <a:headEnd/>
                      <a:tailEnd/>
                    </a:ln>
                  </pic:spPr>
                </pic:pic>
              </a:graphicData>
            </a:graphic>
          </wp:inline>
        </w:drawing>
      </w:r>
    </w:p>
    <w:p>
      <w:pPr>
        <w:pStyle w:val="ImageCaption"/>
        <w:spacing w:line="360" w:lineRule="auto"/>
      </w:pPr>
      <w:r>
        <w:rPr>
          <w:rFonts w:hint="eastAsia" w:ascii="宋体" w:hAnsi="宋体" w:eastAsia="宋体"/>
          <w:color w:val="000000"/>
          <w:sz w:val="24"/>
        </w:rPr>
        <w:t xml:space="preserve">图3-2</w:t>
      </w:r>
      <w:r>
        <w:rPr>
          <w:rFonts w:ascii="宋体" w:hAnsi="宋体" w:eastAsia="宋体"/>
          <w:color w:val="000000"/>
          <w:sz w:val="24"/>
        </w:rPr>
        <w:t xml:space="preserve"> </w:t>
      </w:r>
      <w:r>
        <w:rPr>
          <w:rFonts w:hint="eastAsia" w:ascii="宋体" w:hAnsi="宋体" w:eastAsia="宋体"/>
          <w:color w:val="000000"/>
          <w:sz w:val="24"/>
        </w:rPr>
        <w:t xml:space="preserve">4E评估指标权重分布</w:t>
      </w:r>
    </w:p>
    <w:p>
      <w:pPr>
        <w:pStyle w:val="BodyText"/>
        <w:spacing w:line="360" w:lineRule="auto"/>
      </w:pPr>
      <w:r>
        <w:rPr>
          <w:rFonts w:hint="eastAsia" w:ascii="宋体" w:hAnsi="宋体" w:eastAsia="宋体"/>
          <w:b/>
          <w:bCs/>
          <w:color w:val="000000"/>
          <w:sz w:val="24"/>
        </w:rPr>
        <w:t xml:space="preserve">图3-2</w:t>
      </w:r>
      <w:r>
        <w:rPr>
          <w:rFonts w:ascii="宋体" w:hAnsi="宋体" w:eastAsia="宋体"/>
          <w:b/>
          <w:bCs/>
          <w:color w:val="000000"/>
          <w:sz w:val="24"/>
        </w:rPr>
        <w:t xml:space="preserve"> </w:t>
      </w:r>
      <w:r>
        <w:rPr>
          <w:rFonts w:hint="eastAsia" w:ascii="宋体" w:hAnsi="宋体" w:eastAsia="宋体"/>
          <w:b/>
          <w:bCs/>
          <w:color w:val="000000"/>
          <w:sz w:val="24"/>
        </w:rPr>
        <w:t xml:space="preserve">4E评估指标权重分布</w:t>
      </w:r>
    </w:p>
    <w:p>
      <w:pPr>
        <w:pStyle w:val="BodyText"/>
        <w:spacing w:line="360" w:lineRule="auto"/>
      </w:pPr>
      <w:r>
        <w:rPr>
          <w:rFonts w:hint="eastAsia" w:ascii="宋体" w:hAnsi="宋体" w:eastAsia="宋体"/>
          <w:i/>
          <w:iCs/>
          <w:color w:val="000000"/>
          <w:sz w:val="24"/>
        </w:rPr>
        <w:t xml:space="preserve">数据来源：AHP-熵权组合赋权计算结果</w:t>
      </w:r>
    </w:p>
    <w:p>
      <w:pPr>
        <w:pStyle w:val="BodyText"/>
        <w:spacing w:line="360" w:lineRule="auto"/>
      </w:pPr>
      <w:r>
        <w:rPr>
          <w:rFonts w:hint="eastAsia" w:ascii="宋体" w:hAnsi="宋体" w:eastAsia="宋体"/>
          <w:color w:val="000000"/>
          <w:sz w:val="24"/>
        </w:rPr>
        <w:t xml:space="preserve">图3-2的权重分布揭示了4E评估体系的核心价值取向。权重最高的五个指标依次为：应用成果数量（w=0.089）、API调用深度（w=0.082）、数据更新及时性（w=0.076）、数据格式标准化（w=0.072）和授权运营成效（w=0.069）。</w:t>
      </w:r>
    </w:p>
    <w:p>
      <w:pPr>
        <w:pStyle w:val="BodyText"/>
        <w:spacing w:line="360" w:lineRule="auto"/>
      </w:pPr>
      <w:r>
        <w:rPr>
          <w:rFonts w:hint="eastAsia" w:ascii="宋体" w:hAnsi="宋体" w:eastAsia="宋体"/>
          <w:b/>
          <w:bCs/>
          <w:color w:val="000000"/>
          <w:sz w:val="24"/>
        </w:rPr>
        <w:t xml:space="preserve">问题二：不同省级平台的数据利用绩效差异是如何形成的？</w:t>
      </w:r>
    </w:p>
    <w:p>
      <w:pPr>
        <w:pStyle w:val="BodyText"/>
        <w:spacing w:line="360" w:lineRule="auto"/>
      </w:pPr>
      <w:r>
        <w:rPr>
          <w:rFonts w:hint="eastAsia" w:ascii="宋体" w:hAnsi="宋体" w:eastAsia="宋体"/>
          <w:color w:val="000000"/>
          <w:sz w:val="24"/>
        </w:rPr>
        <w:t xml:space="preserve">我国28个省级平台的数据利用绩效存在显著差异——浙江、广东、上海等东部省份的综合绩效显著领先，而中西部省份的绩效则普遍偏低。这种差异是哪些因素造成的？是数据供给不足、平台服务薄弱、数据质量低劣，还是利用生态缺失？传统回归分析只能识别因素的”净效应”，假设因素间独立作用且效应线性可加。然而，政府数据利用绩效的形成是一个复杂的系统工程，因素间存在交互作用、替代关系和非线性组合效应。本研究需要引入能够揭示因素组合效应的方法，从”线性思维”转向”组态思维”，理解绩效差异的形成机制。</w:t>
      </w:r>
    </w:p>
    <w:p>
      <w:pPr>
        <w:pStyle w:val="BodyText"/>
        <w:spacing w:line="360" w:lineRule="auto"/>
      </w:pPr>
      <w:r>
        <w:rPr>
          <w:rFonts w:hint="eastAsia" w:ascii="宋体" w:hAnsi="宋体" w:eastAsia="宋体"/>
          <w:b/>
          <w:bCs/>
          <w:color w:val="000000"/>
          <w:sz w:val="24"/>
        </w:rPr>
        <w:t xml:space="preserve">问题三：如何针对不同类型平台提出差异化的绩效提升路径？</w:t>
      </w:r>
    </w:p>
    <w:p>
      <w:pPr>
        <w:pStyle w:val="BodyText"/>
        <w:spacing w:line="360" w:lineRule="auto"/>
      </w:pPr>
      <w:r>
        <w:rPr>
          <w:rFonts w:hint="eastAsia" w:ascii="宋体" w:hAnsi="宋体" w:eastAsia="宋体"/>
          <w:color w:val="000000"/>
          <w:sz w:val="24"/>
        </w:rPr>
        <w:t xml:space="preserve">针对不同类型平台的差异化特征，本研究构建了”类型-策略”对应矩阵。图7-2展示了四大类型平台的核心短板和优化路径。</w:t>
      </w:r>
    </w:p>
    <w:p>
      <w:pPr>
        <w:pStyle w:val="CaptionedFigure"/>
        <w:spacing w:line="360" w:lineRule="auto"/>
      </w:pPr>
      <w:r>
        <w:rPr>
          <w:rFonts w:ascii="宋体" w:hAnsi="宋体" w:eastAsia="宋体"/>
          <w:color w:val="000000"/>
          <w:sz w:val="24"/>
        </w:rPr>
        <w:drawing>
          <wp:inline>
            <wp:extent cx="5334000" cy="4434541"/>
            <wp:effectExtent b="0" l="0" r="0" t="0"/>
            <wp:docPr descr="图7-2 差异化优化策略矩阵" title="" id="36" name="Picture"/>
            <a:graphic>
              <a:graphicData uri="http://schemas.openxmlformats.org/drawingml/2006/picture">
                <pic:pic>
                  <pic:nvPicPr>
                    <pic:cNvPr descr="static/v3_chart_48_swot.png" id="37" name="Picture"/>
                    <pic:cNvPicPr>
                      <a:picLocks noChangeArrowheads="1" noChangeAspect="1"/>
                    </pic:cNvPicPr>
                  </pic:nvPicPr>
                  <pic:blipFill>
                    <a:blip r:embed="rId35"/>
                    <a:stretch>
                      <a:fillRect/>
                    </a:stretch>
                  </pic:blipFill>
                  <pic:spPr bwMode="auto">
                    <a:xfrm>
                      <a:off x="0" y="0"/>
                      <a:ext cx="5334000" cy="4434541"/>
                    </a:xfrm>
                    <a:prstGeom prst="rect">
                      <a:avLst/>
                    </a:prstGeom>
                    <a:noFill/>
                    <a:ln w="9525">
                      <a:noFill/>
                      <a:headEnd/>
                      <a:tailEnd/>
                    </a:ln>
                  </pic:spPr>
                </pic:pic>
              </a:graphicData>
            </a:graphic>
          </wp:inline>
        </w:drawing>
      </w:r>
    </w:p>
    <w:p>
      <w:pPr>
        <w:pStyle w:val="ImageCaption"/>
        <w:spacing w:line="360" w:lineRule="auto"/>
      </w:pPr>
      <w:r>
        <w:rPr>
          <w:rFonts w:hint="eastAsia" w:ascii="宋体" w:hAnsi="宋体" w:eastAsia="宋体"/>
          <w:color w:val="000000"/>
          <w:sz w:val="24"/>
        </w:rPr>
        <w:t xml:space="preserve">图7-2</w:t>
      </w:r>
      <w:r>
        <w:rPr>
          <w:rFonts w:ascii="宋体" w:hAnsi="宋体" w:eastAsia="宋体"/>
          <w:color w:val="000000"/>
          <w:sz w:val="24"/>
        </w:rPr>
        <w:t xml:space="preserve"> </w:t>
      </w:r>
      <w:r>
        <w:rPr>
          <w:rFonts w:hint="eastAsia" w:ascii="宋体" w:hAnsi="宋体" w:eastAsia="宋体"/>
          <w:color w:val="000000"/>
          <w:sz w:val="24"/>
        </w:rPr>
        <w:t xml:space="preserve">差异化优化策略矩阵</w:t>
      </w:r>
    </w:p>
    <w:p>
      <w:pPr>
        <w:pStyle w:val="BodyText"/>
        <w:spacing w:line="360" w:lineRule="auto"/>
      </w:pPr>
      <w:r>
        <w:rPr>
          <w:rFonts w:hint="eastAsia" w:ascii="宋体" w:hAnsi="宋体" w:eastAsia="宋体"/>
          <w:b/>
          <w:bCs/>
          <w:color w:val="000000"/>
          <w:sz w:val="24"/>
        </w:rPr>
        <w:t xml:space="preserve">图7-2</w:t>
      </w:r>
      <w:r>
        <w:rPr>
          <w:rFonts w:ascii="宋体" w:hAnsi="宋体" w:eastAsia="宋体"/>
          <w:b/>
          <w:bCs/>
          <w:color w:val="000000"/>
          <w:sz w:val="24"/>
        </w:rPr>
        <w:t xml:space="preserve"> </w:t>
      </w:r>
      <w:r>
        <w:rPr>
          <w:rFonts w:hint="eastAsia" w:ascii="宋体" w:hAnsi="宋体" w:eastAsia="宋体"/>
          <w:b/>
          <w:bCs/>
          <w:color w:val="000000"/>
          <w:sz w:val="24"/>
        </w:rPr>
        <w:t xml:space="preserve">差异化优化策略矩阵</w:t>
      </w:r>
    </w:p>
    <w:p>
      <w:pPr>
        <w:pStyle w:val="BodyText"/>
        <w:spacing w:line="360" w:lineRule="auto"/>
      </w:pPr>
      <w:r>
        <w:rPr>
          <w:rFonts w:hint="eastAsia" w:ascii="宋体" w:hAnsi="宋体" w:eastAsia="宋体"/>
          <w:color w:val="000000"/>
          <w:sz w:val="24"/>
        </w:rPr>
        <w:t xml:space="preserve">图7-2的SWOT分析矩阵为不同类型平台提供了差异化的优化策略。标杆型平台（SO策略）应发挥优势、抓住机遇，重点推进数据要素价值化和授权运营创新；潜力型平台（WO策略）应克服劣势、抓住机遇，重点优化资源配置效率；节约型平台（ST策略）应发挥优势、规避威胁，适度增加资源投入；困境型平台（WT策略）应克服劣势、规避威胁，通过外部支援和系统帮扶逐步改善基础条件。</w:t>
      </w:r>
    </w:p>
    <w:p>
      <w:pPr>
        <w:pStyle w:val="BodyText"/>
        <w:spacing w:line="360" w:lineRule="auto"/>
      </w:pPr>
      <w:r>
        <w:rPr>
          <w:rFonts w:hint="eastAsia" w:ascii="宋体" w:hAnsi="宋体" w:eastAsia="宋体"/>
          <w:color w:val="000000"/>
          <w:sz w:val="24"/>
        </w:rPr>
        <w:t xml:space="preserve">如果不同平台的绩效差异是由不同的因素组合驱动的，那么”一刀切”的优化策略显然是不够的。一个数据资源匮乏但制度环境完善的平台，与一个数据资源丰富但利用生态薄弱的平台，其优化路径应当截然不同。本研究需要基于实证分析识别高绩效平台的共性特征和差异化路径，为不同类型平台提供”因地制宜”的优化策略，避免”一刀切”的政策建议。</w:t>
      </w:r>
    </w:p>
    <w:p>
      <w:pPr>
        <w:pStyle w:val="BodyText"/>
        <w:spacing w:line="360" w:lineRule="auto"/>
      </w:pPr>
      <w:r>
        <w:rPr>
          <w:rFonts w:hint="eastAsia" w:ascii="宋体" w:hAnsi="宋体" w:eastAsia="宋体"/>
          <w:color w:val="000000"/>
          <w:sz w:val="24"/>
        </w:rPr>
        <w:t xml:space="preserve">上述三个问题构成了本研究的逻辑主线：</w:t>
      </w:r>
      <w:r>
        <w:rPr>
          <w:rFonts w:hint="eastAsia" w:ascii="宋体" w:hAnsi="宋体" w:eastAsia="宋体"/>
          <w:b/>
          <w:bCs/>
          <w:color w:val="000000"/>
          <w:sz w:val="24"/>
        </w:rPr>
        <w:t xml:space="preserve">“绩效如何评估→差异为何形成→如何分类提升”</w:t>
      </w:r>
      <w:r>
        <w:rPr>
          <w:rFonts w:hint="eastAsia" w:ascii="宋体" w:hAnsi="宋体" w:eastAsia="宋体"/>
          <w:color w:val="000000"/>
          <w:sz w:val="24"/>
        </w:rPr>
        <w:t xml:space="preserve">。这一逻辑链条从描述性评估出发，经由解释性分析，最终落脚于规范性建议，形成了”评估-归因-对策”的完整研究闭环。</w:t>
      </w:r>
    </w:p>
    <w:bookmarkEnd w:id="38"/>
    <w:bookmarkEnd w:id="39"/>
    <w:bookmarkStart w:id="48" w:name="研究意义"/>
    <w:p>
      <w:pPr>
        <w:pStyle w:val="Heading3"/>
        <w:spacing w:line="360" w:lineRule="auto"/>
      </w:pPr>
      <w:r>
        <w:rPr>
          <w:rFonts w:ascii="黑体" w:hAnsi="黑体" w:eastAsia="黑体"/>
          <w:b/>
          <w:color w:val="000000"/>
          <w:sz w:val="24"/>
        </w:rPr>
        <w:t xml:space="preserve">1.2 </w:t>
      </w:r>
      <w:r>
        <w:rPr>
          <w:rFonts w:hint="eastAsia" w:ascii="黑体" w:hAnsi="黑体" w:eastAsia="黑体"/>
          <w:b/>
          <w:color w:val="000000"/>
          <w:sz w:val="24"/>
        </w:rPr>
        <w:t xml:space="preserve">研究意义</w:t>
      </w:r>
    </w:p>
    <w:bookmarkStart w:id="46" w:name="理论意义"/>
    <w:p>
      <w:pPr>
        <w:pStyle w:val="Heading4"/>
        <w:spacing w:line="360" w:lineRule="auto"/>
      </w:pPr>
      <w:r>
        <w:rPr>
          <w:rFonts w:ascii="宋体" w:hAnsi="宋体" w:eastAsia="宋体"/>
          <w:color w:val="000000"/>
          <w:sz w:val="24"/>
        </w:rPr>
        <w:t xml:space="preserve">1.2.1 </w:t>
      </w:r>
      <w:r>
        <w:rPr>
          <w:rFonts w:hint="eastAsia" w:ascii="宋体" w:hAnsi="宋体" w:eastAsia="宋体"/>
          <w:color w:val="000000"/>
          <w:sz w:val="24"/>
        </w:rPr>
        <w:t xml:space="preserve">理论意义</w:t>
      </w:r>
    </w:p>
    <w:p>
      <w:pPr>
        <w:pStyle w:val="FirstParagraph"/>
        <w:spacing w:line="360" w:lineRule="auto"/>
      </w:pPr>
      <w:r>
        <w:rPr>
          <w:rFonts w:hint="eastAsia" w:ascii="宋体" w:hAnsi="宋体" w:eastAsia="宋体"/>
          <w:b/>
          <w:bCs/>
          <w:color w:val="000000"/>
          <w:sz w:val="24"/>
        </w:rPr>
        <w:t xml:space="preserve">第一，推动政府数据开放评估范式从”供给导向”向”效果导向”转型。</w:t>
      </w:r>
    </w:p>
    <w:p>
      <w:pPr>
        <w:pStyle w:val="BodyText"/>
        <w:spacing w:line="360" w:lineRule="auto"/>
      </w:pPr>
      <w:r>
        <w:rPr>
          <w:rFonts w:hint="eastAsia" w:ascii="宋体" w:hAnsi="宋体" w:eastAsia="宋体"/>
          <w:color w:val="000000"/>
          <w:sz w:val="24"/>
        </w:rPr>
        <w:t xml:space="preserve">现有评估体系主要衡量数据开放的数量、格式和可读性等供给侧指标，对数据是否被有效利用关注不足。本研究基于4E绩效评估框架（供给保障-平台服务-数据质量-利用效果），构建涵盖”供给-平台-质量-效果”的全链条评估体系，将绩效的界定从”开放了多少”拓展为”被利用了多少”，从”过程指标”转向”结果指标”，从”供给能力评估”转向”价值实现评估”。这一范式转变的理论贡献在于：它回应了公共价值理论对绩效本质的追问——公共资源的绩效不应仅以”是否可获取”为标准，更应以”是否产生了实际社会价值”为评判依据。Mark</w:t>
      </w:r>
      <w:r>
        <w:rPr>
          <w:rFonts w:ascii="宋体" w:hAnsi="宋体" w:eastAsia="宋体"/>
          <w:color w:val="000000"/>
          <w:sz w:val="24"/>
        </w:rPr>
        <w:t xml:space="preserve"> </w:t>
      </w:r>
      <w:r>
        <w:rPr>
          <w:rFonts w:hint="eastAsia" w:ascii="宋体" w:hAnsi="宋体" w:eastAsia="宋体"/>
          <w:color w:val="000000"/>
          <w:sz w:val="24"/>
        </w:rPr>
        <w:t xml:space="preserve">Moore[5]提出的”公共价值三角”框架将公共价值创造分解为”战略-授权-能力”三个维度，本研究将这一框架应用于数据开放领域：数据供给保障对应”授权”维度（公共资源的投入），平台服务和数据质量对应”能力”维度（价值转化的条件），利用效果对应”战略”维度（公共价值的实现）。这一理论映射为效果导向评估提供了坚实的理论基础。</w:t>
      </w:r>
    </w:p>
    <w:p>
      <w:pPr>
        <w:pStyle w:val="BodyText"/>
        <w:spacing w:line="360" w:lineRule="auto"/>
      </w:pPr>
      <w:r>
        <w:rPr>
          <w:rFonts w:hint="eastAsia" w:ascii="宋体" w:hAnsi="宋体" w:eastAsia="宋体"/>
          <w:b/>
          <w:bCs/>
          <w:color w:val="000000"/>
          <w:sz w:val="24"/>
        </w:rPr>
        <w:t xml:space="preserve">第二，揭示政府数据利用绩效形成的多重并发因果机制。</w:t>
      </w:r>
    </w:p>
    <w:p>
      <w:pPr>
        <w:pStyle w:val="BodyText"/>
        <w:spacing w:line="360" w:lineRule="auto"/>
      </w:pPr>
      <w:r>
        <w:rPr>
          <w:rFonts w:hint="eastAsia" w:ascii="宋体" w:hAnsi="宋体" w:eastAsia="宋体"/>
          <w:color w:val="000000"/>
          <w:sz w:val="24"/>
        </w:rPr>
        <w:t xml:space="preserve">传统回归分析假设因素间独立作用且效应线性可加，但政府数据利用绩效的形成是一个复杂的系统工程，因素间存在交互作用、替代关系和非线性组合效应。本研究引入fsQCA（模糊集定性比较分析）方法，基于集合论和布尔代数揭示高绩效的多重等效路径。fsQCA的核心逻辑包含三个原则：等价性原则（equifinality）——同一结果可以由不同的条件组合产生；非对称性原则（asymmetry）——导致高绩效的条件组合与导致低绩效的条件组合不是简单的镜像关系；条件依赖性（causal</w:t>
      </w:r>
      <w:r>
        <w:rPr>
          <w:rFonts w:ascii="宋体" w:hAnsi="宋体" w:eastAsia="宋体"/>
          <w:color w:val="000000"/>
          <w:sz w:val="24"/>
        </w:rPr>
        <w:t xml:space="preserve"> </w:t>
      </w:r>
      <w:r>
        <w:rPr>
          <w:rFonts w:hint="eastAsia" w:ascii="宋体" w:hAnsi="宋体" w:eastAsia="宋体"/>
          <w:color w:val="000000"/>
          <w:sz w:val="24"/>
        </w:rPr>
        <w:t xml:space="preserve">complexity）——同一条件在不同组合中可能发挥相反作用。这一方法论转向对于公共管理领域”多因一果”现象的理解具有普遍性启示意义——政策效果的产生往往不是单一因素独立作用的结果，而是多种因素在特定条件下的组合效应。</w:t>
      </w:r>
    </w:p>
    <w:p>
      <w:pPr>
        <w:pStyle w:val="BodyText"/>
        <w:spacing w:line="360" w:lineRule="auto"/>
      </w:pPr>
      <w:r>
        <w:rPr>
          <w:rFonts w:hint="eastAsia" w:ascii="宋体" w:hAnsi="宋体" w:eastAsia="宋体"/>
          <w:color w:val="000000"/>
          <w:sz w:val="24"/>
        </w:rPr>
        <w:t xml:space="preserve">fsQCA分析揭示了实现高绩效的三条等效路径。图6-3展示了高绩效组态的覆盖度和一致性指标。</w:t>
      </w:r>
    </w:p>
    <w:p>
      <w:pPr>
        <w:pStyle w:val="CaptionedFigure"/>
        <w:spacing w:line="360" w:lineRule="auto"/>
      </w:pPr>
      <w:r>
        <w:rPr>
          <w:rFonts w:ascii="宋体" w:hAnsi="宋体" w:eastAsia="宋体"/>
          <w:color w:val="000000"/>
          <w:sz w:val="24"/>
        </w:rPr>
        <w:drawing>
          <wp:inline>
            <wp:extent cx="5334000" cy="2862936"/>
            <wp:effectExtent b="0" l="0" r="0" t="0"/>
            <wp:docPr descr="图6-3 fsQCA高绩效组态路径" title="" id="41" name="Picture"/>
            <a:graphic>
              <a:graphicData uri="http://schemas.openxmlformats.org/drawingml/2006/picture">
                <pic:pic>
                  <pic:nvPicPr>
                    <pic:cNvPr descr="static/thesis_06_fsqca.png" id="42" name="Picture"/>
                    <pic:cNvPicPr>
                      <a:picLocks noChangeArrowheads="1" noChangeAspect="1"/>
                    </pic:cNvPicPr>
                  </pic:nvPicPr>
                  <pic:blipFill>
                    <a:blip r:embed="rId40"/>
                    <a:stretch>
                      <a:fillRect/>
                    </a:stretch>
                  </pic:blipFill>
                  <pic:spPr bwMode="auto">
                    <a:xfrm>
                      <a:off x="0" y="0"/>
                      <a:ext cx="5334000" cy="2862936"/>
                    </a:xfrm>
                    <a:prstGeom prst="rect">
                      <a:avLst/>
                    </a:prstGeom>
                    <a:noFill/>
                    <a:ln w="9525">
                      <a:noFill/>
                      <a:headEnd/>
                      <a:tailEnd/>
                    </a:ln>
                  </pic:spPr>
                </pic:pic>
              </a:graphicData>
            </a:graphic>
          </wp:inline>
        </w:drawing>
      </w:r>
    </w:p>
    <w:p>
      <w:pPr>
        <w:pStyle w:val="ImageCaption"/>
        <w:spacing w:line="360" w:lineRule="auto"/>
      </w:pPr>
      <w:r>
        <w:rPr>
          <w:rFonts w:hint="eastAsia" w:ascii="宋体" w:hAnsi="宋体" w:eastAsia="宋体"/>
          <w:color w:val="000000"/>
          <w:sz w:val="24"/>
        </w:rPr>
        <w:t xml:space="preserve">图6-3</w:t>
      </w:r>
      <w:r>
        <w:rPr>
          <w:rFonts w:ascii="宋体" w:hAnsi="宋体" w:eastAsia="宋体"/>
          <w:color w:val="000000"/>
          <w:sz w:val="24"/>
        </w:rPr>
        <w:t xml:space="preserve"> </w:t>
      </w:r>
      <w:r>
        <w:rPr>
          <w:rFonts w:hint="eastAsia" w:ascii="宋体" w:hAnsi="宋体" w:eastAsia="宋体"/>
          <w:color w:val="000000"/>
          <w:sz w:val="24"/>
        </w:rPr>
        <w:t xml:space="preserve">fsQCA高绩效组态路径</w:t>
      </w:r>
    </w:p>
    <w:p>
      <w:pPr>
        <w:pStyle w:val="BodyText"/>
        <w:spacing w:line="360" w:lineRule="auto"/>
      </w:pPr>
      <w:r>
        <w:rPr>
          <w:rFonts w:hint="eastAsia" w:ascii="宋体" w:hAnsi="宋体" w:eastAsia="宋体"/>
          <w:b/>
          <w:bCs/>
          <w:color w:val="000000"/>
          <w:sz w:val="24"/>
        </w:rPr>
        <w:t xml:space="preserve">图6-3</w:t>
      </w:r>
      <w:r>
        <w:rPr>
          <w:rFonts w:ascii="宋体" w:hAnsi="宋体" w:eastAsia="宋体"/>
          <w:b/>
          <w:bCs/>
          <w:color w:val="000000"/>
          <w:sz w:val="24"/>
        </w:rPr>
        <w:t xml:space="preserve"> </w:t>
      </w:r>
      <w:r>
        <w:rPr>
          <w:rFonts w:hint="eastAsia" w:ascii="宋体" w:hAnsi="宋体" w:eastAsia="宋体"/>
          <w:b/>
          <w:bCs/>
          <w:color w:val="000000"/>
          <w:sz w:val="24"/>
        </w:rPr>
        <w:t xml:space="preserve">fsQCA高绩效组态路径</w:t>
      </w:r>
    </w:p>
    <w:p>
      <w:pPr>
        <w:pStyle w:val="BodyText"/>
        <w:spacing w:line="360" w:lineRule="auto"/>
      </w:pPr>
      <w:r>
        <w:rPr>
          <w:rFonts w:hint="eastAsia" w:ascii="宋体" w:hAnsi="宋体" w:eastAsia="宋体"/>
          <w:i/>
          <w:iCs/>
          <w:color w:val="000000"/>
          <w:sz w:val="24"/>
        </w:rPr>
        <w:t xml:space="preserve">数据来源：fsQCA</w:t>
      </w:r>
      <w:r>
        <w:rPr>
          <w:rFonts w:ascii="宋体" w:hAnsi="宋体" w:eastAsia="宋体"/>
          <w:i/>
          <w:iCs/>
          <w:color w:val="000000"/>
          <w:sz w:val="24"/>
        </w:rPr>
        <w:t xml:space="preserve"> </w:t>
      </w:r>
      <w:r>
        <w:rPr>
          <w:rFonts w:hint="eastAsia" w:ascii="宋体" w:hAnsi="宋体" w:eastAsia="宋体"/>
          <w:i/>
          <w:iCs/>
          <w:color w:val="000000"/>
          <w:sz w:val="24"/>
        </w:rPr>
        <w:t xml:space="preserve">3.0计算结果，2025年</w:t>
      </w:r>
    </w:p>
    <w:p>
      <w:pPr>
        <w:pStyle w:val="BodyText"/>
        <w:spacing w:line="360" w:lineRule="auto"/>
      </w:pPr>
      <w:r>
        <w:rPr>
          <w:rFonts w:hint="eastAsia" w:ascii="宋体" w:hAnsi="宋体" w:eastAsia="宋体"/>
          <w:color w:val="000000"/>
          <w:sz w:val="24"/>
        </w:rPr>
        <w:t xml:space="preserve">图6-3展示了三条高绩效路径的组态特征和实证覆盖度。路径H1（技术驱动型）以数据资源禀赋、数字基础设施和技术支撑能力为核心条件，覆盖了约35%的高绩效案例；路径H2（效率-区域型）以政策法规、区域数字经济和平台运营能力为核心条件，覆盖了约28%的高绩效案例；路径H3（生态协同型）以数据质量保障、用户参与和应用创新为核心条件，覆盖了约22%的高绩效案例。</w:t>
      </w:r>
    </w:p>
    <w:p>
      <w:pPr>
        <w:pStyle w:val="BodyText"/>
        <w:spacing w:line="360" w:lineRule="auto"/>
      </w:pPr>
      <w:r>
        <w:rPr>
          <w:rFonts w:hint="eastAsia" w:ascii="宋体" w:hAnsi="宋体" w:eastAsia="宋体"/>
          <w:b/>
          <w:bCs/>
          <w:color w:val="000000"/>
          <w:sz w:val="24"/>
        </w:rPr>
        <w:t xml:space="preserve">第三，整合数据要素价值化理论与公共部门绩效评估理论，为4E框架在数据开放领域的应用提供理论论证。</w:t>
      </w:r>
    </w:p>
    <w:p>
      <w:pPr>
        <w:pStyle w:val="BodyText"/>
        <w:spacing w:line="360" w:lineRule="auto"/>
      </w:pPr>
      <w:r>
        <w:rPr>
          <w:rFonts w:hint="eastAsia" w:ascii="宋体" w:hAnsi="宋体" w:eastAsia="宋体"/>
          <w:color w:val="000000"/>
          <w:sz w:val="24"/>
        </w:rPr>
        <w:t xml:space="preserve">针对”供给保障和数据质量是绩效维度还是绩效前因”这一方法论质疑，本研究从三个层面进行了系统论证。从公共价值理论视角，绩效的本质是公共资源的价值实现过程，而价值实现包含”投入-转化-产出”的全链条，每一个环节都是绩效的有机组成部分。正如Osborne等指出的，</w:t>
      </w:r>
      <w:r>
        <w:rPr>
          <w:rFonts w:hint="eastAsia" w:ascii="宋体" w:hAnsi="宋体" w:eastAsia="宋体"/>
          <w:color w:val="000000"/>
          <w:sz w:val="24"/>
        </w:rPr>
        <w:t xml:space="preserve">“低效的投入本身就是绩效缺失的表现”</w:t>
      </w:r>
      <w:r>
        <w:rPr>
          <w:rFonts w:hint="eastAsia" w:ascii="宋体" w:hAnsi="宋体" w:eastAsia="宋体"/>
          <w:color w:val="000000"/>
          <w:sz w:val="24"/>
        </w:rPr>
        <w:t xml:space="preserve">——一个数据资源严重匮乏的平台，其”绩效差”不仅是”利用效果差”的结果，更是”供给保障差”的直接表现。从数据要素价值化理论视角，供给保障衡量数据资源化水平，数据质量衡量数据可用性保障，两者是数据从”资源形态”向”价值形态”转化过程中的必要环节，而非外生于绩效的前因变量。从实证证据看，贵州（C1=0.456，Ci=0.437）等案例表明，数据资源匮乏本身就是绩效不佳的直接表现——供给保障维度得分本身就包含了绩效信息。基于上述论证，本研究建立了”评估-归因-组态”的递进分析逻辑：4E评估回答”绩效如何”，DEMATEL归因回答”为何如此”，fsQCA组态回答”如何组合才能高绩效”，三者各司其职，避免了将绩效评估与影响因素分析混淆的理论困境。</w:t>
      </w:r>
    </w:p>
    <w:p>
      <w:pPr>
        <w:pStyle w:val="BodyText"/>
        <w:spacing w:line="360" w:lineRule="auto"/>
      </w:pPr>
      <w:r>
        <w:rPr>
          <w:rFonts w:hint="eastAsia" w:ascii="宋体" w:hAnsi="宋体" w:eastAsia="宋体"/>
          <w:color w:val="000000"/>
          <w:sz w:val="24"/>
        </w:rPr>
        <w:t xml:space="preserve">DEMATEL分析揭示了12个影响因素之间的因果关系网络。图6-1展示了各因素的中心度、原因度和因果分类结果。</w:t>
      </w:r>
    </w:p>
    <w:p>
      <w:pPr>
        <w:pStyle w:val="CaptionedFigure"/>
        <w:spacing w:line="360" w:lineRule="auto"/>
      </w:pPr>
      <w:r>
        <w:rPr>
          <w:rFonts w:ascii="宋体" w:hAnsi="宋体" w:eastAsia="宋体"/>
          <w:color w:val="000000"/>
          <w:sz w:val="24"/>
        </w:rPr>
        <w:drawing>
          <wp:inline>
            <wp:extent cx="5334000" cy="4258567"/>
            <wp:effectExtent b="0" l="0" r="0" t="0"/>
            <wp:docPr descr="图6-1 DEMATEL因素因果关系图" title="" id="44" name="Picture"/>
            <a:graphic>
              <a:graphicData uri="http://schemas.openxmlformats.org/drawingml/2006/picture">
                <pic:pic>
                  <pic:nvPicPr>
                    <pic:cNvPr descr="static/thesis_05_dematel.png" id="45" name="Picture"/>
                    <pic:cNvPicPr>
                      <a:picLocks noChangeArrowheads="1" noChangeAspect="1"/>
                    </pic:cNvPicPr>
                  </pic:nvPicPr>
                  <pic:blipFill>
                    <a:blip r:embed="rId43"/>
                    <a:stretch>
                      <a:fillRect/>
                    </a:stretch>
                  </pic:blipFill>
                  <pic:spPr bwMode="auto">
                    <a:xfrm>
                      <a:off x="0" y="0"/>
                      <a:ext cx="5334000" cy="4258567"/>
                    </a:xfrm>
                    <a:prstGeom prst="rect">
                      <a:avLst/>
                    </a:prstGeom>
                    <a:noFill/>
                    <a:ln w="9525">
                      <a:noFill/>
                      <a:headEnd/>
                      <a:tailEnd/>
                    </a:ln>
                  </pic:spPr>
                </pic:pic>
              </a:graphicData>
            </a:graphic>
          </wp:inline>
        </w:drawing>
      </w:r>
    </w:p>
    <w:p>
      <w:pPr>
        <w:pStyle w:val="ImageCaption"/>
        <w:spacing w:line="360" w:lineRule="auto"/>
      </w:pPr>
      <w:r>
        <w:rPr>
          <w:rFonts w:hint="eastAsia" w:ascii="宋体" w:hAnsi="宋体" w:eastAsia="宋体"/>
          <w:color w:val="000000"/>
          <w:sz w:val="24"/>
        </w:rPr>
        <w:t xml:space="preserve">图6-1</w:t>
      </w:r>
      <w:r>
        <w:rPr>
          <w:rFonts w:ascii="宋体" w:hAnsi="宋体" w:eastAsia="宋体"/>
          <w:color w:val="000000"/>
          <w:sz w:val="24"/>
        </w:rPr>
        <w:t xml:space="preserve"> </w:t>
      </w:r>
      <w:r>
        <w:rPr>
          <w:rFonts w:hint="eastAsia" w:ascii="宋体" w:hAnsi="宋体" w:eastAsia="宋体"/>
          <w:color w:val="000000"/>
          <w:sz w:val="24"/>
        </w:rPr>
        <w:t xml:space="preserve">DEMATEL因素因果关系图</w:t>
      </w:r>
    </w:p>
    <w:p>
      <w:pPr>
        <w:pStyle w:val="BodyText"/>
        <w:spacing w:line="360" w:lineRule="auto"/>
      </w:pPr>
      <w:r>
        <w:rPr>
          <w:rFonts w:hint="eastAsia" w:ascii="宋体" w:hAnsi="宋体" w:eastAsia="宋体"/>
          <w:b/>
          <w:bCs/>
          <w:color w:val="000000"/>
          <w:sz w:val="24"/>
        </w:rPr>
        <w:t xml:space="preserve">图6-1</w:t>
      </w:r>
      <w:r>
        <w:rPr>
          <w:rFonts w:ascii="宋体" w:hAnsi="宋体" w:eastAsia="宋体"/>
          <w:b/>
          <w:bCs/>
          <w:color w:val="000000"/>
          <w:sz w:val="24"/>
        </w:rPr>
        <w:t xml:space="preserve"> </w:t>
      </w:r>
      <w:r>
        <w:rPr>
          <w:rFonts w:hint="eastAsia" w:ascii="宋体" w:hAnsi="宋体" w:eastAsia="宋体"/>
          <w:b/>
          <w:bCs/>
          <w:color w:val="000000"/>
          <w:sz w:val="24"/>
        </w:rPr>
        <w:t xml:space="preserve">DEMATEL因素因果关系图</w:t>
      </w:r>
    </w:p>
    <w:p>
      <w:pPr>
        <w:pStyle w:val="BodyText"/>
        <w:spacing w:line="360" w:lineRule="auto"/>
      </w:pPr>
      <w:r>
        <w:rPr>
          <w:rFonts w:hint="eastAsia" w:ascii="宋体" w:hAnsi="宋体" w:eastAsia="宋体"/>
          <w:i/>
          <w:iCs/>
          <w:color w:val="000000"/>
          <w:sz w:val="24"/>
        </w:rPr>
        <w:t xml:space="preserve">数据来源：DEMATEL计算结果，2025年</w:t>
      </w:r>
    </w:p>
    <w:p>
      <w:pPr>
        <w:pStyle w:val="BodyText"/>
        <w:spacing w:line="360" w:lineRule="auto"/>
      </w:pPr>
      <w:r>
        <w:rPr>
          <w:rFonts w:hint="eastAsia" w:ascii="宋体" w:hAnsi="宋体" w:eastAsia="宋体"/>
          <w:color w:val="000000"/>
          <w:sz w:val="24"/>
        </w:rPr>
        <w:t xml:space="preserve">图6-1的因果关系图将12个因素分为三类：原因因素（原因度&gt;0）包括政策法规、数据资源禀赋、数字基础设施和财政投入；结果因素（原因度&lt;0）包括用户参与、应用创新、数据利用生态和平台运营能力；中间因素（原因度≈0）包括数据质量保障、技术支撑能力和区域数字经济。</w:t>
      </w:r>
    </w:p>
    <w:p>
      <w:pPr>
        <w:pStyle w:val="BodyText"/>
        <w:spacing w:line="360" w:lineRule="auto"/>
      </w:pPr>
      <w:r>
        <w:rPr>
          <w:rFonts w:hint="eastAsia" w:ascii="宋体" w:hAnsi="宋体" w:eastAsia="宋体"/>
          <w:b/>
          <w:bCs/>
          <w:color w:val="000000"/>
          <w:sz w:val="24"/>
        </w:rPr>
        <w:t xml:space="preserve">第四，提出并操作化”数据口径幻觉”概念，丰富数据开放评估的理论话语。</w:t>
      </w:r>
    </w:p>
    <w:p>
      <w:pPr>
        <w:pStyle w:val="BodyText"/>
        <w:spacing w:line="360" w:lineRule="auto"/>
      </w:pPr>
      <w:r>
        <w:rPr>
          <w:rFonts w:hint="eastAsia" w:ascii="宋体" w:hAnsi="宋体" w:eastAsia="宋体"/>
          <w:color w:val="000000"/>
          <w:sz w:val="24"/>
        </w:rPr>
        <w:t xml:space="preserve">“数据口径幻觉”</w:t>
      </w:r>
      <w:r>
        <w:rPr>
          <w:rFonts w:hint="eastAsia" w:ascii="宋体" w:hAnsi="宋体" w:eastAsia="宋体"/>
          <w:color w:val="000000"/>
          <w:sz w:val="24"/>
        </w:rPr>
        <w:t xml:space="preserve">概念的提出不仅是对现有评估实践的经验总结，更是对评估理论的方法论反思。它揭示了指标设计对行为激励的深层影响——当评估指标与真实绩效脱节时，被评估对象的行为策略就会发生扭曲，形成”指标博弈”。这一概念对于公共部门绩效评估具有普遍性的理论意义：在任何以量化指标为基础的评估体系中，都存在着”指标失真”的风险，评估设计者需要不断审视指标与真实绩效之间的对应关系，防止”指标目标化”导致的系统性偏差。</w:t>
      </w:r>
    </w:p>
    <w:bookmarkEnd w:id="46"/>
    <w:bookmarkStart w:id="47" w:name="实践意义"/>
    <w:p>
      <w:pPr>
        <w:pStyle w:val="Heading4"/>
        <w:spacing w:line="360" w:lineRule="auto"/>
      </w:pPr>
      <w:r>
        <w:rPr>
          <w:rFonts w:ascii="宋体" w:hAnsi="宋体" w:eastAsia="宋体"/>
          <w:color w:val="000000"/>
          <w:sz w:val="24"/>
        </w:rPr>
        <w:t xml:space="preserve">1.2.2 </w:t>
      </w:r>
      <w:r>
        <w:rPr>
          <w:rFonts w:hint="eastAsia" w:ascii="宋体" w:hAnsi="宋体" w:eastAsia="宋体"/>
          <w:color w:val="000000"/>
          <w:sz w:val="24"/>
        </w:rPr>
        <w:t xml:space="preserve">实践意义</w:t>
      </w:r>
    </w:p>
    <w:p>
      <w:pPr>
        <w:pStyle w:val="FirstParagraph"/>
        <w:spacing w:line="360" w:lineRule="auto"/>
      </w:pPr>
      <w:r>
        <w:rPr>
          <w:rFonts w:hint="eastAsia" w:ascii="宋体" w:hAnsi="宋体" w:eastAsia="宋体"/>
          <w:b/>
          <w:bCs/>
          <w:color w:val="000000"/>
          <w:sz w:val="24"/>
        </w:rPr>
        <w:t xml:space="preserve">第一，为政府数据开放平台的绩效评估提供科学工具。</w:t>
      </w:r>
    </w:p>
    <w:p>
      <w:pPr>
        <w:pStyle w:val="BodyText"/>
        <w:spacing w:line="360" w:lineRule="auto"/>
      </w:pPr>
      <w:r>
        <w:rPr>
          <w:rFonts w:hint="eastAsia" w:ascii="宋体" w:hAnsi="宋体" w:eastAsia="宋体"/>
          <w:color w:val="000000"/>
          <w:sz w:val="24"/>
        </w:rPr>
        <w:t xml:space="preserve">本研究构建的评估指标体系和AHP-熵权组合赋权方法可直接应用于平台绩效评估实践，为各级政府提供量化的绩效诊断依据。与开放数林指数相比，本评估框架的差异化价值在于：纳入了授权运营成效、API调用深度、数据口径一致性等前瞻性和深度性指标，将”效果导向”的理念转化为可操作的评估工具。评估框架的”效果导向”设计有助于引导平台运营者从”追求开放数量”转向”追求利用效果”，推动数据开放的提质增效——当”利用效果”成为评估的核心维度时，平台运营者的行为激励将从”开放更多数据集”转向”让更多数据被有效利用”。从行为经济学视角看，评估体系是一种”选择架构”（choice</w:t>
      </w:r>
      <w:r>
        <w:rPr>
          <w:rFonts w:ascii="宋体" w:hAnsi="宋体" w:eastAsia="宋体"/>
          <w:color w:val="000000"/>
          <w:sz w:val="24"/>
        </w:rPr>
        <w:t xml:space="preserve"> </w:t>
      </w:r>
      <w:r>
        <w:rPr>
          <w:rFonts w:hint="eastAsia" w:ascii="宋体" w:hAnsi="宋体" w:eastAsia="宋体"/>
          <w:color w:val="000000"/>
          <w:sz w:val="24"/>
        </w:rPr>
        <w:t xml:space="preserve">architecture）——它通过设定评估维度和权重，隐性引导平台运营者的资源分配和行为决策。当评估体系偏重供给侧时，运营者自然选择”数量最大化”策略；当评估体系纳入效果维度时，运营者将被迫关注”数据是否被利用”。因此，评估范式的转变不仅是学术进步，更是对实践行为的系统性引导。</w:t>
      </w:r>
    </w:p>
    <w:p>
      <w:pPr>
        <w:pStyle w:val="BodyText"/>
        <w:spacing w:line="360" w:lineRule="auto"/>
      </w:pPr>
      <w:r>
        <w:rPr>
          <w:rFonts w:hint="eastAsia" w:ascii="宋体" w:hAnsi="宋体" w:eastAsia="宋体"/>
          <w:b/>
          <w:bCs/>
          <w:color w:val="000000"/>
          <w:sz w:val="24"/>
        </w:rPr>
        <w:t xml:space="preserve">第二，为分类施策提供实证依据。</w:t>
      </w:r>
    </w:p>
    <w:p>
      <w:pPr>
        <w:pStyle w:val="BodyText"/>
        <w:spacing w:line="360" w:lineRule="auto"/>
      </w:pPr>
      <w:r>
        <w:rPr>
          <w:rFonts w:hint="eastAsia" w:ascii="宋体" w:hAnsi="宋体" w:eastAsia="宋体"/>
          <w:color w:val="000000"/>
          <w:sz w:val="24"/>
        </w:rPr>
        <w:t xml:space="preserve">fsQCA揭示的高绩效路径对应不同类型平台的优化策略。技术驱动型路径适用于数据基础好的平台，应重点强化平台服务和数据质量管理，进一步提升数据的可利用性和利用效率；效率-区域型路径适用于东部效率优势平台，应发挥区域环境优势、优化资源配置效率，将环境优势转化为绩效优势；生态协同型路径适用于供给-需求协同发展平台，应激活需求侧利用动力，培育数据利用生态。这一”组态-对策”对应矩阵避免了”一刀切”的政策建议，使优化策略更具针对性和可操作性。更重要的是，它为不同资源禀赋和发展阶段的平台提供了差异化的”追赶路径”——中西部平台不必照搬东部平台的全面优化模式，而是可以依据自身条件选择最适合的组态路径。例如，一个数据资源匮乏但数字经济基础尚可的中部平台，可以优先选择”效率-区域型”路径，通过提升数据质量和优化平台服务来弥补供给不足的劣势。</w:t>
      </w:r>
    </w:p>
    <w:p>
      <w:pPr>
        <w:pStyle w:val="BodyText"/>
        <w:spacing w:line="360" w:lineRule="auto"/>
      </w:pPr>
      <w:r>
        <w:rPr>
          <w:rFonts w:hint="eastAsia" w:ascii="宋体" w:hAnsi="宋体" w:eastAsia="宋体"/>
          <w:b/>
          <w:bCs/>
          <w:color w:val="000000"/>
          <w:sz w:val="24"/>
        </w:rPr>
        <w:t xml:space="preserve">第三，为推动信息平权提供路径指引。</w:t>
      </w:r>
    </w:p>
    <w:p>
      <w:pPr>
        <w:pStyle w:val="BodyText"/>
        <w:spacing w:line="360" w:lineRule="auto"/>
      </w:pPr>
      <w:r>
        <w:rPr>
          <w:rFonts w:hint="eastAsia" w:ascii="宋体" w:hAnsi="宋体" w:eastAsia="宋体"/>
          <w:color w:val="000000"/>
          <w:sz w:val="24"/>
        </w:rPr>
        <w:t xml:space="preserve">通过识别低绩效平台的短板维度和优化路径，本研究为缩小区域间数据利用差距、实现数据权利的公平分配提供了可操作的方案。本研究发现中西部平台的绩效短板主要集中于”利用效果”维度，而非”供给保障”维度，这表明中西部平台的问题不是”数据不够多”，而是”数据没人用”——优化策略应从”增加数据开放”转向”培育利用生态”，让数据红利惠及更广泛的社会主体。从Rawls的正义理论视角看，信息平权不仅要求”数据开放”这一形式上的平等，更要求不同主体具备”数据利用”的实质能力。本研究通过量化分析东中西部绩效差距，为区域均衡发展政策的制定提供了实证基础，也为”数据二十条”中”推进公共数据授权运营”</w:t>
      </w:r>
      <w:r>
        <w:rPr>
          <w:rFonts w:hint="eastAsia" w:ascii="宋体" w:hAnsi="宋体" w:eastAsia="宋体"/>
          <w:color w:val="000000"/>
          <w:sz w:val="24"/>
        </w:rPr>
        <w:t xml:space="preserve">“探索数据要素价值释放机制”</w:t>
      </w:r>
      <w:r>
        <w:rPr>
          <w:rFonts w:hint="eastAsia" w:ascii="宋体" w:hAnsi="宋体" w:eastAsia="宋体"/>
          <w:color w:val="000000"/>
          <w:sz w:val="24"/>
        </w:rPr>
        <w:t xml:space="preserve">的制度创新提供了评估工具支撑。</w:t>
      </w:r>
    </w:p>
    <w:p>
      <w:pPr>
        <w:pStyle w:val="BodyText"/>
        <w:spacing w:line="360" w:lineRule="auto"/>
      </w:pPr>
      <w:r>
        <w:rPr>
          <w:rFonts w:hint="eastAsia" w:ascii="宋体" w:hAnsi="宋体" w:eastAsia="宋体"/>
          <w:b/>
          <w:bCs/>
          <w:color w:val="000000"/>
          <w:sz w:val="24"/>
        </w:rPr>
        <w:t xml:space="preserve">第四，为数据治理制度完善提供参考。</w:t>
      </w:r>
    </w:p>
    <w:p>
      <w:pPr>
        <w:pStyle w:val="BodyText"/>
        <w:spacing w:line="360" w:lineRule="auto"/>
      </w:pPr>
      <w:r>
        <w:rPr>
          <w:rFonts w:hint="eastAsia" w:ascii="宋体" w:hAnsi="宋体" w:eastAsia="宋体"/>
          <w:color w:val="000000"/>
          <w:sz w:val="24"/>
        </w:rPr>
        <w:t xml:space="preserve">本研究对”数据口径幻觉”现象的揭示，为数据治理制度的完善提供了问题导向。当大量平台存在”高目录数量、低有效供给”的问题时，单纯依靠平台自律难以解决，需要从制度层面建立数据质量审核机制、目录真实性校验机制和数据更新强制机制。本研究提出的”口径一致性系数”可以作为制度设计的量化参考——例如，可以规定平台的口径一致性系数不得低于某一阈值，否则在评估中予以扣分或降级。这种制度化的纠偏机制，有助于从根本上遏制”数量导向”的行为扭曲，推动政府数据开放从”量的扩张”走向”质的提升”。</w:t>
      </w:r>
    </w:p>
    <w:bookmarkEnd w:id="47"/>
    <w:bookmarkEnd w:id="48"/>
    <w:bookmarkStart w:id="52" w:name="研究内容与方法"/>
    <w:p>
      <w:pPr>
        <w:pStyle w:val="Heading3"/>
        <w:spacing w:line="360" w:lineRule="auto"/>
      </w:pPr>
      <w:r>
        <w:rPr>
          <w:rFonts w:ascii="黑体" w:hAnsi="黑体" w:eastAsia="黑体"/>
          <w:b/>
          <w:color w:val="000000"/>
          <w:sz w:val="24"/>
        </w:rPr>
        <w:t xml:space="preserve">1.3 </w:t>
      </w:r>
      <w:r>
        <w:rPr>
          <w:rFonts w:hint="eastAsia" w:ascii="黑体" w:hAnsi="黑体" w:eastAsia="黑体"/>
          <w:b/>
          <w:color w:val="000000"/>
          <w:sz w:val="24"/>
        </w:rPr>
        <w:t xml:space="preserve">研究内容与方法</w:t>
      </w:r>
    </w:p>
    <w:bookmarkStart w:id="49" w:name="研究内容"/>
    <w:p>
      <w:pPr>
        <w:pStyle w:val="Heading4"/>
        <w:spacing w:line="360" w:lineRule="auto"/>
      </w:pPr>
      <w:r>
        <w:rPr>
          <w:rFonts w:ascii="宋体" w:hAnsi="宋体" w:eastAsia="宋体"/>
          <w:color w:val="000000"/>
          <w:sz w:val="24"/>
        </w:rPr>
        <w:t xml:space="preserve">1.3.1 </w:t>
      </w:r>
      <w:r>
        <w:rPr>
          <w:rFonts w:hint="eastAsia" w:ascii="宋体" w:hAnsi="宋体" w:eastAsia="宋体"/>
          <w:color w:val="000000"/>
          <w:sz w:val="24"/>
        </w:rPr>
        <w:t xml:space="preserve">研究内容</w:t>
      </w:r>
    </w:p>
    <w:p>
      <w:pPr>
        <w:pStyle w:val="FirstParagraph"/>
        <w:spacing w:line="360" w:lineRule="auto"/>
      </w:pPr>
      <w:r>
        <w:rPr>
          <w:rFonts w:hint="eastAsia" w:ascii="宋体" w:hAnsi="宋体" w:eastAsia="宋体"/>
          <w:color w:val="000000"/>
          <w:sz w:val="24"/>
        </w:rPr>
        <w:t xml:space="preserve">本研究围绕”中国省级政府数据开放平台数据利用绩效评估与提升路径”这一核心主题，从”评估→归因→对策”三个层面展开研究，形成递进式的研究内容体系。</w:t>
      </w:r>
    </w:p>
    <w:p>
      <w:pPr>
        <w:pStyle w:val="BodyText"/>
        <w:spacing w:line="360" w:lineRule="auto"/>
      </w:pPr>
      <w:r>
        <w:rPr>
          <w:rFonts w:hint="eastAsia" w:ascii="宋体" w:hAnsi="宋体" w:eastAsia="宋体"/>
          <w:b/>
          <w:bCs/>
          <w:color w:val="000000"/>
          <w:sz w:val="24"/>
        </w:rPr>
        <w:t xml:space="preserve">第一层：绩效评估——数据利用绩效”是什么”。</w:t>
      </w:r>
    </w:p>
    <w:p>
      <w:pPr>
        <w:pStyle w:val="BodyText"/>
        <w:spacing w:line="360" w:lineRule="auto"/>
      </w:pPr>
      <w:r>
        <w:rPr>
          <w:rFonts w:hint="eastAsia" w:ascii="宋体" w:hAnsi="宋体" w:eastAsia="宋体"/>
          <w:color w:val="000000"/>
          <w:sz w:val="24"/>
        </w:rPr>
        <w:t xml:space="preserve">基于4E评估框架（供给保障-平台服务-数据质量-利用效果），构建涵盖39项三级指标的评估体系，采用AHP-熵权组合赋权确定指标权重，运用熵权TOPSIS方法对28个建有独立平台的省级行政区进行绩效评估和排名。同时，运用DEA-BCC方法评估各平台的资源配置效率，识别”高绩效低效率”和”低绩效高效率”的平台类型。此外，将本研究的评估结果与开放数林指数2025进行外部效度检验，验证评估框架的稳健性和可比性。</w:t>
      </w:r>
    </w:p>
    <w:p>
      <w:pPr>
        <w:pStyle w:val="BodyText"/>
        <w:spacing w:line="360" w:lineRule="auto"/>
      </w:pPr>
      <w:r>
        <w:rPr>
          <w:rFonts w:hint="eastAsia" w:ascii="宋体" w:hAnsi="宋体" w:eastAsia="宋体"/>
          <w:b/>
          <w:bCs/>
          <w:color w:val="000000"/>
          <w:sz w:val="24"/>
        </w:rPr>
        <w:t xml:space="preserve">第二层：影响因素分析——绩效差异”为什么”。</w:t>
      </w:r>
    </w:p>
    <w:p>
      <w:pPr>
        <w:pStyle w:val="BodyText"/>
        <w:spacing w:line="360" w:lineRule="auto"/>
      </w:pPr>
      <w:r>
        <w:rPr>
          <w:rFonts w:hint="eastAsia" w:ascii="宋体" w:hAnsi="宋体" w:eastAsia="宋体"/>
          <w:color w:val="000000"/>
          <w:sz w:val="24"/>
        </w:rPr>
        <w:t xml:space="preserve">运用DEMATEL方法分析各影响因素之间的关联关系，识别影响数据利用绩效的传导中枢和关键因素。运用fsQCA方法揭示高绩效和低绩效的多重等效路径，从”线性思维”转向”组态思维”，理解绩效差异的形成机制。将DEMATEL和fsQCA的结果进行交叉验证，提炼核心发现。</w:t>
      </w:r>
    </w:p>
    <w:p>
      <w:pPr>
        <w:pStyle w:val="BodyText"/>
        <w:spacing w:line="360" w:lineRule="auto"/>
      </w:pPr>
      <w:r>
        <w:rPr>
          <w:rFonts w:hint="eastAsia" w:ascii="宋体" w:hAnsi="宋体" w:eastAsia="宋体"/>
          <w:b/>
          <w:bCs/>
          <w:color w:val="000000"/>
          <w:sz w:val="24"/>
        </w:rPr>
        <w:t xml:space="preserve">第三层：对策建议——绩效”如何提升”。</w:t>
      </w:r>
    </w:p>
    <w:p>
      <w:pPr>
        <w:pStyle w:val="BodyText"/>
        <w:spacing w:line="360" w:lineRule="auto"/>
      </w:pPr>
      <w:r>
        <w:rPr>
          <w:rFonts w:hint="eastAsia" w:ascii="宋体" w:hAnsi="宋体" w:eastAsia="宋体"/>
          <w:color w:val="000000"/>
          <w:sz w:val="24"/>
        </w:rPr>
        <w:t xml:space="preserve">基于实证分析结果，识别低绩效平台的共性短板和差异化特征。结合fsQCA揭示的三条高绩效路径，为不同类型平台设计差异化的优化策略。同时，从制度层面提出完善数据治理体系、建立质量保障机制、培育数据利用生态等共性对策。</w:t>
      </w:r>
    </w:p>
    <w:bookmarkEnd w:id="49"/>
    <w:bookmarkStart w:id="50" w:name="研究方法"/>
    <w:p>
      <w:pPr>
        <w:pStyle w:val="Heading4"/>
        <w:spacing w:line="360" w:lineRule="auto"/>
      </w:pPr>
      <w:r>
        <w:rPr>
          <w:rFonts w:ascii="宋体" w:hAnsi="宋体" w:eastAsia="宋体"/>
          <w:color w:val="000000"/>
          <w:sz w:val="24"/>
        </w:rPr>
        <w:t xml:space="preserve">1.3.2 </w:t>
      </w:r>
      <w:r>
        <w:rPr>
          <w:rFonts w:hint="eastAsia" w:ascii="宋体" w:hAnsi="宋体" w:eastAsia="宋体"/>
          <w:color w:val="000000"/>
          <w:sz w:val="24"/>
        </w:rPr>
        <w:t xml:space="preserve">研究方法</w:t>
      </w:r>
    </w:p>
    <w:p>
      <w:pPr>
        <w:pStyle w:val="FirstParagraph"/>
        <w:spacing w:line="360" w:lineRule="auto"/>
      </w:pPr>
      <w:r>
        <w:rPr>
          <w:rFonts w:hint="eastAsia" w:ascii="宋体" w:hAnsi="宋体" w:eastAsia="宋体"/>
          <w:color w:val="000000"/>
          <w:sz w:val="24"/>
        </w:rPr>
        <w:t xml:space="preserve">本研究采用多元方法集成的研究设计，综合运用文献研究、数据采集、定量分析等多种方法，形成多方法三角验证的研究格局。</w:t>
      </w:r>
    </w:p>
    <w:p>
      <w:pPr>
        <w:pStyle w:val="BodyText"/>
        <w:spacing w:line="360" w:lineRule="auto"/>
      </w:pPr>
      <w:r>
        <w:rPr>
          <w:rFonts w:hint="eastAsia" w:ascii="宋体" w:hAnsi="宋体" w:eastAsia="宋体"/>
          <w:b/>
          <w:bCs/>
          <w:color w:val="000000"/>
          <w:sz w:val="24"/>
        </w:rPr>
        <w:t xml:space="preserve">（1）文献研究法</w:t>
      </w:r>
    </w:p>
    <w:p>
      <w:pPr>
        <w:pStyle w:val="BodyText"/>
        <w:spacing w:line="360" w:lineRule="auto"/>
      </w:pPr>
      <w:r>
        <w:rPr>
          <w:rFonts w:hint="eastAsia" w:ascii="宋体" w:hAnsi="宋体" w:eastAsia="宋体"/>
          <w:color w:val="000000"/>
          <w:sz w:val="24"/>
        </w:rPr>
        <w:t xml:space="preserve">系统梳理政府数据开放、绩效评估、数据利用、影响因素等相关领域的国内外文献，明确研究定位，构建理论框架。文献检索范围包括Web</w:t>
      </w:r>
      <w:r>
        <w:rPr>
          <w:rFonts w:ascii="宋体" w:hAnsi="宋体" w:eastAsia="宋体"/>
          <w:color w:val="000000"/>
          <w:sz w:val="24"/>
        </w:rPr>
        <w:t xml:space="preserve"> of </w:t>
      </w:r>
      <w:r>
        <w:rPr>
          <w:rFonts w:hint="eastAsia" w:ascii="宋体" w:hAnsi="宋体" w:eastAsia="宋体"/>
          <w:color w:val="000000"/>
          <w:sz w:val="24"/>
        </w:rPr>
        <w:t xml:space="preserve">Science、Scopus、CNKI、万方等中英文数据库，以及政府官网、国际组织报告等灰色文献。检索时间跨度为2010-2025年，重点关近5年的最新研究成果。</w:t>
      </w:r>
    </w:p>
    <w:p>
      <w:pPr>
        <w:pStyle w:val="BodyText"/>
        <w:spacing w:line="360" w:lineRule="auto"/>
      </w:pPr>
      <w:r>
        <w:rPr>
          <w:rFonts w:hint="eastAsia" w:ascii="宋体" w:hAnsi="宋体" w:eastAsia="宋体"/>
          <w:b/>
          <w:bCs/>
          <w:color w:val="000000"/>
          <w:sz w:val="24"/>
        </w:rPr>
        <w:t xml:space="preserve">（2）网络数据采集法</w:t>
      </w:r>
    </w:p>
    <w:p>
      <w:pPr>
        <w:pStyle w:val="BodyText"/>
        <w:spacing w:line="360" w:lineRule="auto"/>
      </w:pPr>
      <w:r>
        <w:rPr>
          <w:rFonts w:hint="eastAsia" w:ascii="宋体" w:hAnsi="宋体" w:eastAsia="宋体"/>
          <w:color w:val="000000"/>
          <w:sz w:val="24"/>
        </w:rPr>
        <w:t xml:space="preserve">自主开发三层架构数据采集系统，对28个省级政府数据开放平台进行系统性数据采集。采集内容包括：平台基本信息（上线时间、运营主体、技术架构）、数据目录信息（数据集数量、主题分类、更新频率、格式类型）、平台服务信息（API开放度、检索功能、用户引导、开发者支持）、数据质量信息（完整性、准确性、机器可读性、元数据质量）、利用效果信息（下载量、应用数量、用户反馈、授权运营情况）。数据采集采用Playwright模拟浏览器技术，结合反爬措施（User-Agent轮换、请求频率控制、IP代理），确保数据的全面性和准确性。</w:t>
      </w:r>
    </w:p>
    <w:p>
      <w:pPr>
        <w:pStyle w:val="BodyText"/>
        <w:spacing w:line="360" w:lineRule="auto"/>
      </w:pPr>
      <w:r>
        <w:rPr>
          <w:rFonts w:hint="eastAsia" w:ascii="宋体" w:hAnsi="宋体" w:eastAsia="宋体"/>
          <w:b/>
          <w:bCs/>
          <w:color w:val="000000"/>
          <w:sz w:val="24"/>
        </w:rPr>
        <w:t xml:space="preserve">（3）熵权TOPSIS法</w:t>
      </w:r>
    </w:p>
    <w:p>
      <w:pPr>
        <w:pStyle w:val="BodyText"/>
        <w:spacing w:line="360" w:lineRule="auto"/>
      </w:pPr>
      <w:r>
        <w:rPr>
          <w:rFonts w:hint="eastAsia" w:ascii="宋体" w:hAnsi="宋体" w:eastAsia="宋体"/>
          <w:color w:val="000000"/>
          <w:sz w:val="24"/>
        </w:rPr>
        <w:t xml:space="preserve">用于对各平台的数据利用绩效进行综合评估和排序。TOPSIS（Technique</w:t>
      </w:r>
      <w:r>
        <w:rPr>
          <w:rFonts w:ascii="宋体" w:hAnsi="宋体" w:eastAsia="宋体"/>
          <w:color w:val="000000"/>
          <w:sz w:val="24"/>
        </w:rPr>
        <w:t xml:space="preserve"> for Order Preference by Similarity to an Ideal </w:t>
      </w:r>
      <w:r>
        <w:rPr>
          <w:rFonts w:hint="eastAsia" w:ascii="宋体" w:hAnsi="宋体" w:eastAsia="宋体"/>
          <w:color w:val="000000"/>
          <w:sz w:val="24"/>
        </w:rPr>
        <w:t xml:space="preserve">Solution）是一种逼近理想解的排序方法，通过计算各评价对象与正理想解和负理想解的距离来进行排序。本研究采用熵权法客观确定指标权重，避免主观赋权的人为偏差，再与AHP主观权重进行组合，形成主客观结合的赋权方案。</w:t>
      </w:r>
    </w:p>
    <w:p>
      <w:pPr>
        <w:pStyle w:val="BodyText"/>
        <w:spacing w:line="360" w:lineRule="auto"/>
      </w:pPr>
      <w:r>
        <w:rPr>
          <w:rFonts w:hint="eastAsia" w:ascii="宋体" w:hAnsi="宋体" w:eastAsia="宋体"/>
          <w:b/>
          <w:bCs/>
          <w:color w:val="000000"/>
          <w:sz w:val="24"/>
        </w:rPr>
        <w:t xml:space="preserve">（4）DEA-BCC法</w:t>
      </w:r>
    </w:p>
    <w:p>
      <w:pPr>
        <w:pStyle w:val="BodyText"/>
        <w:spacing w:line="360" w:lineRule="auto"/>
      </w:pPr>
      <w:r>
        <w:rPr>
          <w:rFonts w:hint="eastAsia" w:ascii="宋体" w:hAnsi="宋体" w:eastAsia="宋体"/>
          <w:color w:val="000000"/>
          <w:sz w:val="24"/>
        </w:rPr>
        <w:t xml:space="preserve">用于评估各平台的资源配置效率。DEA（Data</w:t>
      </w:r>
      <w:r>
        <w:rPr>
          <w:rFonts w:ascii="宋体" w:hAnsi="宋体" w:eastAsia="宋体"/>
          <w:color w:val="000000"/>
          <w:sz w:val="24"/>
        </w:rPr>
        <w:t xml:space="preserve"> Envelopment </w:t>
      </w:r>
      <w:r>
        <w:rPr>
          <w:rFonts w:hint="eastAsia" w:ascii="宋体" w:hAnsi="宋体" w:eastAsia="宋体"/>
          <w:color w:val="000000"/>
          <w:sz w:val="24"/>
        </w:rPr>
        <w:t xml:space="preserve">Analysis）是一种非参数的效率评价方法，不需要预设生产函数形式，通过线性规划求解各决策单元的相对效率。本研究采用BCC模型（Banker-Charnes-Cooper），可以分解为纯技术效率和规模效率，识别各平台的效率类型和优化方向。</w:t>
      </w:r>
    </w:p>
    <w:p>
      <w:pPr>
        <w:pStyle w:val="BodyText"/>
        <w:spacing w:line="360" w:lineRule="auto"/>
      </w:pPr>
      <w:r>
        <w:rPr>
          <w:rFonts w:hint="eastAsia" w:ascii="宋体" w:hAnsi="宋体" w:eastAsia="宋体"/>
          <w:b/>
          <w:bCs/>
          <w:color w:val="000000"/>
          <w:sz w:val="24"/>
        </w:rPr>
        <w:t xml:space="preserve">（5）fsQCA法</w:t>
      </w:r>
    </w:p>
    <w:p>
      <w:pPr>
        <w:pStyle w:val="BodyText"/>
        <w:spacing w:line="360" w:lineRule="auto"/>
      </w:pPr>
      <w:r>
        <w:rPr>
          <w:rFonts w:hint="eastAsia" w:ascii="宋体" w:hAnsi="宋体" w:eastAsia="宋体"/>
          <w:color w:val="000000"/>
          <w:sz w:val="24"/>
        </w:rPr>
        <w:t xml:space="preserve">用于揭示高绩效的多重等效路径。fsQCA（fuzzy-set</w:t>
      </w:r>
      <w:r>
        <w:rPr>
          <w:rFonts w:ascii="宋体" w:hAnsi="宋体" w:eastAsia="宋体"/>
          <w:color w:val="000000"/>
          <w:sz w:val="24"/>
        </w:rPr>
        <w:t xml:space="preserve"> Qualitative Comparative </w:t>
      </w:r>
      <w:r>
        <w:rPr>
          <w:rFonts w:hint="eastAsia" w:ascii="宋体" w:hAnsi="宋体" w:eastAsia="宋体"/>
          <w:color w:val="000000"/>
          <w:sz w:val="24"/>
        </w:rPr>
        <w:t xml:space="preserve">Analysis）基于模糊集合理论和布尔代数，通过分析条件变量的组合来识别导致结果的充分条件组合。本研究将4E维度和TOE因素作为条件变量，将绩效高低作为结果变量，揭示不同类型平台的高绩效路径。</w:t>
      </w:r>
    </w:p>
    <w:p>
      <w:pPr>
        <w:pStyle w:val="BodyText"/>
        <w:spacing w:line="360" w:lineRule="auto"/>
      </w:pPr>
      <w:r>
        <w:rPr>
          <w:rFonts w:hint="eastAsia" w:ascii="宋体" w:hAnsi="宋体" w:eastAsia="宋体"/>
          <w:b/>
          <w:bCs/>
          <w:color w:val="000000"/>
          <w:sz w:val="24"/>
        </w:rPr>
        <w:t xml:space="preserve">（6）DEMATEL法</w:t>
      </w:r>
    </w:p>
    <w:p>
      <w:pPr>
        <w:pStyle w:val="BodyText"/>
        <w:spacing w:line="360" w:lineRule="auto"/>
      </w:pPr>
      <w:r>
        <w:rPr>
          <w:rFonts w:hint="eastAsia" w:ascii="宋体" w:hAnsi="宋体" w:eastAsia="宋体"/>
          <w:color w:val="000000"/>
          <w:sz w:val="24"/>
        </w:rPr>
        <w:t xml:space="preserve">用于分析影响因素之间的关联关系和因果关系。DEMATEL（Decision-Making</w:t>
      </w:r>
      <w:r>
        <w:rPr>
          <w:rFonts w:ascii="宋体" w:hAnsi="宋体" w:eastAsia="宋体"/>
          <w:color w:val="000000"/>
          <w:sz w:val="24"/>
        </w:rPr>
        <w:t xml:space="preserve"> Trial and Evaluation </w:t>
      </w:r>
      <w:r>
        <w:rPr>
          <w:rFonts w:hint="eastAsia" w:ascii="宋体" w:hAnsi="宋体" w:eastAsia="宋体"/>
          <w:color w:val="000000"/>
          <w:sz w:val="24"/>
        </w:rPr>
        <w:t xml:space="preserve">Laboratory）通过构建直接影响矩阵、计算综合影响矩阵、求解中心度和原因度，识别因素间的因果结构和传导路径。</w:t>
      </w:r>
    </w:p>
    <w:bookmarkEnd w:id="50"/>
    <w:bookmarkStart w:id="51" w:name="技术路线"/>
    <w:p>
      <w:pPr>
        <w:pStyle w:val="Heading4"/>
        <w:spacing w:line="360" w:lineRule="auto"/>
      </w:pPr>
      <w:r>
        <w:rPr>
          <w:rFonts w:ascii="宋体" w:hAnsi="宋体" w:eastAsia="宋体"/>
          <w:color w:val="000000"/>
          <w:sz w:val="24"/>
        </w:rPr>
        <w:t xml:space="preserve">1.3.3 </w:t>
      </w:r>
      <w:r>
        <w:rPr>
          <w:rFonts w:hint="eastAsia" w:ascii="宋体" w:hAnsi="宋体" w:eastAsia="宋体"/>
          <w:color w:val="000000"/>
          <w:sz w:val="24"/>
        </w:rPr>
        <w:t xml:space="preserve">技术路线</w:t>
      </w:r>
    </w:p>
    <w:p>
      <w:pPr>
        <w:pStyle w:val="FirstParagraph"/>
        <w:spacing w:line="360" w:lineRule="auto"/>
      </w:pPr>
      <w:r>
        <w:rPr>
          <w:rFonts w:hint="eastAsia" w:ascii="宋体" w:hAnsi="宋体" w:eastAsia="宋体"/>
          <w:color w:val="000000"/>
          <w:sz w:val="24"/>
        </w:rPr>
        <w:t xml:space="preserve">本研究的技术路线分为五个阶段：</w:t>
      </w:r>
    </w:p>
    <w:p>
      <w:pPr>
        <w:pStyle w:val="BodyText"/>
        <w:spacing w:line="360" w:lineRule="auto"/>
      </w:pPr>
      <w:r>
        <w:rPr>
          <w:rFonts w:hint="eastAsia" w:ascii="宋体" w:hAnsi="宋体" w:eastAsia="宋体"/>
          <w:b/>
          <w:bCs/>
          <w:color w:val="000000"/>
          <w:sz w:val="24"/>
        </w:rPr>
        <w:t xml:space="preserve">第一阶段：问题界定与理论构建。</w:t>
      </w:r>
      <w:r>
        <w:rPr>
          <w:rFonts w:ascii="宋体" w:hAnsi="宋体" w:eastAsia="宋体"/>
          <w:color w:val="000000"/>
          <w:sz w:val="24"/>
        </w:rPr>
        <w:t xml:space="preserve"> </w:t>
      </w:r>
      <w:r>
        <w:rPr>
          <w:rFonts w:hint="eastAsia" w:ascii="宋体" w:hAnsi="宋体" w:eastAsia="宋体"/>
          <w:color w:val="000000"/>
          <w:sz w:val="24"/>
        </w:rPr>
        <w:t xml:space="preserve">通过文献研究和现状调研，明确研究问题，构建4E评估框架和TOE影响因素框架，提出研究假设。</w:t>
      </w:r>
    </w:p>
    <w:p>
      <w:pPr>
        <w:pStyle w:val="BodyText"/>
        <w:spacing w:line="360" w:lineRule="auto"/>
      </w:pPr>
      <w:r>
        <w:rPr>
          <w:rFonts w:hint="eastAsia" w:ascii="宋体" w:hAnsi="宋体" w:eastAsia="宋体"/>
          <w:b/>
          <w:bCs/>
          <w:color w:val="000000"/>
          <w:sz w:val="24"/>
        </w:rPr>
        <w:t xml:space="preserve">第二阶段：指标体系设计与数据采集。</w:t>
      </w:r>
      <w:r>
        <w:rPr>
          <w:rFonts w:ascii="宋体" w:hAnsi="宋体" w:eastAsia="宋体"/>
          <w:color w:val="000000"/>
          <w:sz w:val="24"/>
        </w:rPr>
        <w:t xml:space="preserve"> </w:t>
      </w:r>
      <w:r>
        <w:rPr>
          <w:rFonts w:hint="eastAsia" w:ascii="宋体" w:hAnsi="宋体" w:eastAsia="宋体"/>
          <w:color w:val="000000"/>
          <w:sz w:val="24"/>
        </w:rPr>
        <w:t xml:space="preserve">基于4E框架设计评估指标体系，开发三层架构数据采集系统，对28个省级平台进行系统性数据采集，完成数据清洗和预处理。</w:t>
      </w:r>
    </w:p>
    <w:p>
      <w:pPr>
        <w:pStyle w:val="BodyText"/>
        <w:spacing w:line="360" w:lineRule="auto"/>
      </w:pPr>
      <w:r>
        <w:rPr>
          <w:rFonts w:hint="eastAsia" w:ascii="宋体" w:hAnsi="宋体" w:eastAsia="宋体"/>
          <w:b/>
          <w:bCs/>
          <w:color w:val="000000"/>
          <w:sz w:val="24"/>
        </w:rPr>
        <w:t xml:space="preserve">第三阶段：绩效评估与效率分析。</w:t>
      </w:r>
      <w:r>
        <w:rPr>
          <w:rFonts w:ascii="宋体" w:hAnsi="宋体" w:eastAsia="宋体"/>
          <w:color w:val="000000"/>
          <w:sz w:val="24"/>
        </w:rPr>
        <w:t xml:space="preserve"> </w:t>
      </w:r>
      <w:r>
        <w:rPr>
          <w:rFonts w:hint="eastAsia" w:ascii="宋体" w:hAnsi="宋体" w:eastAsia="宋体"/>
          <w:color w:val="000000"/>
          <w:sz w:val="24"/>
        </w:rPr>
        <w:t xml:space="preserve">运用熵权TOPSIS进行绩效评估和排名，运用DEA-BCC进行效率分析，进行区域差异比较和外部效度检验。</w:t>
      </w:r>
    </w:p>
    <w:p>
      <w:pPr>
        <w:pStyle w:val="BodyText"/>
        <w:spacing w:line="360" w:lineRule="auto"/>
      </w:pPr>
      <w:r>
        <w:rPr>
          <w:rFonts w:hint="eastAsia" w:ascii="宋体" w:hAnsi="宋体" w:eastAsia="宋体"/>
          <w:b/>
          <w:bCs/>
          <w:color w:val="000000"/>
          <w:sz w:val="24"/>
        </w:rPr>
        <w:t xml:space="preserve">第四阶段：影响因素分析与组态识别。</w:t>
      </w:r>
      <w:r>
        <w:rPr>
          <w:rFonts w:ascii="宋体" w:hAnsi="宋体" w:eastAsia="宋体"/>
          <w:color w:val="000000"/>
          <w:sz w:val="24"/>
        </w:rPr>
        <w:t xml:space="preserve"> </w:t>
      </w:r>
      <w:r>
        <w:rPr>
          <w:rFonts w:hint="eastAsia" w:ascii="宋体" w:hAnsi="宋体" w:eastAsia="宋体"/>
          <w:color w:val="000000"/>
          <w:sz w:val="24"/>
        </w:rPr>
        <w:t xml:space="preserve">运用DEMATEL分析因素关联，运用fsQCA识别高绩效路径，进行多方法三角验证。</w:t>
      </w:r>
    </w:p>
    <w:p>
      <w:pPr>
        <w:pStyle w:val="BodyText"/>
        <w:spacing w:line="360" w:lineRule="auto"/>
      </w:pPr>
      <w:r>
        <w:rPr>
          <w:rFonts w:hint="eastAsia" w:ascii="宋体" w:hAnsi="宋体" w:eastAsia="宋体"/>
          <w:b/>
          <w:bCs/>
          <w:color w:val="000000"/>
          <w:sz w:val="24"/>
        </w:rPr>
        <w:t xml:space="preserve">第五阶段：问题诊断与对策提出。</w:t>
      </w:r>
      <w:r>
        <w:rPr>
          <w:rFonts w:ascii="宋体" w:hAnsi="宋体" w:eastAsia="宋体"/>
          <w:color w:val="000000"/>
          <w:sz w:val="24"/>
        </w:rPr>
        <w:t xml:space="preserve"> </w:t>
      </w:r>
      <w:r>
        <w:rPr>
          <w:rFonts w:hint="eastAsia" w:ascii="宋体" w:hAnsi="宋体" w:eastAsia="宋体"/>
          <w:color w:val="000000"/>
          <w:sz w:val="24"/>
        </w:rPr>
        <w:t xml:space="preserve">基于实证结果诊断问题，结合组态路径设计差异化对策，提出政策建议。</w:t>
      </w:r>
    </w:p>
    <w:bookmarkEnd w:id="51"/>
    <w:bookmarkEnd w:id="52"/>
    <w:bookmarkStart w:id="53" w:name="创新点"/>
    <w:p>
      <w:pPr>
        <w:pStyle w:val="Heading3"/>
        <w:spacing w:line="360" w:lineRule="auto"/>
      </w:pPr>
      <w:r>
        <w:rPr>
          <w:rFonts w:ascii="黑体" w:hAnsi="黑体" w:eastAsia="黑体"/>
          <w:b/>
          <w:color w:val="000000"/>
          <w:sz w:val="24"/>
        </w:rPr>
        <w:t xml:space="preserve">1.4 </w:t>
      </w:r>
      <w:r>
        <w:rPr>
          <w:rFonts w:hint="eastAsia" w:ascii="黑体" w:hAnsi="黑体" w:eastAsia="黑体"/>
          <w:b/>
          <w:color w:val="000000"/>
          <w:sz w:val="24"/>
        </w:rPr>
        <w:t xml:space="preserve">创新点</w:t>
      </w:r>
    </w:p>
    <w:p>
      <w:pPr>
        <w:pStyle w:val="FirstParagraph"/>
        <w:spacing w:line="360" w:lineRule="auto"/>
      </w:pPr>
      <w:r>
        <w:rPr>
          <w:rFonts w:hint="eastAsia" w:ascii="宋体" w:hAnsi="宋体" w:eastAsia="宋体"/>
          <w:color w:val="000000"/>
          <w:sz w:val="24"/>
        </w:rPr>
        <w:t xml:space="preserve">本研究的创新点主要体现在以下四个方面：</w:t>
      </w:r>
    </w:p>
    <w:p>
      <w:pPr>
        <w:pStyle w:val="BodyText"/>
        <w:spacing w:line="360" w:lineRule="auto"/>
      </w:pPr>
      <w:r>
        <w:rPr>
          <w:rFonts w:hint="eastAsia" w:ascii="宋体" w:hAnsi="宋体" w:eastAsia="宋体"/>
          <w:b/>
          <w:bCs/>
          <w:color w:val="000000"/>
          <w:sz w:val="24"/>
        </w:rPr>
        <w:t xml:space="preserve">创新点一：构建”效果导向”的4E全链条评估框架，推动评估范式转型。</w:t>
      </w:r>
    </w:p>
    <w:p>
      <w:pPr>
        <w:pStyle w:val="BodyText"/>
        <w:spacing w:line="360" w:lineRule="auto"/>
      </w:pPr>
      <w:r>
        <w:rPr>
          <w:rFonts w:hint="eastAsia" w:ascii="宋体" w:hAnsi="宋体" w:eastAsia="宋体"/>
          <w:color w:val="000000"/>
          <w:sz w:val="24"/>
        </w:rPr>
        <w:t xml:space="preserve">现有评估体系（如开放数林指数）以供给侧指标为主，利用层权重偏低（约15%），无法全面反映数据的实际利用效果。本研究将4E框架从公共财政领域迁移到政府数据开放领域，构建了涵盖”供给保障-平台服务-数据质量-利用效果”的全链条评估框架，将”利用效果”从辅助维度提升为核心维度，形成从”供给导向”到”效果导向”的范式转型。这一框架不仅关注”数据是否开放”，更关注”数据是否被利用”</w:t>
      </w:r>
      <w:r>
        <w:rPr>
          <w:rFonts w:hint="eastAsia" w:ascii="宋体" w:hAnsi="宋体" w:eastAsia="宋体"/>
          <w:color w:val="000000"/>
          <w:sz w:val="24"/>
        </w:rPr>
        <w:t xml:space="preserve">“利用产生了多少价值”</w:t>
      </w:r>
      <w:r>
        <w:rPr>
          <w:rFonts w:hint="eastAsia" w:ascii="宋体" w:hAnsi="宋体" w:eastAsia="宋体"/>
          <w:color w:val="000000"/>
          <w:sz w:val="24"/>
        </w:rPr>
        <w:t xml:space="preserve">，为数据开放评估提供了新的理论视角和操作工具。</w:t>
      </w:r>
    </w:p>
    <w:p>
      <w:pPr>
        <w:pStyle w:val="BodyText"/>
        <w:spacing w:line="360" w:lineRule="auto"/>
      </w:pPr>
      <w:r>
        <w:rPr>
          <w:rFonts w:hint="eastAsia" w:ascii="宋体" w:hAnsi="宋体" w:eastAsia="宋体"/>
          <w:b/>
          <w:bCs/>
          <w:color w:val="000000"/>
          <w:sz w:val="24"/>
        </w:rPr>
        <w:t xml:space="preserve">创新点二：提出并操作化”数据口径幻觉”概念，揭示评估指标的行为塑造效应。</w:t>
      </w:r>
    </w:p>
    <w:p>
      <w:pPr>
        <w:pStyle w:val="BodyText"/>
        <w:spacing w:line="360" w:lineRule="auto"/>
      </w:pPr>
      <w:r>
        <w:rPr>
          <w:rFonts w:hint="eastAsia" w:ascii="宋体" w:hAnsi="宋体" w:eastAsia="宋体"/>
          <w:color w:val="000000"/>
          <w:sz w:val="24"/>
        </w:rPr>
        <w:t xml:space="preserve">本研究首次提出”数据口径幻觉”概念，揭示了当评估指标（数据目录数量）与真实绩效（有效数据集数量）脱节时，平台运营者的行为策略会发生系统性扭曲。本研究将”口径一致性系数”（CR=有效数据集数量/数据目录数量）操作化为可测量的纠偏指标，纳入评估体系，为纠正”数量导向”的行为偏差提供了量化工具。这一概念对于公共部门绩效评估具有普遍性的方法论意义——它提醒评估设计者关注指标与真实绩效之间的对应关系，防止”指标目标化”导致的系统性失真。</w:t>
      </w:r>
    </w:p>
    <w:p>
      <w:pPr>
        <w:pStyle w:val="BodyText"/>
        <w:spacing w:line="360" w:lineRule="auto"/>
      </w:pPr>
      <w:r>
        <w:rPr>
          <w:rFonts w:hint="eastAsia" w:ascii="宋体" w:hAnsi="宋体" w:eastAsia="宋体"/>
          <w:b/>
          <w:bCs/>
          <w:color w:val="000000"/>
          <w:sz w:val="24"/>
        </w:rPr>
        <w:t xml:space="preserve">创新点三：采用多方法三角验证，揭示绩效差异的形成机制。</w:t>
      </w:r>
    </w:p>
    <w:p>
      <w:pPr>
        <w:pStyle w:val="BodyText"/>
        <w:spacing w:line="360" w:lineRule="auto"/>
      </w:pPr>
      <w:r>
        <w:rPr>
          <w:rFonts w:hint="eastAsia" w:ascii="宋体" w:hAnsi="宋体" w:eastAsia="宋体"/>
          <w:color w:val="000000"/>
          <w:sz w:val="24"/>
        </w:rPr>
        <w:t xml:space="preserve">本研究综合运用熵权TOPSIS、DEA-BCC、fsQCA、DEMATEL四种方法，从不同角度分析同一问题，形成多方法三角验证。TOPSIS揭示绩效水平（</w:t>
      </w:r>
      <w:r>
        <w:rPr>
          <w:rFonts w:hint="eastAsia" w:ascii="宋体" w:hAnsi="宋体" w:eastAsia="宋体"/>
          <w:color w:val="000000"/>
          <w:sz w:val="24"/>
        </w:rPr>
        <w:t xml:space="preserve">“是什么”</w:t>
      </w:r>
      <w:r>
        <w:rPr>
          <w:rFonts w:hint="eastAsia" w:ascii="宋体" w:hAnsi="宋体" w:eastAsia="宋体"/>
          <w:color w:val="000000"/>
          <w:sz w:val="24"/>
        </w:rPr>
        <w:t xml:space="preserve">），DEA揭示效率高低（</w:t>
      </w:r>
      <w:r>
        <w:rPr>
          <w:rFonts w:hint="eastAsia" w:ascii="宋体" w:hAnsi="宋体" w:eastAsia="宋体"/>
          <w:color w:val="000000"/>
          <w:sz w:val="24"/>
        </w:rPr>
        <w:t xml:space="preserve">“是否高效”</w:t>
      </w:r>
      <w:r>
        <w:rPr>
          <w:rFonts w:hint="eastAsia" w:ascii="宋体" w:hAnsi="宋体" w:eastAsia="宋体"/>
          <w:color w:val="000000"/>
          <w:sz w:val="24"/>
        </w:rPr>
        <w:t xml:space="preserve">），DEMATEL揭示因素关联（</w:t>
      </w:r>
      <w:r>
        <w:rPr>
          <w:rFonts w:hint="eastAsia" w:ascii="宋体" w:hAnsi="宋体" w:eastAsia="宋体"/>
          <w:color w:val="000000"/>
          <w:sz w:val="24"/>
        </w:rPr>
        <w:t xml:space="preserve">“为什么”</w:t>
      </w:r>
      <w:r>
        <w:rPr>
          <w:rFonts w:hint="eastAsia" w:ascii="宋体" w:hAnsi="宋体" w:eastAsia="宋体"/>
          <w:color w:val="000000"/>
          <w:sz w:val="24"/>
        </w:rPr>
        <w:t xml:space="preserve">），fsQCA揭示组态路径（</w:t>
      </w:r>
      <w:r>
        <w:rPr>
          <w:rFonts w:hint="eastAsia" w:ascii="宋体" w:hAnsi="宋体" w:eastAsia="宋体"/>
          <w:color w:val="000000"/>
          <w:sz w:val="24"/>
        </w:rPr>
        <w:t xml:space="preserve">“如何组合”</w:t>
      </w:r>
      <w:r>
        <w:rPr>
          <w:rFonts w:hint="eastAsia" w:ascii="宋体" w:hAnsi="宋体" w:eastAsia="宋体"/>
          <w:color w:val="000000"/>
          <w:sz w:val="24"/>
        </w:rPr>
        <w:t xml:space="preserve">）。四种方法的结果相互印证、相互补充，增强了研究结论的稳健性和可信度。这种多方法集成设计超越了现有研究单一方法的局限，为政府数据开放评估提供了方法论示范。</w:t>
      </w:r>
    </w:p>
    <w:p>
      <w:pPr>
        <w:pStyle w:val="BodyText"/>
        <w:spacing w:line="360" w:lineRule="auto"/>
      </w:pPr>
      <w:r>
        <w:rPr>
          <w:rFonts w:hint="eastAsia" w:ascii="宋体" w:hAnsi="宋体" w:eastAsia="宋体"/>
          <w:b/>
          <w:bCs/>
          <w:color w:val="000000"/>
          <w:sz w:val="24"/>
        </w:rPr>
        <w:t xml:space="preserve">创新点四：基于组态分析的差异化对策设计，超越”一刀切”的政策建议。</w:t>
      </w:r>
    </w:p>
    <w:p>
      <w:pPr>
        <w:pStyle w:val="BodyText"/>
        <w:spacing w:line="360" w:lineRule="auto"/>
      </w:pPr>
      <w:r>
        <w:rPr>
          <w:rFonts w:hint="eastAsia" w:ascii="宋体" w:hAnsi="宋体" w:eastAsia="宋体"/>
          <w:color w:val="000000"/>
          <w:sz w:val="24"/>
        </w:rPr>
        <w:t xml:space="preserve">现有研究多采用”加强数据质量管理”</w:t>
      </w:r>
      <w:r>
        <w:rPr>
          <w:rFonts w:hint="eastAsia" w:ascii="宋体" w:hAnsi="宋体" w:eastAsia="宋体"/>
          <w:color w:val="000000"/>
          <w:sz w:val="24"/>
        </w:rPr>
        <w:t xml:space="preserve">“完善法规政策”</w:t>
      </w:r>
      <w:r>
        <w:rPr>
          <w:rFonts w:hint="eastAsia" w:ascii="宋体" w:hAnsi="宋体" w:eastAsia="宋体"/>
          <w:color w:val="000000"/>
          <w:sz w:val="24"/>
        </w:rPr>
        <w:t xml:space="preserve">等宏观建议，缺乏针对不同类型平台的差异化策略。本研究基于fsQCA识别的三条高绩效路径，设计了”技术驱动型”</w:t>
      </w:r>
      <w:r>
        <w:rPr>
          <w:rFonts w:hint="eastAsia" w:ascii="宋体" w:hAnsi="宋体" w:eastAsia="宋体"/>
          <w:color w:val="000000"/>
          <w:sz w:val="24"/>
        </w:rPr>
        <w:t xml:space="preserve">“效率-区域型”</w:t>
      </w:r>
      <w:r>
        <w:rPr>
          <w:rFonts w:hint="eastAsia" w:ascii="宋体" w:hAnsi="宋体" w:eastAsia="宋体"/>
          <w:color w:val="000000"/>
          <w:sz w:val="24"/>
        </w:rPr>
        <w:t xml:space="preserve">“生态协同型”</w:t>
      </w:r>
      <w:r>
        <w:rPr>
          <w:rFonts w:hint="eastAsia" w:ascii="宋体" w:hAnsi="宋体" w:eastAsia="宋体"/>
          <w:color w:val="000000"/>
          <w:sz w:val="24"/>
        </w:rPr>
        <w:t xml:space="preserve">三种差异化优化策略，每种策略对应不同的平台类型和资源禀赋条件。这种”组态-对策”对应关系使政策建议更具针对性和可操作性，为分类施策提供了实证依据。</w:t>
      </w:r>
    </w:p>
    <w:bookmarkEnd w:id="53"/>
    <w:bookmarkStart w:id="57" w:name="论文结构安排"/>
    <w:p>
      <w:pPr>
        <w:pStyle w:val="Heading3"/>
        <w:spacing w:line="360" w:lineRule="auto"/>
      </w:pPr>
      <w:r>
        <w:rPr>
          <w:rFonts w:ascii="黑体" w:hAnsi="黑体" w:eastAsia="黑体"/>
          <w:b/>
          <w:color w:val="000000"/>
          <w:sz w:val="24"/>
        </w:rPr>
        <w:t xml:space="preserve">1.5 </w:t>
      </w:r>
      <w:r>
        <w:rPr>
          <w:rFonts w:hint="eastAsia" w:ascii="黑体" w:hAnsi="黑体" w:eastAsia="黑体"/>
          <w:b/>
          <w:color w:val="000000"/>
          <w:sz w:val="24"/>
        </w:rPr>
        <w:t xml:space="preserve">论文结构安排</w:t>
      </w:r>
    </w:p>
    <w:p>
      <w:pPr>
        <w:pStyle w:val="FirstParagraph"/>
        <w:spacing w:line="360" w:lineRule="auto"/>
      </w:pPr>
      <w:r>
        <w:rPr>
          <w:rFonts w:hint="eastAsia" w:ascii="宋体" w:hAnsi="宋体" w:eastAsia="宋体"/>
          <w:color w:val="000000"/>
          <w:sz w:val="24"/>
        </w:rPr>
        <w:t xml:space="preserve">本论文共分为八章，各章内容安排如下：</w:t>
      </w:r>
    </w:p>
    <w:p>
      <w:pPr>
        <w:pStyle w:val="BodyText"/>
        <w:spacing w:line="360" w:lineRule="auto"/>
      </w:pPr>
      <w:r>
        <w:rPr>
          <w:rFonts w:hint="eastAsia" w:ascii="宋体" w:hAnsi="宋体" w:eastAsia="宋体"/>
          <w:b/>
          <w:bCs/>
          <w:color w:val="000000"/>
          <w:sz w:val="24"/>
        </w:rPr>
        <w:t xml:space="preserve">第一章</w:t>
      </w:r>
      <w:r>
        <w:rPr>
          <w:rFonts w:ascii="宋体" w:hAnsi="宋体" w:eastAsia="宋体"/>
          <w:b/>
          <w:bCs/>
          <w:color w:val="000000"/>
          <w:sz w:val="24"/>
        </w:rPr>
        <w:t xml:space="preserve"> </w:t>
      </w:r>
      <w:r>
        <w:rPr>
          <w:rFonts w:hint="eastAsia" w:ascii="宋体" w:hAnsi="宋体" w:eastAsia="宋体"/>
          <w:b/>
          <w:bCs/>
          <w:color w:val="000000"/>
          <w:sz w:val="24"/>
        </w:rPr>
        <w:t xml:space="preserve">绪论。</w:t>
      </w:r>
      <w:r>
        <w:rPr>
          <w:rFonts w:ascii="宋体" w:hAnsi="宋体" w:eastAsia="宋体"/>
          <w:color w:val="000000"/>
          <w:sz w:val="24"/>
        </w:rPr>
        <w:t xml:space="preserve"> </w:t>
      </w:r>
      <w:r>
        <w:rPr>
          <w:rFonts w:hint="eastAsia" w:ascii="宋体" w:hAnsi="宋体" w:eastAsia="宋体"/>
          <w:color w:val="000000"/>
          <w:sz w:val="24"/>
        </w:rPr>
        <w:t xml:space="preserve">阐述研究背景与问题提出，分析全球政府数据开放态势、我国平台建设成就与利用困境，提出”数据口径幻觉”概念，明确三个核心研究问题。论述研究的理论意义和实践意义，介绍研究内容、方法和技术路线，提炼四个创新点。</w:t>
      </w:r>
    </w:p>
    <w:p>
      <w:pPr>
        <w:pStyle w:val="BodyText"/>
        <w:spacing w:line="360" w:lineRule="auto"/>
      </w:pPr>
      <w:r>
        <w:rPr>
          <w:rFonts w:hint="eastAsia" w:ascii="宋体" w:hAnsi="宋体" w:eastAsia="宋体"/>
          <w:b/>
          <w:bCs/>
          <w:color w:val="000000"/>
          <w:sz w:val="24"/>
        </w:rPr>
        <w:t xml:space="preserve">第二章</w:t>
      </w:r>
      <w:r>
        <w:rPr>
          <w:rFonts w:ascii="宋体" w:hAnsi="宋体" w:eastAsia="宋体"/>
          <w:b/>
          <w:bCs/>
          <w:color w:val="000000"/>
          <w:sz w:val="24"/>
        </w:rPr>
        <w:t xml:space="preserve"> </w:t>
      </w:r>
      <w:r>
        <w:rPr>
          <w:rFonts w:hint="eastAsia" w:ascii="宋体" w:hAnsi="宋体" w:eastAsia="宋体"/>
          <w:b/>
          <w:bCs/>
          <w:color w:val="000000"/>
          <w:sz w:val="24"/>
        </w:rPr>
        <w:t xml:space="preserve">文献综述。</w:t>
      </w:r>
      <w:r>
        <w:rPr>
          <w:rFonts w:ascii="宋体" w:hAnsi="宋体" w:eastAsia="宋体"/>
          <w:color w:val="000000"/>
          <w:sz w:val="24"/>
        </w:rPr>
        <w:t xml:space="preserve"> </w:t>
      </w:r>
      <w:r>
        <w:rPr>
          <w:rFonts w:hint="eastAsia" w:ascii="宋体" w:hAnsi="宋体" w:eastAsia="宋体"/>
          <w:color w:val="000000"/>
          <w:sz w:val="24"/>
        </w:rPr>
        <w:t xml:space="preserve">系统梳理政府数据开放的概念界定与演进、评估研究、数据利用绩效研究、影响因素研究等领域的国内外文献，总结现有研究的贡献与不足，明确本研究的定位与创新空间。</w:t>
      </w:r>
    </w:p>
    <w:p>
      <w:pPr>
        <w:pStyle w:val="BodyText"/>
        <w:spacing w:line="360" w:lineRule="auto"/>
      </w:pPr>
      <w:r>
        <w:rPr>
          <w:rFonts w:hint="eastAsia" w:ascii="宋体" w:hAnsi="宋体" w:eastAsia="宋体"/>
          <w:b/>
          <w:bCs/>
          <w:color w:val="000000"/>
          <w:sz w:val="24"/>
        </w:rPr>
        <w:t xml:space="preserve">第三章</w:t>
      </w:r>
      <w:r>
        <w:rPr>
          <w:rFonts w:ascii="宋体" w:hAnsi="宋体" w:eastAsia="宋体"/>
          <w:b/>
          <w:bCs/>
          <w:color w:val="000000"/>
          <w:sz w:val="24"/>
        </w:rPr>
        <w:t xml:space="preserve"> </w:t>
      </w:r>
      <w:r>
        <w:rPr>
          <w:rFonts w:hint="eastAsia" w:ascii="宋体" w:hAnsi="宋体" w:eastAsia="宋体"/>
          <w:b/>
          <w:bCs/>
          <w:color w:val="000000"/>
          <w:sz w:val="24"/>
        </w:rPr>
        <w:t xml:space="preserve">理论基础与分析框架。</w:t>
      </w:r>
      <w:r>
        <w:rPr>
          <w:rFonts w:ascii="宋体" w:hAnsi="宋体" w:eastAsia="宋体"/>
          <w:color w:val="000000"/>
          <w:sz w:val="24"/>
        </w:rPr>
        <w:t xml:space="preserve"> </w:t>
      </w:r>
      <w:r>
        <w:rPr>
          <w:rFonts w:hint="eastAsia" w:ascii="宋体" w:hAnsi="宋体" w:eastAsia="宋体"/>
          <w:color w:val="000000"/>
          <w:sz w:val="24"/>
        </w:rPr>
        <w:t xml:space="preserve">阐述公共价值理论、数据要素价值化理论、4E评估框架、TOE影响因素框架的理论内涵，构建”评估-归因-组态”整合分析模型，提出研究假设。</w:t>
      </w:r>
    </w:p>
    <w:p>
      <w:pPr>
        <w:pStyle w:val="BodyText"/>
        <w:spacing w:line="360" w:lineRule="auto"/>
      </w:pPr>
      <w:r>
        <w:rPr>
          <w:rFonts w:hint="eastAsia" w:ascii="宋体" w:hAnsi="宋体" w:eastAsia="宋体"/>
          <w:b/>
          <w:bCs/>
          <w:color w:val="000000"/>
          <w:sz w:val="24"/>
        </w:rPr>
        <w:t xml:space="preserve">第四章</w:t>
      </w:r>
      <w:r>
        <w:rPr>
          <w:rFonts w:ascii="宋体" w:hAnsi="宋体" w:eastAsia="宋体"/>
          <w:b/>
          <w:bCs/>
          <w:color w:val="000000"/>
          <w:sz w:val="24"/>
        </w:rPr>
        <w:t xml:space="preserve"> </w:t>
      </w:r>
      <w:r>
        <w:rPr>
          <w:rFonts w:hint="eastAsia" w:ascii="宋体" w:hAnsi="宋体" w:eastAsia="宋体"/>
          <w:b/>
          <w:bCs/>
          <w:color w:val="000000"/>
          <w:sz w:val="24"/>
        </w:rPr>
        <w:t xml:space="preserve">研究设计与数据来源。</w:t>
      </w:r>
      <w:r>
        <w:rPr>
          <w:rFonts w:ascii="宋体" w:hAnsi="宋体" w:eastAsia="宋体"/>
          <w:color w:val="000000"/>
          <w:sz w:val="24"/>
        </w:rPr>
        <w:t xml:space="preserve"> </w:t>
      </w:r>
      <w:r>
        <w:rPr>
          <w:rFonts w:hint="eastAsia" w:ascii="宋体" w:hAnsi="宋体" w:eastAsia="宋体"/>
          <w:color w:val="000000"/>
          <w:sz w:val="24"/>
        </w:rPr>
        <w:t xml:space="preserve">介绍研究对象与样本选择（28个省级平台），详细说明评估指标体系的构建过程、AHP-熵权组合赋权方法、三层架构数据采集系统的技术实现、数据质量控制措施和研究方法的具体操作步骤。</w:t>
      </w:r>
    </w:p>
    <w:p>
      <w:pPr>
        <w:pStyle w:val="BodyText"/>
        <w:spacing w:line="360" w:lineRule="auto"/>
      </w:pPr>
      <w:r>
        <w:rPr>
          <w:rFonts w:hint="eastAsia" w:ascii="宋体" w:hAnsi="宋体" w:eastAsia="宋体"/>
          <w:b/>
          <w:bCs/>
          <w:color w:val="000000"/>
          <w:sz w:val="24"/>
        </w:rPr>
        <w:t xml:space="preserve">第五章</w:t>
      </w:r>
      <w:r>
        <w:rPr>
          <w:rFonts w:ascii="宋体" w:hAnsi="宋体" w:eastAsia="宋体"/>
          <w:b/>
          <w:bCs/>
          <w:color w:val="000000"/>
          <w:sz w:val="24"/>
        </w:rPr>
        <w:t xml:space="preserve"> </w:t>
      </w:r>
      <w:r>
        <w:rPr>
          <w:rFonts w:hint="eastAsia" w:ascii="宋体" w:hAnsi="宋体" w:eastAsia="宋体"/>
          <w:b/>
          <w:bCs/>
          <w:color w:val="000000"/>
          <w:sz w:val="24"/>
        </w:rPr>
        <w:t xml:space="preserve">绩效评估结果分析。</w:t>
      </w:r>
      <w:r>
        <w:rPr>
          <w:rFonts w:ascii="宋体" w:hAnsi="宋体" w:eastAsia="宋体"/>
          <w:color w:val="000000"/>
          <w:sz w:val="24"/>
        </w:rPr>
        <w:t xml:space="preserve"> </w:t>
      </w:r>
      <w:r>
        <w:rPr>
          <w:rFonts w:hint="eastAsia" w:ascii="宋体" w:hAnsi="宋体" w:eastAsia="宋体"/>
          <w:color w:val="000000"/>
          <w:sz w:val="24"/>
        </w:rPr>
        <w:t xml:space="preserve">呈现28个平台的绩效评估结果（TOPSIS综合排名、维度分解）、效率分析结果（DEA效率值、效率分解）、区域差异分析（东中西部比较、</w:t>
      </w:r>
      <w:r>
        <w:rPr>
          <w:rFonts w:hint="eastAsia" w:ascii="宋体" w:hAnsi="宋体" w:eastAsia="宋体"/>
          <w:color w:val="000000"/>
          <w:sz w:val="24"/>
        </w:rPr>
        <w:t xml:space="preserve">“浙江模式”</w:t>
      </w:r>
      <w:r>
        <w:rPr>
          <w:rFonts w:hint="eastAsia" w:ascii="宋体" w:hAnsi="宋体" w:eastAsia="宋体"/>
          <w:color w:val="000000"/>
          <w:sz w:val="24"/>
        </w:rPr>
        <w:t xml:space="preserve">与”山东模式”类型学），以及与开放数林指数的外部效度检验。</w:t>
      </w:r>
    </w:p>
    <w:p>
      <w:pPr>
        <w:pStyle w:val="BodyText"/>
        <w:spacing w:line="360" w:lineRule="auto"/>
      </w:pPr>
      <w:r>
        <w:rPr>
          <w:rFonts w:hint="eastAsia" w:ascii="宋体" w:hAnsi="宋体" w:eastAsia="宋体"/>
          <w:color w:val="000000"/>
          <w:sz w:val="24"/>
        </w:rPr>
        <w:t xml:space="preserve">表5-1展示了28个省级平台的TOPSIS综合绩效得分和排名。</w:t>
      </w:r>
    </w:p>
    <w:p>
      <w:pPr>
        <w:pStyle w:val="BodyText"/>
        <w:spacing w:line="360" w:lineRule="auto"/>
      </w:pPr>
      <w:r>
        <w:rPr>
          <w:rFonts w:hint="eastAsia" w:ascii="宋体" w:hAnsi="宋体" w:eastAsia="宋体"/>
          <w:b/>
          <w:bCs/>
          <w:color w:val="000000"/>
          <w:sz w:val="24"/>
        </w:rPr>
        <w:t xml:space="preserve">表5-1</w:t>
      </w:r>
      <w:r>
        <w:rPr>
          <w:rFonts w:ascii="宋体" w:hAnsi="宋体" w:eastAsia="宋体"/>
          <w:b/>
          <w:bCs/>
          <w:color w:val="000000"/>
          <w:sz w:val="24"/>
        </w:rPr>
        <w:t xml:space="preserve"> </w:t>
      </w:r>
      <w:r>
        <w:rPr>
          <w:rFonts w:hint="eastAsia" w:ascii="宋体" w:hAnsi="宋体" w:eastAsia="宋体"/>
          <w:b/>
          <w:bCs/>
          <w:color w:val="000000"/>
          <w:sz w:val="24"/>
        </w:rPr>
        <w:t xml:space="preserve">省级平台TOPSIS综合绩效得分与排名</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hint="eastAsia"/>
              </w:rPr>
              <w:t xml:space="preserve">排名</w:t>
            </w:r>
          </w:p>
        </w:tc>
        <w:tc>
          <w:tcPr/>
          <w:p>
            <w:pPr>
              <w:pStyle w:val="Compact"/>
              <w:jc w:val="center"/>
            </w:pPr>
            <w:r>
              <w:rPr>
                <w:rFonts w:hint="eastAsia"/>
              </w:rPr>
              <w:t xml:space="preserve">省份</w:t>
            </w:r>
          </w:p>
        </w:tc>
        <w:tc>
          <w:tcPr/>
          <w:p>
            <w:pPr>
              <w:pStyle w:val="Compact"/>
              <w:jc w:val="center"/>
            </w:pPr>
            <w:r>
              <w:rPr>
                <w:rFonts w:hint="eastAsia"/>
              </w:rPr>
              <w:t xml:space="preserve">综合绩效得分(C*)</w:t>
            </w:r>
          </w:p>
        </w:tc>
        <w:tc>
          <w:tcPr/>
          <w:p>
            <w:pPr>
              <w:pStyle w:val="Compact"/>
              <w:jc w:val="center"/>
            </w:pPr>
            <w:r>
              <w:rPr>
                <w:rFonts w:hint="eastAsia"/>
              </w:rPr>
              <w:t xml:space="preserve">供给保障(E1)</w:t>
            </w:r>
          </w:p>
        </w:tc>
        <w:tc>
          <w:tcPr/>
          <w:p>
            <w:pPr>
              <w:pStyle w:val="Compact"/>
              <w:jc w:val="center"/>
            </w:pPr>
            <w:r>
              <w:rPr>
                <w:rFonts w:hint="eastAsia"/>
              </w:rPr>
              <w:t xml:space="preserve">平台服务(E2)</w:t>
            </w:r>
          </w:p>
        </w:tc>
        <w:tc>
          <w:tcPr/>
          <w:p>
            <w:pPr>
              <w:pStyle w:val="Compact"/>
              <w:jc w:val="center"/>
            </w:pPr>
            <w:r>
              <w:rPr>
                <w:rFonts w:hint="eastAsia"/>
              </w:rPr>
              <w:t xml:space="preserve">数据质量(E3)</w:t>
            </w:r>
          </w:p>
        </w:tc>
        <w:tc>
          <w:tcPr/>
          <w:p>
            <w:pPr>
              <w:pStyle w:val="Compact"/>
              <w:jc w:val="center"/>
            </w:pPr>
            <w:r>
              <w:rPr>
                <w:rFonts w:hint="eastAsia"/>
              </w:rPr>
              <w:t xml:space="preserve">利用效果(E4)</w:t>
            </w:r>
          </w:p>
        </w:tc>
        <w:tc>
          <w:tcPr/>
          <w:p>
            <w:pPr>
              <w:pStyle w:val="Compact"/>
              <w:jc w:val="center"/>
            </w:pPr>
            <w:r>
              <w:rPr>
                <w:rFonts w:hint="eastAsia"/>
              </w:rPr>
              <w:t xml:space="preserve">类型</w:t>
            </w:r>
          </w:p>
        </w:tc>
      </w:tr>
      <w:tr>
        <w:tc>
          <w:tcPr/>
          <w:p>
            <w:pPr>
              <w:pStyle w:val="Compact"/>
              <w:jc w:val="center"/>
            </w:pPr>
            <w:r>
              <w:t xml:space="preserve">1</w:t>
            </w:r>
          </w:p>
        </w:tc>
        <w:tc>
          <w:tcPr/>
          <w:p>
            <w:pPr>
              <w:pStyle w:val="Compact"/>
              <w:jc w:val="center"/>
            </w:pPr>
            <w:r>
              <w:rPr>
                <w:rFonts w:hint="eastAsia"/>
              </w:rPr>
              <w:t xml:space="preserve">浙江</w:t>
            </w:r>
          </w:p>
        </w:tc>
        <w:tc>
          <w:tcPr/>
          <w:p>
            <w:pPr>
              <w:pStyle w:val="Compact"/>
              <w:jc w:val="center"/>
            </w:pPr>
            <w:r>
              <w:t xml:space="preserve">0.823</w:t>
            </w:r>
          </w:p>
        </w:tc>
        <w:tc>
          <w:tcPr/>
          <w:p>
            <w:pPr>
              <w:pStyle w:val="Compact"/>
              <w:jc w:val="center"/>
            </w:pPr>
            <w:r>
              <w:t xml:space="preserve">0.856</w:t>
            </w:r>
          </w:p>
        </w:tc>
        <w:tc>
          <w:tcPr/>
          <w:p>
            <w:pPr>
              <w:pStyle w:val="Compact"/>
              <w:jc w:val="center"/>
            </w:pPr>
            <w:r>
              <w:t xml:space="preserve">0.834</w:t>
            </w:r>
          </w:p>
        </w:tc>
        <w:tc>
          <w:tcPr/>
          <w:p>
            <w:pPr>
              <w:pStyle w:val="Compact"/>
              <w:jc w:val="center"/>
            </w:pPr>
            <w:r>
              <w:t xml:space="preserve">0.798</w:t>
            </w:r>
          </w:p>
        </w:tc>
        <w:tc>
          <w:tcPr/>
          <w:p>
            <w:pPr>
              <w:pStyle w:val="Compact"/>
              <w:jc w:val="center"/>
            </w:pPr>
            <w:r>
              <w:t xml:space="preserve">0.804</w:t>
            </w:r>
          </w:p>
        </w:tc>
        <w:tc>
          <w:tcPr/>
          <w:p>
            <w:pPr>
              <w:pStyle w:val="Compact"/>
              <w:jc w:val="center"/>
            </w:pPr>
            <w:r>
              <w:rPr>
                <w:rFonts w:hint="eastAsia"/>
              </w:rPr>
              <w:t xml:space="preserve">标杆型</w:t>
            </w:r>
          </w:p>
        </w:tc>
      </w:tr>
      <w:tr>
        <w:tc>
          <w:tcPr/>
          <w:p>
            <w:pPr>
              <w:pStyle w:val="Compact"/>
              <w:jc w:val="center"/>
            </w:pPr>
            <w:r>
              <w:t xml:space="preserve">2</w:t>
            </w:r>
          </w:p>
        </w:tc>
        <w:tc>
          <w:tcPr/>
          <w:p>
            <w:pPr>
              <w:pStyle w:val="Compact"/>
              <w:jc w:val="center"/>
            </w:pPr>
            <w:r>
              <w:rPr>
                <w:rFonts w:hint="eastAsia"/>
              </w:rPr>
              <w:t xml:space="preserve">广东</w:t>
            </w:r>
          </w:p>
        </w:tc>
        <w:tc>
          <w:tcPr/>
          <w:p>
            <w:pPr>
              <w:pStyle w:val="Compact"/>
              <w:jc w:val="center"/>
            </w:pPr>
            <w:r>
              <w:t xml:space="preserve">0.791</w:t>
            </w:r>
          </w:p>
        </w:tc>
        <w:tc>
          <w:tcPr/>
          <w:p>
            <w:pPr>
              <w:pStyle w:val="Compact"/>
              <w:jc w:val="center"/>
            </w:pPr>
            <w:r>
              <w:t xml:space="preserve">0.812</w:t>
            </w:r>
          </w:p>
        </w:tc>
        <w:tc>
          <w:tcPr/>
          <w:p>
            <w:pPr>
              <w:pStyle w:val="Compact"/>
              <w:jc w:val="center"/>
            </w:pPr>
            <w:r>
              <w:t xml:space="preserve">0.798</w:t>
            </w:r>
          </w:p>
        </w:tc>
        <w:tc>
          <w:tcPr/>
          <w:p>
            <w:pPr>
              <w:pStyle w:val="Compact"/>
              <w:jc w:val="center"/>
            </w:pPr>
            <w:r>
              <w:t xml:space="preserve">0.765</w:t>
            </w:r>
          </w:p>
        </w:tc>
        <w:tc>
          <w:tcPr/>
          <w:p>
            <w:pPr>
              <w:pStyle w:val="Compact"/>
              <w:jc w:val="center"/>
            </w:pPr>
            <w:r>
              <w:t xml:space="preserve">0.789</w:t>
            </w:r>
          </w:p>
        </w:tc>
        <w:tc>
          <w:tcPr/>
          <w:p>
            <w:pPr>
              <w:pStyle w:val="Compact"/>
              <w:jc w:val="center"/>
            </w:pPr>
            <w:r>
              <w:rPr>
                <w:rFonts w:hint="eastAsia"/>
              </w:rPr>
              <w:t xml:space="preserve">标杆型</w:t>
            </w:r>
          </w:p>
        </w:tc>
      </w:tr>
      <w:tr>
        <w:tc>
          <w:tcPr/>
          <w:p>
            <w:pPr>
              <w:pStyle w:val="Compact"/>
              <w:jc w:val="center"/>
            </w:pPr>
            <w:r>
              <w:t xml:space="preserve">3</w:t>
            </w:r>
          </w:p>
        </w:tc>
        <w:tc>
          <w:tcPr/>
          <w:p>
            <w:pPr>
              <w:pStyle w:val="Compact"/>
              <w:jc w:val="center"/>
            </w:pPr>
            <w:r>
              <w:rPr>
                <w:rFonts w:hint="eastAsia"/>
              </w:rPr>
              <w:t xml:space="preserve">上海</w:t>
            </w:r>
          </w:p>
        </w:tc>
        <w:tc>
          <w:tcPr/>
          <w:p>
            <w:pPr>
              <w:pStyle w:val="Compact"/>
              <w:jc w:val="center"/>
            </w:pPr>
            <w:r>
              <w:t xml:space="preserve">0.756</w:t>
            </w:r>
          </w:p>
        </w:tc>
        <w:tc>
          <w:tcPr/>
          <w:p>
            <w:pPr>
              <w:pStyle w:val="Compact"/>
              <w:jc w:val="center"/>
            </w:pPr>
            <w:r>
              <w:t xml:space="preserve">0.789</w:t>
            </w:r>
          </w:p>
        </w:tc>
        <w:tc>
          <w:tcPr/>
          <w:p>
            <w:pPr>
              <w:pStyle w:val="Compact"/>
              <w:jc w:val="center"/>
            </w:pPr>
            <w:r>
              <w:t xml:space="preserve">0.756</w:t>
            </w:r>
          </w:p>
        </w:tc>
        <w:tc>
          <w:tcPr/>
          <w:p>
            <w:pPr>
              <w:pStyle w:val="Compact"/>
              <w:jc w:val="center"/>
            </w:pPr>
            <w:r>
              <w:t xml:space="preserve">0.734</w:t>
            </w:r>
          </w:p>
        </w:tc>
        <w:tc>
          <w:tcPr/>
          <w:p>
            <w:pPr>
              <w:pStyle w:val="Compact"/>
              <w:jc w:val="center"/>
            </w:pPr>
            <w:r>
              <w:t xml:space="preserve">0.745</w:t>
            </w:r>
          </w:p>
        </w:tc>
        <w:tc>
          <w:tcPr/>
          <w:p>
            <w:pPr>
              <w:pStyle w:val="Compact"/>
              <w:jc w:val="center"/>
            </w:pPr>
            <w:r>
              <w:rPr>
                <w:rFonts w:hint="eastAsia"/>
              </w:rPr>
              <w:t xml:space="preserve">标杆型</w:t>
            </w:r>
          </w:p>
        </w:tc>
      </w:tr>
      <w:tr>
        <w:tc>
          <w:tcPr/>
          <w:p>
            <w:pPr>
              <w:pStyle w:val="Compact"/>
              <w:jc w:val="center"/>
            </w:pPr>
            <w:r>
              <w:t xml:space="preserve">4</w:t>
            </w:r>
          </w:p>
        </w:tc>
        <w:tc>
          <w:tcPr/>
          <w:p>
            <w:pPr>
              <w:pStyle w:val="Compact"/>
              <w:jc w:val="center"/>
            </w:pPr>
            <w:r>
              <w:rPr>
                <w:rFonts w:hint="eastAsia"/>
              </w:rPr>
              <w:t xml:space="preserve">北京</w:t>
            </w:r>
          </w:p>
        </w:tc>
        <w:tc>
          <w:tcPr/>
          <w:p>
            <w:pPr>
              <w:pStyle w:val="Compact"/>
              <w:jc w:val="center"/>
            </w:pPr>
            <w:r>
              <w:t xml:space="preserve">0.734</w:t>
            </w:r>
          </w:p>
        </w:tc>
        <w:tc>
          <w:tcPr/>
          <w:p>
            <w:pPr>
              <w:pStyle w:val="Compact"/>
              <w:jc w:val="center"/>
            </w:pPr>
            <w:r>
              <w:t xml:space="preserve">0.765</w:t>
            </w:r>
          </w:p>
        </w:tc>
        <w:tc>
          <w:tcPr/>
          <w:p>
            <w:pPr>
              <w:pStyle w:val="Compact"/>
              <w:jc w:val="center"/>
            </w:pPr>
            <w:r>
              <w:t xml:space="preserve">0.723</w:t>
            </w:r>
          </w:p>
        </w:tc>
        <w:tc>
          <w:tcPr/>
          <w:p>
            <w:pPr>
              <w:pStyle w:val="Compact"/>
              <w:jc w:val="center"/>
            </w:pPr>
            <w:r>
              <w:t xml:space="preserve">0.712</w:t>
            </w:r>
          </w:p>
        </w:tc>
        <w:tc>
          <w:tcPr/>
          <w:p>
            <w:pPr>
              <w:pStyle w:val="Compact"/>
              <w:jc w:val="center"/>
            </w:pPr>
            <w:r>
              <w:t xml:space="preserve">0.736</w:t>
            </w:r>
          </w:p>
        </w:tc>
        <w:tc>
          <w:tcPr/>
          <w:p>
            <w:pPr>
              <w:pStyle w:val="Compact"/>
              <w:jc w:val="center"/>
            </w:pPr>
            <w:r>
              <w:rPr>
                <w:rFonts w:hint="eastAsia"/>
              </w:rPr>
              <w:t xml:space="preserve">标杆型</w:t>
            </w:r>
          </w:p>
        </w:tc>
      </w:tr>
      <w:tr>
        <w:tc>
          <w:tcPr/>
          <w:p>
            <w:pPr>
              <w:pStyle w:val="Compact"/>
              <w:jc w:val="center"/>
            </w:pPr>
            <w:r>
              <w:t xml:space="preserve">5</w:t>
            </w:r>
          </w:p>
        </w:tc>
        <w:tc>
          <w:tcPr/>
          <w:p>
            <w:pPr>
              <w:pStyle w:val="Compact"/>
              <w:jc w:val="center"/>
            </w:pPr>
            <w:r>
              <w:rPr>
                <w:rFonts w:hint="eastAsia"/>
              </w:rPr>
              <w:t xml:space="preserve">山东</w:t>
            </w:r>
          </w:p>
        </w:tc>
        <w:tc>
          <w:tcPr/>
          <w:p>
            <w:pPr>
              <w:pStyle w:val="Compact"/>
              <w:jc w:val="center"/>
            </w:pPr>
            <w:r>
              <w:t xml:space="preserve">0.612</w:t>
            </w:r>
          </w:p>
        </w:tc>
        <w:tc>
          <w:tcPr/>
          <w:p>
            <w:pPr>
              <w:pStyle w:val="Compact"/>
              <w:jc w:val="center"/>
            </w:pPr>
            <w:r>
              <w:t xml:space="preserve">0.698</w:t>
            </w:r>
          </w:p>
        </w:tc>
        <w:tc>
          <w:tcPr/>
          <w:p>
            <w:pPr>
              <w:pStyle w:val="Compact"/>
              <w:jc w:val="center"/>
            </w:pPr>
            <w:r>
              <w:t xml:space="preserve">0.654</w:t>
            </w:r>
          </w:p>
        </w:tc>
        <w:tc>
          <w:tcPr/>
          <w:p>
            <w:pPr>
              <w:pStyle w:val="Compact"/>
              <w:jc w:val="center"/>
            </w:pPr>
            <w:r>
              <w:t xml:space="preserve">0.587</w:t>
            </w:r>
          </w:p>
        </w:tc>
        <w:tc>
          <w:tcPr/>
          <w:p>
            <w:pPr>
              <w:pStyle w:val="Compact"/>
              <w:jc w:val="center"/>
            </w:pPr>
            <w:r>
              <w:t xml:space="preserve">0.523</w:t>
            </w:r>
          </w:p>
        </w:tc>
        <w:tc>
          <w:tcPr/>
          <w:p>
            <w:pPr>
              <w:pStyle w:val="Compact"/>
              <w:jc w:val="center"/>
            </w:pPr>
            <w:r>
              <w:rPr>
                <w:rFonts w:hint="eastAsia"/>
              </w:rPr>
              <w:t xml:space="preserve">潜力型</w:t>
            </w:r>
          </w:p>
        </w:tc>
      </w:tr>
      <w:tr>
        <w:tc>
          <w:tcPr/>
          <w:p>
            <w:pPr>
              <w:pStyle w:val="Compact"/>
              <w:jc w:val="center"/>
            </w:pPr>
            <w:r>
              <w:t xml:space="preserve">6</w:t>
            </w:r>
          </w:p>
        </w:tc>
        <w:tc>
          <w:tcPr/>
          <w:p>
            <w:pPr>
              <w:pStyle w:val="Compact"/>
              <w:jc w:val="center"/>
            </w:pPr>
            <w:r>
              <w:rPr>
                <w:rFonts w:hint="eastAsia"/>
              </w:rPr>
              <w:t xml:space="preserve">江苏</w:t>
            </w:r>
          </w:p>
        </w:tc>
        <w:tc>
          <w:tcPr/>
          <w:p>
            <w:pPr>
              <w:pStyle w:val="Compact"/>
              <w:jc w:val="center"/>
            </w:pPr>
            <w:r>
              <w:t xml:space="preserve">0.598</w:t>
            </w:r>
          </w:p>
        </w:tc>
        <w:tc>
          <w:tcPr/>
          <w:p>
            <w:pPr>
              <w:pStyle w:val="Compact"/>
              <w:jc w:val="center"/>
            </w:pPr>
            <w:r>
              <w:t xml:space="preserve">0.687</w:t>
            </w:r>
          </w:p>
        </w:tc>
        <w:tc>
          <w:tcPr/>
          <w:p>
            <w:pPr>
              <w:pStyle w:val="Compact"/>
              <w:jc w:val="center"/>
            </w:pPr>
            <w:r>
              <w:t xml:space="preserve">0.645</w:t>
            </w:r>
          </w:p>
        </w:tc>
        <w:tc>
          <w:tcPr/>
          <w:p>
            <w:pPr>
              <w:pStyle w:val="Compact"/>
              <w:jc w:val="center"/>
            </w:pPr>
            <w:r>
              <w:t xml:space="preserve">0.576</w:t>
            </w:r>
          </w:p>
        </w:tc>
        <w:tc>
          <w:tcPr/>
          <w:p>
            <w:pPr>
              <w:pStyle w:val="Compact"/>
              <w:jc w:val="center"/>
            </w:pPr>
            <w:r>
              <w:t xml:space="preserve">0.489</w:t>
            </w:r>
          </w:p>
        </w:tc>
        <w:tc>
          <w:tcPr/>
          <w:p>
            <w:pPr>
              <w:pStyle w:val="Compact"/>
              <w:jc w:val="center"/>
            </w:pPr>
            <w:r>
              <w:rPr>
                <w:rFonts w:hint="eastAsia"/>
              </w:rPr>
              <w:t xml:space="preserve">潜力型</w:t>
            </w:r>
          </w:p>
        </w:tc>
      </w:tr>
      <w:tr>
        <w:tc>
          <w:tcPr/>
          <w:p>
            <w:pPr>
              <w:pStyle w:val="Compact"/>
              <w:jc w:val="center"/>
            </w:pPr>
            <w:r>
              <w:t xml:space="preserve">7</w:t>
            </w:r>
          </w:p>
        </w:tc>
        <w:tc>
          <w:tcPr/>
          <w:p>
            <w:pPr>
              <w:pStyle w:val="Compact"/>
              <w:jc w:val="center"/>
            </w:pPr>
            <w:r>
              <w:rPr>
                <w:rFonts w:hint="eastAsia"/>
              </w:rPr>
              <w:t xml:space="preserve">福建</w:t>
            </w:r>
          </w:p>
        </w:tc>
        <w:tc>
          <w:tcPr/>
          <w:p>
            <w:pPr>
              <w:pStyle w:val="Compact"/>
              <w:jc w:val="center"/>
            </w:pPr>
            <w:r>
              <w:t xml:space="preserve">0.587</w:t>
            </w:r>
          </w:p>
        </w:tc>
        <w:tc>
          <w:tcPr/>
          <w:p>
            <w:pPr>
              <w:pStyle w:val="Compact"/>
              <w:jc w:val="center"/>
            </w:pPr>
            <w:r>
              <w:t xml:space="preserve">0.623</w:t>
            </w:r>
          </w:p>
        </w:tc>
        <w:tc>
          <w:tcPr/>
          <w:p>
            <w:pPr>
              <w:pStyle w:val="Compact"/>
              <w:jc w:val="center"/>
            </w:pPr>
            <w:r>
              <w:t xml:space="preserve">0.612</w:t>
            </w:r>
          </w:p>
        </w:tc>
        <w:tc>
          <w:tcPr/>
          <w:p>
            <w:pPr>
              <w:pStyle w:val="Compact"/>
              <w:jc w:val="center"/>
            </w:pPr>
            <w:r>
              <w:t xml:space="preserve">0.589</w:t>
            </w:r>
          </w:p>
        </w:tc>
        <w:tc>
          <w:tcPr/>
          <w:p>
            <w:pPr>
              <w:pStyle w:val="Compact"/>
              <w:jc w:val="center"/>
            </w:pPr>
            <w:r>
              <w:t xml:space="preserve">0.534</w:t>
            </w:r>
          </w:p>
        </w:tc>
        <w:tc>
          <w:tcPr/>
          <w:p>
            <w:pPr>
              <w:pStyle w:val="Compact"/>
              <w:jc w:val="center"/>
            </w:pPr>
            <w:r>
              <w:rPr>
                <w:rFonts w:hint="eastAsia"/>
              </w:rPr>
              <w:t xml:space="preserve">节约型</w:t>
            </w:r>
          </w:p>
        </w:tc>
      </w:tr>
      <w:tr>
        <w:tc>
          <w:tcPr/>
          <w:p>
            <w:pPr>
              <w:pStyle w:val="Compact"/>
              <w:jc w:val="center"/>
            </w:pPr>
            <w:r>
              <w:t xml:space="preserve">8</w:t>
            </w:r>
          </w:p>
        </w:tc>
        <w:tc>
          <w:tcPr/>
          <w:p>
            <w:pPr>
              <w:pStyle w:val="Compact"/>
              <w:jc w:val="center"/>
            </w:pPr>
            <w:r>
              <w:rPr>
                <w:rFonts w:hint="eastAsia"/>
              </w:rPr>
              <w:t xml:space="preserve">四川</w:t>
            </w:r>
          </w:p>
        </w:tc>
        <w:tc>
          <w:tcPr/>
          <w:p>
            <w:pPr>
              <w:pStyle w:val="Compact"/>
              <w:jc w:val="center"/>
            </w:pPr>
            <w:r>
              <w:t xml:space="preserve">0.576</w:t>
            </w:r>
          </w:p>
        </w:tc>
        <w:tc>
          <w:tcPr/>
          <w:p>
            <w:pPr>
              <w:pStyle w:val="Compact"/>
              <w:jc w:val="center"/>
            </w:pPr>
            <w:r>
              <w:t xml:space="preserve">0.612</w:t>
            </w:r>
          </w:p>
        </w:tc>
        <w:tc>
          <w:tcPr/>
          <w:p>
            <w:pPr>
              <w:pStyle w:val="Compact"/>
              <w:jc w:val="center"/>
            </w:pPr>
            <w:r>
              <w:t xml:space="preserve">0.598</w:t>
            </w:r>
          </w:p>
        </w:tc>
        <w:tc>
          <w:tcPr/>
          <w:p>
            <w:pPr>
              <w:pStyle w:val="Compact"/>
              <w:jc w:val="center"/>
            </w:pPr>
            <w:r>
              <w:t xml:space="preserve">0.567</w:t>
            </w:r>
          </w:p>
        </w:tc>
        <w:tc>
          <w:tcPr/>
          <w:p>
            <w:pPr>
              <w:pStyle w:val="Compact"/>
              <w:jc w:val="center"/>
            </w:pPr>
            <w:r>
              <w:t xml:space="preserve">0.523</w:t>
            </w:r>
          </w:p>
        </w:tc>
        <w:tc>
          <w:tcPr/>
          <w:p>
            <w:pPr>
              <w:pStyle w:val="Compact"/>
              <w:jc w:val="center"/>
            </w:pPr>
            <w:r>
              <w:rPr>
                <w:rFonts w:hint="eastAsia"/>
              </w:rPr>
              <w:t xml:space="preserve">节约型</w:t>
            </w:r>
          </w:p>
        </w:tc>
      </w:tr>
      <w:tr>
        <w:tc>
          <w:tcPr/>
          <w:p>
            <w:pPr>
              <w:pStyle w:val="Compact"/>
              <w:jc w:val="center"/>
            </w:pPr>
            <w:r>
              <w:t xml:space="preserve">9</w:t>
            </w:r>
          </w:p>
        </w:tc>
        <w:tc>
          <w:tcPr/>
          <w:p>
            <w:pPr>
              <w:pStyle w:val="Compact"/>
              <w:jc w:val="center"/>
            </w:pPr>
            <w:r>
              <w:rPr>
                <w:rFonts w:hint="eastAsia"/>
              </w:rPr>
              <w:t xml:space="preserve">贵州</w:t>
            </w:r>
          </w:p>
        </w:tc>
        <w:tc>
          <w:tcPr/>
          <w:p>
            <w:pPr>
              <w:pStyle w:val="Compact"/>
              <w:jc w:val="center"/>
            </w:pPr>
            <w:r>
              <w:t xml:space="preserve">0.567</w:t>
            </w:r>
          </w:p>
        </w:tc>
        <w:tc>
          <w:tcPr/>
          <w:p>
            <w:pPr>
              <w:pStyle w:val="Compact"/>
              <w:jc w:val="center"/>
            </w:pPr>
            <w:r>
              <w:t xml:space="preserve">0.534</w:t>
            </w:r>
          </w:p>
        </w:tc>
        <w:tc>
          <w:tcPr/>
          <w:p>
            <w:pPr>
              <w:pStyle w:val="Compact"/>
              <w:jc w:val="center"/>
            </w:pPr>
            <w:r>
              <w:t xml:space="preserve">0.589</w:t>
            </w:r>
          </w:p>
        </w:tc>
        <w:tc>
          <w:tcPr/>
          <w:p>
            <w:pPr>
              <w:pStyle w:val="Compact"/>
              <w:jc w:val="center"/>
            </w:pPr>
            <w:r>
              <w:t xml:space="preserve">0.556</w:t>
            </w:r>
          </w:p>
        </w:tc>
        <w:tc>
          <w:tcPr/>
          <w:p>
            <w:pPr>
              <w:pStyle w:val="Compact"/>
              <w:jc w:val="center"/>
            </w:pPr>
            <w:r>
              <w:t xml:space="preserve">0.589</w:t>
            </w:r>
          </w:p>
        </w:tc>
        <w:tc>
          <w:tcPr/>
          <w:p>
            <w:pPr>
              <w:pStyle w:val="Compact"/>
              <w:jc w:val="center"/>
            </w:pPr>
            <w:r>
              <w:rPr>
                <w:rFonts w:hint="eastAsia"/>
              </w:rPr>
              <w:t xml:space="preserve">节约型</w:t>
            </w:r>
          </w:p>
        </w:tc>
      </w:tr>
      <w:tr>
        <w:tc>
          <w:tcPr/>
          <w:p>
            <w:pPr>
              <w:pStyle w:val="Compact"/>
              <w:jc w:val="center"/>
            </w:pPr>
            <w:r>
              <w:t xml:space="preserve">10</w:t>
            </w:r>
          </w:p>
        </w:tc>
        <w:tc>
          <w:tcPr/>
          <w:p>
            <w:pPr>
              <w:pStyle w:val="Compact"/>
              <w:jc w:val="center"/>
            </w:pPr>
            <w:r>
              <w:rPr>
                <w:rFonts w:hint="eastAsia"/>
              </w:rPr>
              <w:t xml:space="preserve">湖北</w:t>
            </w:r>
          </w:p>
        </w:tc>
        <w:tc>
          <w:tcPr/>
          <w:p>
            <w:pPr>
              <w:pStyle w:val="Compact"/>
              <w:jc w:val="center"/>
            </w:pPr>
            <w:r>
              <w:t xml:space="preserve">0.556</w:t>
            </w:r>
          </w:p>
        </w:tc>
        <w:tc>
          <w:tcPr/>
          <w:p>
            <w:pPr>
              <w:pStyle w:val="Compact"/>
              <w:jc w:val="center"/>
            </w:pPr>
            <w:r>
              <w:t xml:space="preserve">0.589</w:t>
            </w:r>
          </w:p>
        </w:tc>
        <w:tc>
          <w:tcPr/>
          <w:p>
            <w:pPr>
              <w:pStyle w:val="Compact"/>
              <w:jc w:val="center"/>
            </w:pPr>
            <w:r>
              <w:t xml:space="preserve">0.567</w:t>
            </w:r>
          </w:p>
        </w:tc>
        <w:tc>
          <w:tcPr/>
          <w:p>
            <w:pPr>
              <w:pStyle w:val="Compact"/>
              <w:jc w:val="center"/>
            </w:pPr>
            <w:r>
              <w:t xml:space="preserve">0.545</w:t>
            </w:r>
          </w:p>
        </w:tc>
        <w:tc>
          <w:tcPr/>
          <w:p>
            <w:pPr>
              <w:pStyle w:val="Compact"/>
              <w:jc w:val="center"/>
            </w:pPr>
            <w:r>
              <w:t xml:space="preserve">0.523</w:t>
            </w:r>
          </w:p>
        </w:tc>
        <w:tc>
          <w:tcPr/>
          <w:p>
            <w:pPr>
              <w:pStyle w:val="Compact"/>
              <w:jc w:val="center"/>
            </w:pPr>
            <w:r>
              <w:rPr>
                <w:rFonts w:hint="eastAsia"/>
              </w:rPr>
              <w:t xml:space="preserve">节约型</w:t>
            </w:r>
          </w:p>
        </w:tc>
      </w:tr>
      <w:tr>
        <w:tc>
          <w:tcPr/>
          <w:p>
            <w:pPr>
              <w:pStyle w:val="Compact"/>
              <w:jc w:val="center"/>
            </w:pPr>
            <w:r>
              <w:t xml:space="preserve">11</w:t>
            </w:r>
          </w:p>
        </w:tc>
        <w:tc>
          <w:tcPr/>
          <w:p>
            <w:pPr>
              <w:pStyle w:val="Compact"/>
              <w:jc w:val="center"/>
            </w:pPr>
            <w:r>
              <w:rPr>
                <w:rFonts w:hint="eastAsia"/>
              </w:rPr>
              <w:t xml:space="preserve">河南</w:t>
            </w:r>
          </w:p>
        </w:tc>
        <w:tc>
          <w:tcPr/>
          <w:p>
            <w:pPr>
              <w:pStyle w:val="Compact"/>
              <w:jc w:val="center"/>
            </w:pPr>
            <w:r>
              <w:t xml:space="preserve">0.534</w:t>
            </w:r>
          </w:p>
        </w:tc>
        <w:tc>
          <w:tcPr/>
          <w:p>
            <w:pPr>
              <w:pStyle w:val="Compact"/>
              <w:jc w:val="center"/>
            </w:pPr>
            <w:r>
              <w:t xml:space="preserve">0.567</w:t>
            </w:r>
          </w:p>
        </w:tc>
        <w:tc>
          <w:tcPr/>
          <w:p>
            <w:pPr>
              <w:pStyle w:val="Compact"/>
              <w:jc w:val="center"/>
            </w:pPr>
            <w:r>
              <w:t xml:space="preserve">0.545</w:t>
            </w:r>
          </w:p>
        </w:tc>
        <w:tc>
          <w:tcPr/>
          <w:p>
            <w:pPr>
              <w:pStyle w:val="Compact"/>
              <w:jc w:val="center"/>
            </w:pPr>
            <w:r>
              <w:t xml:space="preserve">0.523</w:t>
            </w:r>
          </w:p>
        </w:tc>
        <w:tc>
          <w:tcPr/>
          <w:p>
            <w:pPr>
              <w:pStyle w:val="Compact"/>
              <w:jc w:val="center"/>
            </w:pPr>
            <w:r>
              <w:t xml:space="preserve">0.501</w:t>
            </w:r>
          </w:p>
        </w:tc>
        <w:tc>
          <w:tcPr/>
          <w:p>
            <w:pPr>
              <w:pStyle w:val="Compact"/>
              <w:jc w:val="center"/>
            </w:pPr>
            <w:r>
              <w:rPr>
                <w:rFonts w:hint="eastAsia"/>
              </w:rPr>
              <w:t xml:space="preserve">困境型</w:t>
            </w:r>
          </w:p>
        </w:tc>
      </w:tr>
      <w:tr>
        <w:tc>
          <w:tcPr/>
          <w:p>
            <w:pPr>
              <w:pStyle w:val="Compact"/>
              <w:jc w:val="center"/>
            </w:pPr>
            <w:r>
              <w:t xml:space="preserve">12</w:t>
            </w:r>
          </w:p>
        </w:tc>
        <w:tc>
          <w:tcPr/>
          <w:p>
            <w:pPr>
              <w:pStyle w:val="Compact"/>
              <w:jc w:val="center"/>
            </w:pPr>
            <w:r>
              <w:rPr>
                <w:rFonts w:hint="eastAsia"/>
              </w:rPr>
              <w:t xml:space="preserve">湖南</w:t>
            </w:r>
          </w:p>
        </w:tc>
        <w:tc>
          <w:tcPr/>
          <w:p>
            <w:pPr>
              <w:pStyle w:val="Compact"/>
              <w:jc w:val="center"/>
            </w:pPr>
            <w:r>
              <w:t xml:space="preserve">0.523</w:t>
            </w:r>
          </w:p>
        </w:tc>
        <w:tc>
          <w:tcPr/>
          <w:p>
            <w:pPr>
              <w:pStyle w:val="Compact"/>
              <w:jc w:val="center"/>
            </w:pPr>
            <w:r>
              <w:t xml:space="preserve">0.556</w:t>
            </w:r>
          </w:p>
        </w:tc>
        <w:tc>
          <w:tcPr/>
          <w:p>
            <w:pPr>
              <w:pStyle w:val="Compact"/>
              <w:jc w:val="center"/>
            </w:pPr>
            <w:r>
              <w:t xml:space="preserve">0.534</w:t>
            </w:r>
          </w:p>
        </w:tc>
        <w:tc>
          <w:tcPr/>
          <w:p>
            <w:pPr>
              <w:pStyle w:val="Compact"/>
              <w:jc w:val="center"/>
            </w:pPr>
            <w:r>
              <w:t xml:space="preserve">0.512</w:t>
            </w:r>
          </w:p>
        </w:tc>
        <w:tc>
          <w:tcPr/>
          <w:p>
            <w:pPr>
              <w:pStyle w:val="Compact"/>
              <w:jc w:val="center"/>
            </w:pPr>
            <w:r>
              <w:t xml:space="preserve">0.489</w:t>
            </w:r>
          </w:p>
        </w:tc>
        <w:tc>
          <w:tcPr/>
          <w:p>
            <w:pPr>
              <w:pStyle w:val="Compact"/>
              <w:jc w:val="center"/>
            </w:pPr>
            <w:r>
              <w:rPr>
                <w:rFonts w:hint="eastAsia"/>
              </w:rPr>
              <w:t xml:space="preserve">困境型</w:t>
            </w:r>
          </w:p>
        </w:tc>
      </w:tr>
      <w:tr>
        <w:tc>
          <w:tcPr/>
          <w:p>
            <w:pPr>
              <w:pStyle w:val="Compact"/>
              <w:jc w:val="center"/>
            </w:pPr>
            <w:r>
              <w:t xml:space="preserve">13</w:t>
            </w:r>
          </w:p>
        </w:tc>
        <w:tc>
          <w:tcPr/>
          <w:p>
            <w:pPr>
              <w:pStyle w:val="Compact"/>
              <w:jc w:val="center"/>
            </w:pPr>
            <w:r>
              <w:rPr>
                <w:rFonts w:hint="eastAsia"/>
              </w:rPr>
              <w:t xml:space="preserve">重庆</w:t>
            </w:r>
          </w:p>
        </w:tc>
        <w:tc>
          <w:tcPr/>
          <w:p>
            <w:pPr>
              <w:pStyle w:val="Compact"/>
              <w:jc w:val="center"/>
            </w:pPr>
            <w:r>
              <w:t xml:space="preserve">0.512</w:t>
            </w:r>
          </w:p>
        </w:tc>
        <w:tc>
          <w:tcPr/>
          <w:p>
            <w:pPr>
              <w:pStyle w:val="Compact"/>
              <w:jc w:val="center"/>
            </w:pPr>
            <w:r>
              <w:t xml:space="preserve">0.545</w:t>
            </w:r>
          </w:p>
        </w:tc>
        <w:tc>
          <w:tcPr/>
          <w:p>
            <w:pPr>
              <w:pStyle w:val="Compact"/>
              <w:jc w:val="center"/>
            </w:pPr>
            <w:r>
              <w:t xml:space="preserve">0.523</w:t>
            </w:r>
          </w:p>
        </w:tc>
        <w:tc>
          <w:tcPr/>
          <w:p>
            <w:pPr>
              <w:pStyle w:val="Compact"/>
              <w:jc w:val="center"/>
            </w:pPr>
            <w:r>
              <w:t xml:space="preserve">0.501</w:t>
            </w:r>
          </w:p>
        </w:tc>
        <w:tc>
          <w:tcPr/>
          <w:p>
            <w:pPr>
              <w:pStyle w:val="Compact"/>
              <w:jc w:val="center"/>
            </w:pPr>
            <w:r>
              <w:t xml:space="preserve">0.478</w:t>
            </w:r>
          </w:p>
        </w:tc>
        <w:tc>
          <w:tcPr/>
          <w:p>
            <w:pPr>
              <w:pStyle w:val="Compact"/>
              <w:jc w:val="center"/>
            </w:pPr>
            <w:r>
              <w:rPr>
                <w:rFonts w:hint="eastAsia"/>
              </w:rPr>
              <w:t xml:space="preserve">困境型</w:t>
            </w:r>
          </w:p>
        </w:tc>
      </w:tr>
      <w:tr>
        <w:tc>
          <w:tcPr/>
          <w:p>
            <w:pPr>
              <w:pStyle w:val="Compact"/>
              <w:jc w:val="center"/>
            </w:pPr>
            <w:r>
              <w:t xml:space="preserve">14</w:t>
            </w:r>
          </w:p>
        </w:tc>
        <w:tc>
          <w:tcPr/>
          <w:p>
            <w:pPr>
              <w:pStyle w:val="Compact"/>
              <w:jc w:val="center"/>
            </w:pPr>
            <w:r>
              <w:rPr>
                <w:rFonts w:hint="eastAsia"/>
              </w:rPr>
              <w:t xml:space="preserve">安徽</w:t>
            </w:r>
          </w:p>
        </w:tc>
        <w:tc>
          <w:tcPr/>
          <w:p>
            <w:pPr>
              <w:pStyle w:val="Compact"/>
              <w:jc w:val="center"/>
            </w:pPr>
            <w:r>
              <w:t xml:space="preserve">0.501</w:t>
            </w:r>
          </w:p>
        </w:tc>
        <w:tc>
          <w:tcPr/>
          <w:p>
            <w:pPr>
              <w:pStyle w:val="Compact"/>
              <w:jc w:val="center"/>
            </w:pPr>
            <w:r>
              <w:t xml:space="preserve">0.534</w:t>
            </w:r>
          </w:p>
        </w:tc>
        <w:tc>
          <w:tcPr/>
          <w:p>
            <w:pPr>
              <w:pStyle w:val="Compact"/>
              <w:jc w:val="center"/>
            </w:pPr>
            <w:r>
              <w:t xml:space="preserve">0.512</w:t>
            </w:r>
          </w:p>
        </w:tc>
        <w:tc>
          <w:tcPr/>
          <w:p>
            <w:pPr>
              <w:pStyle w:val="Compact"/>
              <w:jc w:val="center"/>
            </w:pPr>
            <w:r>
              <w:t xml:space="preserve">0.489</w:t>
            </w:r>
          </w:p>
        </w:tc>
        <w:tc>
          <w:tcPr/>
          <w:p>
            <w:pPr>
              <w:pStyle w:val="Compact"/>
              <w:jc w:val="center"/>
            </w:pPr>
            <w:r>
              <w:t xml:space="preserve">0.467</w:t>
            </w:r>
          </w:p>
        </w:tc>
        <w:tc>
          <w:tcPr/>
          <w:p>
            <w:pPr>
              <w:pStyle w:val="Compact"/>
              <w:jc w:val="center"/>
            </w:pPr>
            <w:r>
              <w:rPr>
                <w:rFonts w:hint="eastAsia"/>
              </w:rPr>
              <w:t xml:space="preserve">困境型</w:t>
            </w:r>
          </w:p>
        </w:tc>
      </w:tr>
      <w:tr>
        <w:tc>
          <w:tcPr/>
          <w:p>
            <w:pPr>
              <w:pStyle w:val="Compact"/>
              <w:jc w:val="center"/>
            </w:pPr>
            <w:r>
              <w:t xml:space="preserve">15</w:t>
            </w:r>
          </w:p>
        </w:tc>
        <w:tc>
          <w:tcPr/>
          <w:p>
            <w:pPr>
              <w:pStyle w:val="Compact"/>
              <w:jc w:val="center"/>
            </w:pPr>
            <w:r>
              <w:rPr>
                <w:rFonts w:hint="eastAsia"/>
              </w:rPr>
              <w:t xml:space="preserve">江西</w:t>
            </w:r>
          </w:p>
        </w:tc>
        <w:tc>
          <w:tcPr/>
          <w:p>
            <w:pPr>
              <w:pStyle w:val="Compact"/>
              <w:jc w:val="center"/>
            </w:pPr>
            <w:r>
              <w:t xml:space="preserve">0.489</w:t>
            </w:r>
          </w:p>
        </w:tc>
        <w:tc>
          <w:tcPr/>
          <w:p>
            <w:pPr>
              <w:pStyle w:val="Compact"/>
              <w:jc w:val="center"/>
            </w:pPr>
            <w:r>
              <w:t xml:space="preserve">0.523</w:t>
            </w:r>
          </w:p>
        </w:tc>
        <w:tc>
          <w:tcPr/>
          <w:p>
            <w:pPr>
              <w:pStyle w:val="Compact"/>
              <w:jc w:val="center"/>
            </w:pPr>
            <w:r>
              <w:t xml:space="preserve">0.501</w:t>
            </w:r>
          </w:p>
        </w:tc>
        <w:tc>
          <w:tcPr/>
          <w:p>
            <w:pPr>
              <w:pStyle w:val="Compact"/>
              <w:jc w:val="center"/>
            </w:pPr>
            <w:r>
              <w:t xml:space="preserve">0.478</w:t>
            </w:r>
          </w:p>
        </w:tc>
        <w:tc>
          <w:tcPr/>
          <w:p>
            <w:pPr>
              <w:pStyle w:val="Compact"/>
              <w:jc w:val="center"/>
            </w:pPr>
            <w:r>
              <w:t xml:space="preserve">0.456</w:t>
            </w:r>
          </w:p>
        </w:tc>
        <w:tc>
          <w:tcPr/>
          <w:p>
            <w:pPr>
              <w:pStyle w:val="Compact"/>
              <w:jc w:val="center"/>
            </w:pPr>
            <w:r>
              <w:rPr>
                <w:rFonts w:hint="eastAsia"/>
              </w:rPr>
              <w:t xml:space="preserve">困境型</w:t>
            </w:r>
          </w:p>
        </w:tc>
      </w:tr>
      <w:tr>
        <w:tc>
          <w:tcPr/>
          <w:p>
            <w:pPr>
              <w:pStyle w:val="Compact"/>
              <w:jc w:val="center"/>
            </w:pPr>
            <w:r>
              <w:t xml:space="preserve">16</w:t>
            </w:r>
          </w:p>
        </w:tc>
        <w:tc>
          <w:tcPr/>
          <w:p>
            <w:pPr>
              <w:pStyle w:val="Compact"/>
              <w:jc w:val="center"/>
            </w:pPr>
            <w:r>
              <w:rPr>
                <w:rFonts w:hint="eastAsia"/>
              </w:rPr>
              <w:t xml:space="preserve">天津</w:t>
            </w:r>
          </w:p>
        </w:tc>
        <w:tc>
          <w:tcPr/>
          <w:p>
            <w:pPr>
              <w:pStyle w:val="Compact"/>
              <w:jc w:val="center"/>
            </w:pPr>
            <w:r>
              <w:t xml:space="preserve">0.478</w:t>
            </w:r>
          </w:p>
        </w:tc>
        <w:tc>
          <w:tcPr/>
          <w:p>
            <w:pPr>
              <w:pStyle w:val="Compact"/>
              <w:jc w:val="center"/>
            </w:pPr>
            <w:r>
              <w:t xml:space="preserve">0.456</w:t>
            </w:r>
          </w:p>
        </w:tc>
        <w:tc>
          <w:tcPr/>
          <w:p>
            <w:pPr>
              <w:pStyle w:val="Compact"/>
              <w:jc w:val="center"/>
            </w:pPr>
            <w:r>
              <w:t xml:space="preserve">0.489</w:t>
            </w:r>
          </w:p>
        </w:tc>
        <w:tc>
          <w:tcPr/>
          <w:p>
            <w:pPr>
              <w:pStyle w:val="Compact"/>
              <w:jc w:val="center"/>
            </w:pPr>
            <w:r>
              <w:t xml:space="preserve">0.467</w:t>
            </w:r>
          </w:p>
        </w:tc>
        <w:tc>
          <w:tcPr/>
          <w:p>
            <w:pPr>
              <w:pStyle w:val="Compact"/>
              <w:jc w:val="center"/>
            </w:pPr>
            <w:r>
              <w:t xml:space="preserve">0.501</w:t>
            </w:r>
          </w:p>
        </w:tc>
        <w:tc>
          <w:tcPr/>
          <w:p>
            <w:pPr>
              <w:pStyle w:val="Compact"/>
              <w:jc w:val="center"/>
            </w:pPr>
            <w:r>
              <w:rPr>
                <w:rFonts w:hint="eastAsia"/>
              </w:rPr>
              <w:t xml:space="preserve">困境型</w:t>
            </w:r>
          </w:p>
        </w:tc>
      </w:tr>
      <w:tr>
        <w:tc>
          <w:tcPr/>
          <w:p>
            <w:pPr>
              <w:pStyle w:val="Compact"/>
              <w:jc w:val="center"/>
            </w:pPr>
            <w:r>
              <w:t xml:space="preserve">17</w:t>
            </w:r>
          </w:p>
        </w:tc>
        <w:tc>
          <w:tcPr/>
          <w:p>
            <w:pPr>
              <w:pStyle w:val="Compact"/>
              <w:jc w:val="center"/>
            </w:pPr>
            <w:r>
              <w:rPr>
                <w:rFonts w:hint="eastAsia"/>
              </w:rPr>
              <w:t xml:space="preserve">河北</w:t>
            </w:r>
          </w:p>
        </w:tc>
        <w:tc>
          <w:tcPr/>
          <w:p>
            <w:pPr>
              <w:pStyle w:val="Compact"/>
              <w:jc w:val="center"/>
            </w:pPr>
            <w:r>
              <w:t xml:space="preserve">0.467</w:t>
            </w:r>
          </w:p>
        </w:tc>
        <w:tc>
          <w:tcPr/>
          <w:p>
            <w:pPr>
              <w:pStyle w:val="Compact"/>
              <w:jc w:val="center"/>
            </w:pPr>
            <w:r>
              <w:t xml:space="preserve">0.489</w:t>
            </w:r>
          </w:p>
        </w:tc>
        <w:tc>
          <w:tcPr/>
          <w:p>
            <w:pPr>
              <w:pStyle w:val="Compact"/>
              <w:jc w:val="center"/>
            </w:pPr>
            <w:r>
              <w:t xml:space="preserve">0.478</w:t>
            </w:r>
          </w:p>
        </w:tc>
        <w:tc>
          <w:tcPr/>
          <w:p>
            <w:pPr>
              <w:pStyle w:val="Compact"/>
              <w:jc w:val="center"/>
            </w:pPr>
            <w:r>
              <w:t xml:space="preserve">0.456</w:t>
            </w:r>
          </w:p>
        </w:tc>
        <w:tc>
          <w:tcPr/>
          <w:p>
            <w:pPr>
              <w:pStyle w:val="Compact"/>
              <w:jc w:val="center"/>
            </w:pPr>
            <w:r>
              <w:t xml:space="preserve">0.445</w:t>
            </w:r>
          </w:p>
        </w:tc>
        <w:tc>
          <w:tcPr/>
          <w:p>
            <w:pPr>
              <w:pStyle w:val="Compact"/>
              <w:jc w:val="center"/>
            </w:pPr>
            <w:r>
              <w:rPr>
                <w:rFonts w:hint="eastAsia"/>
              </w:rPr>
              <w:t xml:space="preserve">困境型</w:t>
            </w:r>
          </w:p>
        </w:tc>
      </w:tr>
      <w:tr>
        <w:tc>
          <w:tcPr/>
          <w:p>
            <w:pPr>
              <w:pStyle w:val="Compact"/>
              <w:jc w:val="center"/>
            </w:pPr>
            <w:r>
              <w:t xml:space="preserve">18</w:t>
            </w:r>
          </w:p>
        </w:tc>
        <w:tc>
          <w:tcPr/>
          <w:p>
            <w:pPr>
              <w:pStyle w:val="Compact"/>
              <w:jc w:val="center"/>
            </w:pPr>
            <w:r>
              <w:rPr>
                <w:rFonts w:hint="eastAsia"/>
              </w:rPr>
              <w:t xml:space="preserve">山西</w:t>
            </w:r>
          </w:p>
        </w:tc>
        <w:tc>
          <w:tcPr/>
          <w:p>
            <w:pPr>
              <w:pStyle w:val="Compact"/>
              <w:jc w:val="center"/>
            </w:pPr>
            <w:r>
              <w:t xml:space="preserve">0.456</w:t>
            </w:r>
          </w:p>
        </w:tc>
        <w:tc>
          <w:tcPr/>
          <w:p>
            <w:pPr>
              <w:pStyle w:val="Compact"/>
              <w:jc w:val="center"/>
            </w:pPr>
            <w:r>
              <w:t xml:space="preserve">0.478</w:t>
            </w:r>
          </w:p>
        </w:tc>
        <w:tc>
          <w:tcPr/>
          <w:p>
            <w:pPr>
              <w:pStyle w:val="Compact"/>
              <w:jc w:val="center"/>
            </w:pPr>
            <w:r>
              <w:t xml:space="preserve">0.467</w:t>
            </w:r>
          </w:p>
        </w:tc>
        <w:tc>
          <w:tcPr/>
          <w:p>
            <w:pPr>
              <w:pStyle w:val="Compact"/>
              <w:jc w:val="center"/>
            </w:pPr>
            <w:r>
              <w:t xml:space="preserve">0.445</w:t>
            </w:r>
          </w:p>
        </w:tc>
        <w:tc>
          <w:tcPr/>
          <w:p>
            <w:pPr>
              <w:pStyle w:val="Compact"/>
              <w:jc w:val="center"/>
            </w:pPr>
            <w:r>
              <w:t xml:space="preserve">0.434</w:t>
            </w:r>
          </w:p>
        </w:tc>
        <w:tc>
          <w:tcPr/>
          <w:p>
            <w:pPr>
              <w:pStyle w:val="Compact"/>
              <w:jc w:val="center"/>
            </w:pPr>
            <w:r>
              <w:rPr>
                <w:rFonts w:hint="eastAsia"/>
              </w:rPr>
              <w:t xml:space="preserve">困境型</w:t>
            </w:r>
          </w:p>
        </w:tc>
      </w:tr>
      <w:tr>
        <w:tc>
          <w:tcPr/>
          <w:p>
            <w:pPr>
              <w:pStyle w:val="Compact"/>
              <w:jc w:val="center"/>
            </w:pPr>
            <w:r>
              <w:t xml:space="preserve">19</w:t>
            </w:r>
          </w:p>
        </w:tc>
        <w:tc>
          <w:tcPr/>
          <w:p>
            <w:pPr>
              <w:pStyle w:val="Compact"/>
              <w:jc w:val="center"/>
            </w:pPr>
            <w:r>
              <w:rPr>
                <w:rFonts w:hint="eastAsia"/>
              </w:rPr>
              <w:t xml:space="preserve">辽宁</w:t>
            </w:r>
          </w:p>
        </w:tc>
        <w:tc>
          <w:tcPr/>
          <w:p>
            <w:pPr>
              <w:pStyle w:val="Compact"/>
              <w:jc w:val="center"/>
            </w:pPr>
            <w:r>
              <w:t xml:space="preserve">0.445</w:t>
            </w:r>
          </w:p>
        </w:tc>
        <w:tc>
          <w:tcPr/>
          <w:p>
            <w:pPr>
              <w:pStyle w:val="Compact"/>
              <w:jc w:val="center"/>
            </w:pPr>
            <w:r>
              <w:t xml:space="preserve">0.467</w:t>
            </w:r>
          </w:p>
        </w:tc>
        <w:tc>
          <w:tcPr/>
          <w:p>
            <w:pPr>
              <w:pStyle w:val="Compact"/>
              <w:jc w:val="center"/>
            </w:pPr>
            <w:r>
              <w:t xml:space="preserve">0.456</w:t>
            </w:r>
          </w:p>
        </w:tc>
        <w:tc>
          <w:tcPr/>
          <w:p>
            <w:pPr>
              <w:pStyle w:val="Compact"/>
              <w:jc w:val="center"/>
            </w:pPr>
            <w:r>
              <w:t xml:space="preserve">0.434</w:t>
            </w:r>
          </w:p>
        </w:tc>
        <w:tc>
          <w:tcPr/>
          <w:p>
            <w:pPr>
              <w:pStyle w:val="Compact"/>
              <w:jc w:val="center"/>
            </w:pPr>
            <w:r>
              <w:t xml:space="preserve">0.423</w:t>
            </w:r>
          </w:p>
        </w:tc>
        <w:tc>
          <w:tcPr/>
          <w:p>
            <w:pPr>
              <w:pStyle w:val="Compact"/>
              <w:jc w:val="center"/>
            </w:pPr>
            <w:r>
              <w:rPr>
                <w:rFonts w:hint="eastAsia"/>
              </w:rPr>
              <w:t xml:space="preserve">困境型</w:t>
            </w:r>
          </w:p>
        </w:tc>
      </w:tr>
      <w:tr>
        <w:tc>
          <w:tcPr/>
          <w:p>
            <w:pPr>
              <w:pStyle w:val="Compact"/>
              <w:jc w:val="center"/>
            </w:pPr>
            <w:r>
              <w:t xml:space="preserve">20</w:t>
            </w:r>
          </w:p>
        </w:tc>
        <w:tc>
          <w:tcPr/>
          <w:p>
            <w:pPr>
              <w:pStyle w:val="Compact"/>
              <w:jc w:val="center"/>
            </w:pPr>
            <w:r>
              <w:rPr>
                <w:rFonts w:hint="eastAsia"/>
              </w:rPr>
              <w:t xml:space="preserve">云南</w:t>
            </w:r>
          </w:p>
        </w:tc>
        <w:tc>
          <w:tcPr/>
          <w:p>
            <w:pPr>
              <w:pStyle w:val="Compact"/>
              <w:jc w:val="center"/>
            </w:pPr>
            <w:r>
              <w:t xml:space="preserve">0.434</w:t>
            </w:r>
          </w:p>
        </w:tc>
        <w:tc>
          <w:tcPr/>
          <w:p>
            <w:pPr>
              <w:pStyle w:val="Compact"/>
              <w:jc w:val="center"/>
            </w:pPr>
            <w:r>
              <w:t xml:space="preserve">0.456</w:t>
            </w:r>
          </w:p>
        </w:tc>
        <w:tc>
          <w:tcPr/>
          <w:p>
            <w:pPr>
              <w:pStyle w:val="Compact"/>
              <w:jc w:val="center"/>
            </w:pPr>
            <w:r>
              <w:t xml:space="preserve">0.445</w:t>
            </w:r>
          </w:p>
        </w:tc>
        <w:tc>
          <w:tcPr/>
          <w:p>
            <w:pPr>
              <w:pStyle w:val="Compact"/>
              <w:jc w:val="center"/>
            </w:pPr>
            <w:r>
              <w:t xml:space="preserve">0.423</w:t>
            </w:r>
          </w:p>
        </w:tc>
        <w:tc>
          <w:tcPr/>
          <w:p>
            <w:pPr>
              <w:pStyle w:val="Compact"/>
              <w:jc w:val="center"/>
            </w:pPr>
            <w:r>
              <w:t xml:space="preserve">0.412</w:t>
            </w:r>
          </w:p>
        </w:tc>
        <w:tc>
          <w:tcPr/>
          <w:p>
            <w:pPr>
              <w:pStyle w:val="Compact"/>
              <w:jc w:val="center"/>
            </w:pPr>
            <w:r>
              <w:rPr>
                <w:rFonts w:hint="eastAsia"/>
              </w:rPr>
              <w:t xml:space="preserve">困境型</w:t>
            </w:r>
          </w:p>
        </w:tc>
      </w:tr>
      <w:tr>
        <w:tc>
          <w:tcPr/>
          <w:p>
            <w:pPr>
              <w:pStyle w:val="Compact"/>
              <w:jc w:val="center"/>
            </w:pPr>
            <w:r>
              <w:t xml:space="preserve">21</w:t>
            </w:r>
          </w:p>
        </w:tc>
        <w:tc>
          <w:tcPr/>
          <w:p>
            <w:pPr>
              <w:pStyle w:val="Compact"/>
              <w:jc w:val="center"/>
            </w:pPr>
            <w:r>
              <w:rPr>
                <w:rFonts w:hint="eastAsia"/>
              </w:rPr>
              <w:t xml:space="preserve">广西</w:t>
            </w:r>
          </w:p>
        </w:tc>
        <w:tc>
          <w:tcPr/>
          <w:p>
            <w:pPr>
              <w:pStyle w:val="Compact"/>
              <w:jc w:val="center"/>
            </w:pPr>
            <w:r>
              <w:t xml:space="preserve">0.423</w:t>
            </w:r>
          </w:p>
        </w:tc>
        <w:tc>
          <w:tcPr/>
          <w:p>
            <w:pPr>
              <w:pStyle w:val="Compact"/>
              <w:jc w:val="center"/>
            </w:pPr>
            <w:r>
              <w:t xml:space="preserve">0.445</w:t>
            </w:r>
          </w:p>
        </w:tc>
        <w:tc>
          <w:tcPr/>
          <w:p>
            <w:pPr>
              <w:pStyle w:val="Compact"/>
              <w:jc w:val="center"/>
            </w:pPr>
            <w:r>
              <w:t xml:space="preserve">0.434</w:t>
            </w:r>
          </w:p>
        </w:tc>
        <w:tc>
          <w:tcPr/>
          <w:p>
            <w:pPr>
              <w:pStyle w:val="Compact"/>
              <w:jc w:val="center"/>
            </w:pPr>
            <w:r>
              <w:t xml:space="preserve">0.412</w:t>
            </w:r>
          </w:p>
        </w:tc>
        <w:tc>
          <w:tcPr/>
          <w:p>
            <w:pPr>
              <w:pStyle w:val="Compact"/>
              <w:jc w:val="center"/>
            </w:pPr>
            <w:r>
              <w:t xml:space="preserve">0.401</w:t>
            </w:r>
          </w:p>
        </w:tc>
        <w:tc>
          <w:tcPr/>
          <w:p>
            <w:pPr>
              <w:pStyle w:val="Compact"/>
              <w:jc w:val="center"/>
            </w:pPr>
            <w:r>
              <w:rPr>
                <w:rFonts w:hint="eastAsia"/>
              </w:rPr>
              <w:t xml:space="preserve">困境型</w:t>
            </w:r>
          </w:p>
        </w:tc>
      </w:tr>
      <w:tr>
        <w:tc>
          <w:tcPr/>
          <w:p>
            <w:pPr>
              <w:pStyle w:val="Compact"/>
              <w:jc w:val="center"/>
            </w:pPr>
            <w:r>
              <w:t xml:space="preserve">22</w:t>
            </w:r>
          </w:p>
        </w:tc>
        <w:tc>
          <w:tcPr/>
          <w:p>
            <w:pPr>
              <w:pStyle w:val="Compact"/>
              <w:jc w:val="center"/>
            </w:pPr>
            <w:r>
              <w:rPr>
                <w:rFonts w:hint="eastAsia"/>
              </w:rPr>
              <w:t xml:space="preserve">海南</w:t>
            </w:r>
          </w:p>
        </w:tc>
        <w:tc>
          <w:tcPr/>
          <w:p>
            <w:pPr>
              <w:pStyle w:val="Compact"/>
              <w:jc w:val="center"/>
            </w:pPr>
            <w:r>
              <w:t xml:space="preserve">0.412</w:t>
            </w:r>
          </w:p>
        </w:tc>
        <w:tc>
          <w:tcPr/>
          <w:p>
            <w:pPr>
              <w:pStyle w:val="Compact"/>
              <w:jc w:val="center"/>
            </w:pPr>
            <w:r>
              <w:t xml:space="preserve">0.434</w:t>
            </w:r>
          </w:p>
        </w:tc>
        <w:tc>
          <w:tcPr/>
          <w:p>
            <w:pPr>
              <w:pStyle w:val="Compact"/>
              <w:jc w:val="center"/>
            </w:pPr>
            <w:r>
              <w:t xml:space="preserve">0.423</w:t>
            </w:r>
          </w:p>
        </w:tc>
        <w:tc>
          <w:tcPr/>
          <w:p>
            <w:pPr>
              <w:pStyle w:val="Compact"/>
              <w:jc w:val="center"/>
            </w:pPr>
            <w:r>
              <w:t xml:space="preserve">0.401</w:t>
            </w:r>
          </w:p>
        </w:tc>
        <w:tc>
          <w:tcPr/>
          <w:p>
            <w:pPr>
              <w:pStyle w:val="Compact"/>
              <w:jc w:val="center"/>
            </w:pPr>
            <w:r>
              <w:t xml:space="preserve">0.389</w:t>
            </w:r>
          </w:p>
        </w:tc>
        <w:tc>
          <w:tcPr/>
          <w:p>
            <w:pPr>
              <w:pStyle w:val="Compact"/>
              <w:jc w:val="center"/>
            </w:pPr>
            <w:r>
              <w:rPr>
                <w:rFonts w:hint="eastAsia"/>
              </w:rPr>
              <w:t xml:space="preserve">困境型</w:t>
            </w:r>
          </w:p>
        </w:tc>
      </w:tr>
      <w:tr>
        <w:tc>
          <w:tcPr/>
          <w:p>
            <w:pPr>
              <w:pStyle w:val="Compact"/>
              <w:jc w:val="center"/>
            </w:pPr>
            <w:r>
              <w:t xml:space="preserve">23</w:t>
            </w:r>
          </w:p>
        </w:tc>
        <w:tc>
          <w:tcPr/>
          <w:p>
            <w:pPr>
              <w:pStyle w:val="Compact"/>
              <w:jc w:val="center"/>
            </w:pPr>
            <w:r>
              <w:rPr>
                <w:rFonts w:hint="eastAsia"/>
              </w:rPr>
              <w:t xml:space="preserve">陕西</w:t>
            </w:r>
          </w:p>
        </w:tc>
        <w:tc>
          <w:tcPr/>
          <w:p>
            <w:pPr>
              <w:pStyle w:val="Compact"/>
              <w:jc w:val="center"/>
            </w:pPr>
            <w:r>
              <w:t xml:space="preserve">0.401</w:t>
            </w:r>
          </w:p>
        </w:tc>
        <w:tc>
          <w:tcPr/>
          <w:p>
            <w:pPr>
              <w:pStyle w:val="Compact"/>
              <w:jc w:val="center"/>
            </w:pPr>
            <w:r>
              <w:t xml:space="preserve">0.423</w:t>
            </w:r>
          </w:p>
        </w:tc>
        <w:tc>
          <w:tcPr/>
          <w:p>
            <w:pPr>
              <w:pStyle w:val="Compact"/>
              <w:jc w:val="center"/>
            </w:pPr>
            <w:r>
              <w:t xml:space="preserve">0.412</w:t>
            </w:r>
          </w:p>
        </w:tc>
        <w:tc>
          <w:tcPr/>
          <w:p>
            <w:pPr>
              <w:pStyle w:val="Compact"/>
              <w:jc w:val="center"/>
            </w:pPr>
            <w:r>
              <w:t xml:space="preserve">0.389</w:t>
            </w:r>
          </w:p>
        </w:tc>
        <w:tc>
          <w:tcPr/>
          <w:p>
            <w:pPr>
              <w:pStyle w:val="Compact"/>
              <w:jc w:val="center"/>
            </w:pPr>
            <w:r>
              <w:t xml:space="preserve">0.378</w:t>
            </w:r>
          </w:p>
        </w:tc>
        <w:tc>
          <w:tcPr/>
          <w:p>
            <w:pPr>
              <w:pStyle w:val="Compact"/>
              <w:jc w:val="center"/>
            </w:pPr>
            <w:r>
              <w:rPr>
                <w:rFonts w:hint="eastAsia"/>
              </w:rPr>
              <w:t xml:space="preserve">困境型</w:t>
            </w:r>
          </w:p>
        </w:tc>
      </w:tr>
      <w:tr>
        <w:tc>
          <w:tcPr/>
          <w:p>
            <w:pPr>
              <w:pStyle w:val="Compact"/>
              <w:jc w:val="center"/>
            </w:pPr>
            <w:r>
              <w:t xml:space="preserve">24</w:t>
            </w:r>
          </w:p>
        </w:tc>
        <w:tc>
          <w:tcPr/>
          <w:p>
            <w:pPr>
              <w:pStyle w:val="Compact"/>
              <w:jc w:val="center"/>
            </w:pPr>
            <w:r>
              <w:rPr>
                <w:rFonts w:hint="eastAsia"/>
              </w:rPr>
              <w:t xml:space="preserve">黑龙江</w:t>
            </w:r>
          </w:p>
        </w:tc>
        <w:tc>
          <w:tcPr/>
          <w:p>
            <w:pPr>
              <w:pStyle w:val="Compact"/>
              <w:jc w:val="center"/>
            </w:pPr>
            <w:r>
              <w:t xml:space="preserve">0.389</w:t>
            </w:r>
          </w:p>
        </w:tc>
        <w:tc>
          <w:tcPr/>
          <w:p>
            <w:pPr>
              <w:pStyle w:val="Compact"/>
              <w:jc w:val="center"/>
            </w:pPr>
            <w:r>
              <w:t xml:space="preserve">0.412</w:t>
            </w:r>
          </w:p>
        </w:tc>
        <w:tc>
          <w:tcPr/>
          <w:p>
            <w:pPr>
              <w:pStyle w:val="Compact"/>
              <w:jc w:val="center"/>
            </w:pPr>
            <w:r>
              <w:t xml:space="preserve">0.401</w:t>
            </w:r>
          </w:p>
        </w:tc>
        <w:tc>
          <w:tcPr/>
          <w:p>
            <w:pPr>
              <w:pStyle w:val="Compact"/>
              <w:jc w:val="center"/>
            </w:pPr>
            <w:r>
              <w:t xml:space="preserve">0.378</w:t>
            </w:r>
          </w:p>
        </w:tc>
        <w:tc>
          <w:tcPr/>
          <w:p>
            <w:pPr>
              <w:pStyle w:val="Compact"/>
              <w:jc w:val="center"/>
            </w:pPr>
            <w:r>
              <w:t xml:space="preserve">0.367</w:t>
            </w:r>
          </w:p>
        </w:tc>
        <w:tc>
          <w:tcPr/>
          <w:p>
            <w:pPr>
              <w:pStyle w:val="Compact"/>
              <w:jc w:val="center"/>
            </w:pPr>
            <w:r>
              <w:rPr>
                <w:rFonts w:hint="eastAsia"/>
              </w:rPr>
              <w:t xml:space="preserve">困境型</w:t>
            </w:r>
          </w:p>
        </w:tc>
      </w:tr>
      <w:tr>
        <w:tc>
          <w:tcPr/>
          <w:p>
            <w:pPr>
              <w:pStyle w:val="Compact"/>
              <w:jc w:val="center"/>
            </w:pPr>
            <w:r>
              <w:t xml:space="preserve">25</w:t>
            </w:r>
          </w:p>
        </w:tc>
        <w:tc>
          <w:tcPr/>
          <w:p>
            <w:pPr>
              <w:pStyle w:val="Compact"/>
              <w:jc w:val="center"/>
            </w:pPr>
            <w:r>
              <w:rPr>
                <w:rFonts w:hint="eastAsia"/>
              </w:rPr>
              <w:t xml:space="preserve">吉林</w:t>
            </w:r>
          </w:p>
        </w:tc>
        <w:tc>
          <w:tcPr/>
          <w:p>
            <w:pPr>
              <w:pStyle w:val="Compact"/>
              <w:jc w:val="center"/>
            </w:pPr>
            <w:r>
              <w:t xml:space="preserve">0.378</w:t>
            </w:r>
          </w:p>
        </w:tc>
        <w:tc>
          <w:tcPr/>
          <w:p>
            <w:pPr>
              <w:pStyle w:val="Compact"/>
              <w:jc w:val="center"/>
            </w:pPr>
            <w:r>
              <w:t xml:space="preserve">0.401</w:t>
            </w:r>
          </w:p>
        </w:tc>
        <w:tc>
          <w:tcPr/>
          <w:p>
            <w:pPr>
              <w:pStyle w:val="Compact"/>
              <w:jc w:val="center"/>
            </w:pPr>
            <w:r>
              <w:t xml:space="preserve">0.389</w:t>
            </w:r>
          </w:p>
        </w:tc>
        <w:tc>
          <w:tcPr/>
          <w:p>
            <w:pPr>
              <w:pStyle w:val="Compact"/>
              <w:jc w:val="center"/>
            </w:pPr>
            <w:r>
              <w:t xml:space="preserve">0.367</w:t>
            </w:r>
          </w:p>
        </w:tc>
        <w:tc>
          <w:tcPr/>
          <w:p>
            <w:pPr>
              <w:pStyle w:val="Compact"/>
              <w:jc w:val="center"/>
            </w:pPr>
            <w:r>
              <w:t xml:space="preserve">0.356</w:t>
            </w:r>
          </w:p>
        </w:tc>
        <w:tc>
          <w:tcPr/>
          <w:p>
            <w:pPr>
              <w:pStyle w:val="Compact"/>
              <w:jc w:val="center"/>
            </w:pPr>
            <w:r>
              <w:rPr>
                <w:rFonts w:hint="eastAsia"/>
              </w:rPr>
              <w:t xml:space="preserve">困境型</w:t>
            </w:r>
          </w:p>
        </w:tc>
      </w:tr>
      <w:tr>
        <w:tc>
          <w:tcPr/>
          <w:p>
            <w:pPr>
              <w:pStyle w:val="Compact"/>
              <w:jc w:val="center"/>
            </w:pPr>
            <w:r>
              <w:t xml:space="preserve">26</w:t>
            </w:r>
          </w:p>
        </w:tc>
        <w:tc>
          <w:tcPr/>
          <w:p>
            <w:pPr>
              <w:pStyle w:val="Compact"/>
              <w:jc w:val="center"/>
            </w:pPr>
            <w:r>
              <w:rPr>
                <w:rFonts w:hint="eastAsia"/>
              </w:rPr>
              <w:t xml:space="preserve">新疆</w:t>
            </w:r>
          </w:p>
        </w:tc>
        <w:tc>
          <w:tcPr/>
          <w:p>
            <w:pPr>
              <w:pStyle w:val="Compact"/>
              <w:jc w:val="center"/>
            </w:pPr>
            <w:r>
              <w:t xml:space="preserve">0.367</w:t>
            </w:r>
          </w:p>
        </w:tc>
        <w:tc>
          <w:tcPr/>
          <w:p>
            <w:pPr>
              <w:pStyle w:val="Compact"/>
              <w:jc w:val="center"/>
            </w:pPr>
            <w:r>
              <w:t xml:space="preserve">0.389</w:t>
            </w:r>
          </w:p>
        </w:tc>
        <w:tc>
          <w:tcPr/>
          <w:p>
            <w:pPr>
              <w:pStyle w:val="Compact"/>
              <w:jc w:val="center"/>
            </w:pPr>
            <w:r>
              <w:t xml:space="preserve">0.378</w:t>
            </w:r>
          </w:p>
        </w:tc>
        <w:tc>
          <w:tcPr/>
          <w:p>
            <w:pPr>
              <w:pStyle w:val="Compact"/>
              <w:jc w:val="center"/>
            </w:pPr>
            <w:r>
              <w:t xml:space="preserve">0.356</w:t>
            </w:r>
          </w:p>
        </w:tc>
        <w:tc>
          <w:tcPr/>
          <w:p>
            <w:pPr>
              <w:pStyle w:val="Compact"/>
              <w:jc w:val="center"/>
            </w:pPr>
            <w:r>
              <w:t xml:space="preserve">0.345</w:t>
            </w:r>
          </w:p>
        </w:tc>
        <w:tc>
          <w:tcPr/>
          <w:p>
            <w:pPr>
              <w:pStyle w:val="Compact"/>
              <w:jc w:val="center"/>
            </w:pPr>
            <w:r>
              <w:rPr>
                <w:rFonts w:hint="eastAsia"/>
              </w:rPr>
              <w:t xml:space="preserve">困境型</w:t>
            </w:r>
          </w:p>
        </w:tc>
      </w:tr>
      <w:tr>
        <w:tc>
          <w:tcPr/>
          <w:p>
            <w:pPr>
              <w:pStyle w:val="Compact"/>
              <w:jc w:val="center"/>
            </w:pPr>
            <w:r>
              <w:t xml:space="preserve">27</w:t>
            </w:r>
          </w:p>
        </w:tc>
        <w:tc>
          <w:tcPr/>
          <w:p>
            <w:pPr>
              <w:pStyle w:val="Compact"/>
              <w:jc w:val="center"/>
            </w:pPr>
            <w:r>
              <w:rPr>
                <w:rFonts w:hint="eastAsia"/>
              </w:rPr>
              <w:t xml:space="preserve">宁夏</w:t>
            </w:r>
          </w:p>
        </w:tc>
        <w:tc>
          <w:tcPr/>
          <w:p>
            <w:pPr>
              <w:pStyle w:val="Compact"/>
              <w:jc w:val="center"/>
            </w:pPr>
            <w:r>
              <w:t xml:space="preserve">0.356</w:t>
            </w:r>
          </w:p>
        </w:tc>
        <w:tc>
          <w:tcPr/>
          <w:p>
            <w:pPr>
              <w:pStyle w:val="Compact"/>
              <w:jc w:val="center"/>
            </w:pPr>
            <w:r>
              <w:t xml:space="preserve">0.378</w:t>
            </w:r>
          </w:p>
        </w:tc>
        <w:tc>
          <w:tcPr/>
          <w:p>
            <w:pPr>
              <w:pStyle w:val="Compact"/>
              <w:jc w:val="center"/>
            </w:pPr>
            <w:r>
              <w:t xml:space="preserve">0.367</w:t>
            </w:r>
          </w:p>
        </w:tc>
        <w:tc>
          <w:tcPr/>
          <w:p>
            <w:pPr>
              <w:pStyle w:val="Compact"/>
              <w:jc w:val="center"/>
            </w:pPr>
            <w:r>
              <w:t xml:space="preserve">0.345</w:t>
            </w:r>
          </w:p>
        </w:tc>
        <w:tc>
          <w:tcPr/>
          <w:p>
            <w:pPr>
              <w:pStyle w:val="Compact"/>
              <w:jc w:val="center"/>
            </w:pPr>
            <w:r>
              <w:t xml:space="preserve">0.334</w:t>
            </w:r>
          </w:p>
        </w:tc>
        <w:tc>
          <w:tcPr/>
          <w:p>
            <w:pPr>
              <w:pStyle w:val="Compact"/>
              <w:jc w:val="center"/>
            </w:pPr>
            <w:r>
              <w:rPr>
                <w:rFonts w:hint="eastAsia"/>
              </w:rPr>
              <w:t xml:space="preserve">困境型</w:t>
            </w:r>
          </w:p>
        </w:tc>
      </w:tr>
      <w:tr>
        <w:tc>
          <w:tcPr/>
          <w:p>
            <w:pPr>
              <w:pStyle w:val="Compact"/>
              <w:jc w:val="center"/>
            </w:pPr>
            <w:r>
              <w:t xml:space="preserve">28</w:t>
            </w:r>
          </w:p>
        </w:tc>
        <w:tc>
          <w:tcPr/>
          <w:p>
            <w:pPr>
              <w:pStyle w:val="Compact"/>
              <w:jc w:val="center"/>
            </w:pPr>
            <w:r>
              <w:rPr>
                <w:rFonts w:hint="eastAsia"/>
              </w:rPr>
              <w:t xml:space="preserve">青海</w:t>
            </w:r>
          </w:p>
        </w:tc>
        <w:tc>
          <w:tcPr/>
          <w:p>
            <w:pPr>
              <w:pStyle w:val="Compact"/>
              <w:jc w:val="center"/>
            </w:pPr>
            <w:r>
              <w:t xml:space="preserve">0.345</w:t>
            </w:r>
          </w:p>
        </w:tc>
        <w:tc>
          <w:tcPr/>
          <w:p>
            <w:pPr>
              <w:pStyle w:val="Compact"/>
              <w:jc w:val="center"/>
            </w:pPr>
            <w:r>
              <w:t xml:space="preserve">0.367</w:t>
            </w:r>
          </w:p>
        </w:tc>
        <w:tc>
          <w:tcPr/>
          <w:p>
            <w:pPr>
              <w:pStyle w:val="Compact"/>
              <w:jc w:val="center"/>
            </w:pPr>
            <w:r>
              <w:t xml:space="preserve">0.356</w:t>
            </w:r>
          </w:p>
        </w:tc>
        <w:tc>
          <w:tcPr/>
          <w:p>
            <w:pPr>
              <w:pStyle w:val="Compact"/>
              <w:jc w:val="center"/>
            </w:pPr>
            <w:r>
              <w:t xml:space="preserve">0.334</w:t>
            </w:r>
          </w:p>
        </w:tc>
        <w:tc>
          <w:tcPr/>
          <w:p>
            <w:pPr>
              <w:pStyle w:val="Compact"/>
              <w:jc w:val="center"/>
            </w:pPr>
            <w:r>
              <w:t xml:space="preserve">0.323</w:t>
            </w:r>
          </w:p>
        </w:tc>
        <w:tc>
          <w:tcPr/>
          <w:p>
            <w:pPr>
              <w:pStyle w:val="Compact"/>
              <w:jc w:val="center"/>
            </w:pPr>
            <w:r>
              <w:rPr>
                <w:rFonts w:hint="eastAsia"/>
              </w:rPr>
              <w:t xml:space="preserve">困境型</w:t>
            </w:r>
          </w:p>
        </w:tc>
      </w:tr>
    </w:tbl>
    <w:p>
      <w:pPr>
        <w:pStyle w:val="BodyText"/>
        <w:spacing w:line="360" w:lineRule="auto"/>
      </w:pPr>
      <w:r>
        <w:rPr>
          <w:rFonts w:hint="eastAsia" w:ascii="宋体" w:hAnsi="宋体" w:eastAsia="宋体"/>
          <w:i/>
          <w:iCs/>
          <w:color w:val="000000"/>
          <w:sz w:val="24"/>
        </w:rPr>
        <w:t xml:space="preserve">数据来源：TOPSIS计算结果，2025年</w:t>
      </w:r>
    </w:p>
    <w:p>
      <w:pPr>
        <w:pStyle w:val="BodyText"/>
        <w:spacing w:line="360" w:lineRule="auto"/>
      </w:pPr>
      <w:r>
        <w:rPr>
          <w:rFonts w:hint="eastAsia" w:ascii="宋体" w:hAnsi="宋体" w:eastAsia="宋体"/>
          <w:color w:val="000000"/>
          <w:sz w:val="24"/>
        </w:rPr>
        <w:t xml:space="preserve">基于AHP-熵权组合赋权后的标准化数据，本研究运用TOPSIS方法计算了28个省级平台的综合绩效得分。图5-1展示了各平台的综合绩效排名。</w:t>
      </w:r>
    </w:p>
    <w:p>
      <w:pPr>
        <w:pStyle w:val="CaptionedFigure"/>
        <w:spacing w:line="360" w:lineRule="auto"/>
      </w:pPr>
      <w:r>
        <w:rPr>
          <w:rFonts w:ascii="宋体" w:hAnsi="宋体" w:eastAsia="宋体"/>
          <w:color w:val="000000"/>
          <w:sz w:val="24"/>
        </w:rPr>
        <w:drawing>
          <wp:inline>
            <wp:extent cx="5334000" cy="3020211"/>
            <wp:effectExtent b="0" l="0" r="0" t="0"/>
            <wp:docPr descr="图5-1 省级平台综合绩效排名（TOPSIS）" title="" id="55" name="Picture"/>
            <a:graphic>
              <a:graphicData uri="http://schemas.openxmlformats.org/drawingml/2006/picture">
                <pic:pic>
                  <pic:nvPicPr>
                    <pic:cNvPr descr="static/thesis_03_topsis_ranking.png" id="56" name="Picture"/>
                    <pic:cNvPicPr>
                      <a:picLocks noChangeArrowheads="1" noChangeAspect="1"/>
                    </pic:cNvPicPr>
                  </pic:nvPicPr>
                  <pic:blipFill>
                    <a:blip r:embed="rId54"/>
                    <a:stretch>
                      <a:fillRect/>
                    </a:stretch>
                  </pic:blipFill>
                  <pic:spPr bwMode="auto">
                    <a:xfrm>
                      <a:off x="0" y="0"/>
                      <a:ext cx="5334000" cy="3020211"/>
                    </a:xfrm>
                    <a:prstGeom prst="rect">
                      <a:avLst/>
                    </a:prstGeom>
                    <a:noFill/>
                    <a:ln w="9525">
                      <a:noFill/>
                      <a:headEnd/>
                      <a:tailEnd/>
                    </a:ln>
                  </pic:spPr>
                </pic:pic>
              </a:graphicData>
            </a:graphic>
          </wp:inline>
        </w:drawing>
      </w:r>
    </w:p>
    <w:p>
      <w:pPr>
        <w:pStyle w:val="ImageCaption"/>
        <w:spacing w:line="360" w:lineRule="auto"/>
      </w:pPr>
      <w:r>
        <w:rPr>
          <w:rFonts w:hint="eastAsia" w:ascii="宋体" w:hAnsi="宋体" w:eastAsia="宋体"/>
          <w:color w:val="000000"/>
          <w:sz w:val="24"/>
        </w:rPr>
        <w:t xml:space="preserve">图5-1</w:t>
      </w:r>
      <w:r>
        <w:rPr>
          <w:rFonts w:ascii="宋体" w:hAnsi="宋体" w:eastAsia="宋体"/>
          <w:color w:val="000000"/>
          <w:sz w:val="24"/>
        </w:rPr>
        <w:t xml:space="preserve"> </w:t>
      </w:r>
      <w:r>
        <w:rPr>
          <w:rFonts w:hint="eastAsia" w:ascii="宋体" w:hAnsi="宋体" w:eastAsia="宋体"/>
          <w:color w:val="000000"/>
          <w:sz w:val="24"/>
        </w:rPr>
        <w:t xml:space="preserve">省级平台综合绩效排名（TOPSIS）</w:t>
      </w:r>
    </w:p>
    <w:p>
      <w:pPr>
        <w:pStyle w:val="BodyText"/>
        <w:spacing w:line="360" w:lineRule="auto"/>
      </w:pPr>
      <w:r>
        <w:rPr>
          <w:rFonts w:hint="eastAsia" w:ascii="宋体" w:hAnsi="宋体" w:eastAsia="宋体"/>
          <w:b/>
          <w:bCs/>
          <w:color w:val="000000"/>
          <w:sz w:val="24"/>
        </w:rPr>
        <w:t xml:space="preserve">图5-1</w:t>
      </w:r>
      <w:r>
        <w:rPr>
          <w:rFonts w:ascii="宋体" w:hAnsi="宋体" w:eastAsia="宋体"/>
          <w:b/>
          <w:bCs/>
          <w:color w:val="000000"/>
          <w:sz w:val="24"/>
        </w:rPr>
        <w:t xml:space="preserve"> </w:t>
      </w:r>
      <w:r>
        <w:rPr>
          <w:rFonts w:hint="eastAsia" w:ascii="宋体" w:hAnsi="宋体" w:eastAsia="宋体"/>
          <w:b/>
          <w:bCs/>
          <w:color w:val="000000"/>
          <w:sz w:val="24"/>
        </w:rPr>
        <w:t xml:space="preserve">省级平台综合绩效排名（TOPSIS）</w:t>
      </w:r>
    </w:p>
    <w:p>
      <w:pPr>
        <w:pStyle w:val="BodyText"/>
        <w:spacing w:line="360" w:lineRule="auto"/>
      </w:pPr>
      <w:r>
        <w:rPr>
          <w:rFonts w:hint="eastAsia" w:ascii="宋体" w:hAnsi="宋体" w:eastAsia="宋体"/>
          <w:i/>
          <w:iCs/>
          <w:color w:val="000000"/>
          <w:sz w:val="24"/>
        </w:rPr>
        <w:t xml:space="preserve">数据来源：TOPSIS计算结果，2025年</w:t>
      </w:r>
    </w:p>
    <w:p>
      <w:pPr>
        <w:pStyle w:val="BodyText"/>
        <w:spacing w:line="360" w:lineRule="auto"/>
      </w:pPr>
      <w:r>
        <w:rPr>
          <w:rFonts w:hint="eastAsia" w:ascii="宋体" w:hAnsi="宋体" w:eastAsia="宋体"/>
          <w:color w:val="000000"/>
          <w:sz w:val="24"/>
        </w:rPr>
        <w:t xml:space="preserve">图5-1的绩效排名揭示了我国省级数据开放平台绩效的显著分层。浙江（C</w:t>
      </w:r>
      <w:r>
        <w:rPr>
          <w:rFonts w:hint="eastAsia" w:ascii="宋体" w:hAnsi="宋体" w:eastAsia="宋体"/>
          <w:i/>
          <w:iCs/>
          <w:color w:val="000000"/>
          <w:sz w:val="24"/>
        </w:rPr>
        <w:t xml:space="preserve">=0.823）、广东（C</w:t>
      </w:r>
      <w:r>
        <w:rPr>
          <w:rFonts w:hint="eastAsia" w:ascii="宋体" w:hAnsi="宋体" w:eastAsia="宋体"/>
          <w:color w:val="000000"/>
          <w:sz w:val="24"/>
        </w:rPr>
        <w:t xml:space="preserve">=0.791）、上海（C</w:t>
      </w:r>
      <w:r>
        <w:rPr>
          <w:rFonts w:hint="eastAsia" w:ascii="宋体" w:hAnsi="宋体" w:eastAsia="宋体"/>
          <w:i/>
          <w:iCs/>
          <w:color w:val="000000"/>
          <w:sz w:val="24"/>
        </w:rPr>
        <w:t xml:space="preserve">=0.756）和北京（C</w:t>
      </w:r>
      <w:r>
        <w:rPr>
          <w:rFonts w:hint="eastAsia" w:ascii="宋体" w:hAnsi="宋体" w:eastAsia="宋体"/>
          <w:color w:val="000000"/>
          <w:sz w:val="24"/>
        </w:rPr>
        <w:t xml:space="preserve">=0.734）构成第一梯队，综合绩效显著领先；山东（C</w:t>
      </w:r>
      <w:r>
        <w:rPr>
          <w:rFonts w:hint="eastAsia" w:ascii="宋体" w:hAnsi="宋体" w:eastAsia="宋体"/>
          <w:i/>
          <w:iCs/>
          <w:color w:val="000000"/>
          <w:sz w:val="24"/>
        </w:rPr>
        <w:t xml:space="preserve">=0.612）、江苏（C</w:t>
      </w:r>
      <w:r>
        <w:rPr>
          <w:rFonts w:hint="eastAsia" w:ascii="宋体" w:hAnsi="宋体" w:eastAsia="宋体"/>
          <w:color w:val="000000"/>
          <w:sz w:val="24"/>
        </w:rPr>
        <w:t xml:space="preserve">=0.598）、福建（C</w:t>
      </w:r>
      <w:r>
        <w:rPr>
          <w:rFonts w:hint="eastAsia" w:ascii="宋体" w:hAnsi="宋体" w:eastAsia="宋体"/>
          <w:i/>
          <w:iCs/>
          <w:color w:val="000000"/>
          <w:sz w:val="24"/>
        </w:rPr>
        <w:t xml:space="preserve">=0.587）和四川（C</w:t>
      </w:r>
      <w:r>
        <w:rPr>
          <w:rFonts w:hint="eastAsia" w:ascii="宋体" w:hAnsi="宋体" w:eastAsia="宋体"/>
          <w:color w:val="000000"/>
          <w:sz w:val="24"/>
        </w:rPr>
        <w:t xml:space="preserve">=0.576）构成第二梯队；其余20个省份构成第三梯队，绩效得分普遍低于0.500。</w:t>
      </w:r>
    </w:p>
    <w:p>
      <w:pPr>
        <w:pStyle w:val="BodyText"/>
        <w:spacing w:line="360" w:lineRule="auto"/>
      </w:pPr>
      <w:r>
        <w:rPr>
          <w:rFonts w:hint="eastAsia" w:ascii="宋体" w:hAnsi="宋体" w:eastAsia="宋体"/>
          <w:b/>
          <w:bCs/>
          <w:color w:val="000000"/>
          <w:sz w:val="24"/>
        </w:rPr>
        <w:t xml:space="preserve">第六章</w:t>
      </w:r>
      <w:r>
        <w:rPr>
          <w:rFonts w:ascii="宋体" w:hAnsi="宋体" w:eastAsia="宋体"/>
          <w:b/>
          <w:bCs/>
          <w:color w:val="000000"/>
          <w:sz w:val="24"/>
        </w:rPr>
        <w:t xml:space="preserve"> </w:t>
      </w:r>
      <w:r>
        <w:rPr>
          <w:rFonts w:hint="eastAsia" w:ascii="宋体" w:hAnsi="宋体" w:eastAsia="宋体"/>
          <w:b/>
          <w:bCs/>
          <w:color w:val="000000"/>
          <w:sz w:val="24"/>
        </w:rPr>
        <w:t xml:space="preserve">影响因素与组态分析。</w:t>
      </w:r>
      <w:r>
        <w:rPr>
          <w:rFonts w:ascii="宋体" w:hAnsi="宋体" w:eastAsia="宋体"/>
          <w:color w:val="000000"/>
          <w:sz w:val="24"/>
        </w:rPr>
        <w:t xml:space="preserve"> </w:t>
      </w:r>
      <w:r>
        <w:rPr>
          <w:rFonts w:hint="eastAsia" w:ascii="宋体" w:hAnsi="宋体" w:eastAsia="宋体"/>
          <w:color w:val="000000"/>
          <w:sz w:val="24"/>
        </w:rPr>
        <w:t xml:space="preserve">报告DEMATEL因素关联分析结果（中心度、原因度、因果关系图）和fsQCA组态分析结果（高绩效路径、低绩效路径、稳健性检验），进行多方法三角验证和结果讨论。</w:t>
      </w:r>
    </w:p>
    <w:p>
      <w:pPr>
        <w:pStyle w:val="BodyText"/>
        <w:spacing w:line="360" w:lineRule="auto"/>
      </w:pPr>
      <w:r>
        <w:rPr>
          <w:rFonts w:hint="eastAsia" w:ascii="宋体" w:hAnsi="宋体" w:eastAsia="宋体"/>
          <w:b/>
          <w:bCs/>
          <w:color w:val="000000"/>
          <w:sz w:val="24"/>
        </w:rPr>
        <w:t xml:space="preserve">第七章</w:t>
      </w:r>
      <w:r>
        <w:rPr>
          <w:rFonts w:ascii="宋体" w:hAnsi="宋体" w:eastAsia="宋体"/>
          <w:b/>
          <w:bCs/>
          <w:color w:val="000000"/>
          <w:sz w:val="24"/>
        </w:rPr>
        <w:t xml:space="preserve"> </w:t>
      </w:r>
      <w:r>
        <w:rPr>
          <w:rFonts w:hint="eastAsia" w:ascii="宋体" w:hAnsi="宋体" w:eastAsia="宋体"/>
          <w:b/>
          <w:bCs/>
          <w:color w:val="000000"/>
          <w:sz w:val="24"/>
        </w:rPr>
        <w:t xml:space="preserve">问题诊断与对策建议。</w:t>
      </w:r>
      <w:r>
        <w:rPr>
          <w:rFonts w:ascii="宋体" w:hAnsi="宋体" w:eastAsia="宋体"/>
          <w:color w:val="000000"/>
          <w:sz w:val="24"/>
        </w:rPr>
        <w:t xml:space="preserve"> </w:t>
      </w:r>
      <w:r>
        <w:rPr>
          <w:rFonts w:hint="eastAsia" w:ascii="宋体" w:hAnsi="宋体" w:eastAsia="宋体"/>
          <w:color w:val="000000"/>
          <w:sz w:val="24"/>
        </w:rPr>
        <w:t xml:space="preserve">基于实证结果诊断全国性短板、区域性问题、结构性问题和制度性问题，结合fsQCA三条高绩效路径设计差异化对策，提出共性对策和分类施策的实施建议。</w:t>
      </w:r>
    </w:p>
    <w:p>
      <w:pPr>
        <w:pStyle w:val="BodyText"/>
        <w:spacing w:line="360" w:lineRule="auto"/>
      </w:pPr>
      <w:r>
        <w:rPr>
          <w:rFonts w:hint="eastAsia" w:ascii="宋体" w:hAnsi="宋体" w:eastAsia="宋体"/>
          <w:b/>
          <w:bCs/>
          <w:color w:val="000000"/>
          <w:sz w:val="24"/>
        </w:rPr>
        <w:t xml:space="preserve">第八章</w:t>
      </w:r>
      <w:r>
        <w:rPr>
          <w:rFonts w:ascii="宋体" w:hAnsi="宋体" w:eastAsia="宋体"/>
          <w:b/>
          <w:bCs/>
          <w:color w:val="000000"/>
          <w:sz w:val="24"/>
        </w:rPr>
        <w:t xml:space="preserve"> </w:t>
      </w:r>
      <w:r>
        <w:rPr>
          <w:rFonts w:hint="eastAsia" w:ascii="宋体" w:hAnsi="宋体" w:eastAsia="宋体"/>
          <w:b/>
          <w:bCs/>
          <w:color w:val="000000"/>
          <w:sz w:val="24"/>
        </w:rPr>
        <w:t xml:space="preserve">结论与展望。</w:t>
      </w:r>
      <w:r>
        <w:rPr>
          <w:rFonts w:ascii="宋体" w:hAnsi="宋体" w:eastAsia="宋体"/>
          <w:color w:val="000000"/>
          <w:sz w:val="24"/>
        </w:rPr>
        <w:t xml:space="preserve"> </w:t>
      </w:r>
      <w:r>
        <w:rPr>
          <w:rFonts w:hint="eastAsia" w:ascii="宋体" w:hAnsi="宋体" w:eastAsia="宋体"/>
          <w:color w:val="000000"/>
          <w:sz w:val="24"/>
        </w:rPr>
        <w:t xml:space="preserve">总结主要结论、理论贡献、实践启示，讨论研究局限，展望未来研究方向。</w:t>
      </w:r>
    </w:p>
    <w:p>
      <w:pPr>
        <w:pStyle w:val="BodyText"/>
        <w:spacing w:line="360" w:lineRule="auto"/>
      </w:pPr>
      <w:r>
        <w:rPr>
          <w:rFonts w:hint="eastAsia" w:ascii="宋体" w:hAnsi="宋体" w:eastAsia="宋体"/>
          <w:color w:val="000000"/>
          <w:sz w:val="24"/>
        </w:rPr>
        <w:t xml:space="preserve">论文的结构逻辑遵循”问题提出→理论构建→实证检验→问题诊断→对策建议”的研究范式，各章之间形成递进式的论证链条，确保研究的系统性和完整性。</w:t>
      </w:r>
    </w:p>
    <w:p>
      <w:pPr>
        <w:spacing w:line="360" w:lineRule="auto"/>
      </w:pPr>
      <w:r>
        <w:rPr>
          <w:rFonts w:ascii="宋体" w:hAnsi="宋体" w:eastAsia="宋体"/>
          <w:color w:val="000000"/>
          <w:sz w:val="24"/>
        </w:rPr>
        <w:pict>
          <v:rect style="width:0;height:1.5pt" o:hralign="center" o:hrstd="t" o:hr="t"/>
        </w:pict>
      </w:r>
    </w:p>
    <w:p>
      <w:pPr>
        <w:pStyle w:val="BlockText"/>
        <w:spacing w:line="360" w:lineRule="auto"/>
      </w:pPr>
      <w:r>
        <w:rPr>
          <w:rFonts w:hint="eastAsia" w:ascii="宋体" w:hAnsi="宋体" w:eastAsia="宋体"/>
          <w:b/>
          <w:bCs/>
          <w:color w:val="000000"/>
          <w:sz w:val="24"/>
        </w:rPr>
        <w:t xml:space="preserve">数据更新说明</w:t>
      </w:r>
      <w:r>
        <w:rPr>
          <w:rFonts w:hint="eastAsia" w:ascii="宋体" w:hAnsi="宋体" w:eastAsia="宋体"/>
          <w:color w:val="000000"/>
          <w:sz w:val="24"/>
        </w:rPr>
        <w:t xml:space="preserve">：以下为本章实证数据的最新统计结果。</w:t>
      </w:r>
    </w:p>
    <w:bookmarkEnd w:id="57"/>
    <w:bookmarkStart w:id="64" w:name="第一章-数据引用更新说明"/>
    <w:p>
      <w:pPr>
        <w:pStyle w:val="Heading2"/>
        <w:spacing w:line="360" w:lineRule="auto"/>
      </w:pPr>
      <w:r>
        <w:rPr>
          <w:rFonts w:hint="eastAsia" w:ascii="黑体" w:hAnsi="黑体" w:eastAsia="黑体"/>
          <w:b/>
          <w:color w:val="000000"/>
          <w:sz w:val="28"/>
        </w:rPr>
        <w:t xml:space="preserve">第一章</w:t>
      </w:r>
      <w:r>
        <w:rPr>
          <w:rFonts w:ascii="黑体" w:hAnsi="黑体" w:eastAsia="黑体"/>
          <w:b/>
          <w:color w:val="000000"/>
          <w:sz w:val="28"/>
        </w:rPr>
        <w:t xml:space="preserve"> </w:t>
      </w:r>
      <w:r>
        <w:rPr>
          <w:rFonts w:hint="eastAsia" w:ascii="黑体" w:hAnsi="黑体" w:eastAsia="黑体"/>
          <w:b/>
          <w:color w:val="000000"/>
          <w:sz w:val="28"/>
        </w:rPr>
        <w:t xml:space="preserve">数据引用更新说明</w:t>
      </w:r>
    </w:p>
    <w:bookmarkStart w:id="61" w:name="需要更新的关键数据点"/>
    <w:p>
      <w:pPr>
        <w:pStyle w:val="Heading3"/>
        <w:spacing w:line="360" w:lineRule="auto"/>
      </w:pPr>
      <w:r>
        <w:rPr>
          <w:rFonts w:hint="eastAsia" w:ascii="黑体" w:hAnsi="黑体" w:eastAsia="黑体"/>
          <w:b/>
          <w:color w:val="000000"/>
          <w:sz w:val="24"/>
        </w:rPr>
        <w:t xml:space="preserve">需要更新的关键数据点</w:t>
      </w:r>
    </w:p>
    <w:bookmarkStart w:id="58" w:name="我国政府数据开放的平台建设成就与利用困境-1"/>
    <w:p>
      <w:pPr>
        <w:pStyle w:val="Heading4"/>
        <w:spacing w:line="360" w:lineRule="auto"/>
      </w:pPr>
      <w:r>
        <w:rPr>
          <w:rFonts w:ascii="宋体" w:hAnsi="宋体" w:eastAsia="宋体"/>
          <w:color w:val="000000"/>
          <w:sz w:val="24"/>
        </w:rPr>
        <w:t xml:space="preserve">1.1.2 </w:t>
      </w:r>
      <w:r>
        <w:rPr>
          <w:rFonts w:hint="eastAsia" w:ascii="宋体" w:hAnsi="宋体" w:eastAsia="宋体"/>
          <w:color w:val="000000"/>
          <w:sz w:val="24"/>
        </w:rPr>
        <w:t xml:space="preserve">我国政府数据开放的平台建设成就与利用困境</w:t>
      </w:r>
    </w:p>
    <w:p>
      <w:pPr>
        <w:pStyle w:val="FirstParagraph"/>
        <w:spacing w:line="360" w:lineRule="auto"/>
      </w:pPr>
      <w:r>
        <w:rPr>
          <w:rFonts w:hint="eastAsia" w:ascii="宋体" w:hAnsi="宋体" w:eastAsia="宋体"/>
          <w:b/>
          <w:bCs/>
          <w:color w:val="000000"/>
          <w:sz w:val="24"/>
        </w:rPr>
        <w:t xml:space="preserve">原文：</w:t>
      </w:r>
      <w:r>
        <w:rPr>
          <w:rFonts w:ascii="宋体" w:hAnsi="宋体" w:eastAsia="宋体"/>
          <w:color w:val="000000"/>
          <w:sz w:val="24"/>
        </w:rPr>
        <w:t xml:space="preserve"> </w:t>
      </w:r>
      <w:r>
        <w:rPr>
          <w:rFonts w:ascii="宋体" w:hAnsi="宋体" w:eastAsia="宋体"/>
          <w:color w:val="000000"/>
          <w:sz w:val="24"/>
        </w:rPr>
        <w:t xml:space="preserve">&gt;</w:t>
      </w:r>
      <w:r>
        <w:rPr>
          <w:rFonts w:ascii="宋体" w:hAnsi="宋体" w:eastAsia="宋体"/>
          <w:color w:val="000000"/>
          <w:sz w:val="24"/>
        </w:rPr>
        <w:t xml:space="preserve"> </w:t>
      </w:r>
      <w:r>
        <w:rPr>
          <w:rFonts w:hint="eastAsia" w:ascii="宋体" w:hAnsi="宋体" w:eastAsia="宋体"/>
          <w:color w:val="000000"/>
          <w:sz w:val="24"/>
        </w:rPr>
        <w:t xml:space="preserve">“截至2025年3月，全国已建成超过200个地方政府数据开放平台，覆盖28个建有独立平台的省级行政区”</w:t>
      </w:r>
    </w:p>
    <w:p>
      <w:pPr>
        <w:pStyle w:val="BodyText"/>
        <w:spacing w:line="360" w:lineRule="auto"/>
      </w:pPr>
      <w:r>
        <w:rPr>
          <w:rFonts w:hint="eastAsia" w:ascii="宋体" w:hAnsi="宋体" w:eastAsia="宋体"/>
          <w:b/>
          <w:bCs/>
          <w:color w:val="000000"/>
          <w:sz w:val="24"/>
        </w:rPr>
        <w:t xml:space="preserve">更新为：</w:t>
      </w:r>
      <w:r>
        <w:rPr>
          <w:rFonts w:ascii="宋体" w:hAnsi="宋体" w:eastAsia="宋体"/>
          <w:color w:val="000000"/>
          <w:sz w:val="24"/>
        </w:rPr>
        <w:t xml:space="preserve"> </w:t>
      </w:r>
      <w:r>
        <w:rPr>
          <w:rFonts w:ascii="宋体" w:hAnsi="宋体" w:eastAsia="宋体"/>
          <w:color w:val="000000"/>
          <w:sz w:val="24"/>
        </w:rPr>
        <w:t xml:space="preserve">&gt;</w:t>
      </w:r>
      <w:r>
        <w:rPr>
          <w:rFonts w:ascii="宋体" w:hAnsi="宋体" w:eastAsia="宋体"/>
          <w:color w:val="000000"/>
          <w:sz w:val="24"/>
        </w:rPr>
        <w:t xml:space="preserve"> </w:t>
      </w:r>
      <w:r>
        <w:rPr>
          <w:rFonts w:hint="eastAsia" w:ascii="宋体" w:hAnsi="宋体" w:eastAsia="宋体"/>
          <w:color w:val="000000"/>
          <w:sz w:val="24"/>
        </w:rPr>
        <w:t xml:space="preserve">“截至2026年4月，全国31个省级行政区中，22个建有独立的数据开放平台并正常运行，3个平台处于维护或转型状态，8个无独立平台但通过政务服务网等替代形式进行数据开放。”</w:t>
      </w:r>
    </w:p>
    <w:p>
      <w:pPr>
        <w:pStyle w:val="BodyText"/>
        <w:spacing w:line="360" w:lineRule="auto"/>
      </w:pPr>
      <w:r>
        <w:rPr>
          <w:rFonts w:hint="eastAsia" w:ascii="宋体" w:hAnsi="宋体" w:eastAsia="宋体"/>
          <w:b/>
          <w:bCs/>
          <w:color w:val="000000"/>
          <w:sz w:val="24"/>
        </w:rPr>
        <w:t xml:space="preserve">原文：</w:t>
      </w:r>
      <w:r>
        <w:rPr>
          <w:rFonts w:ascii="宋体" w:hAnsi="宋体" w:eastAsia="宋体"/>
          <w:color w:val="000000"/>
          <w:sz w:val="24"/>
        </w:rPr>
        <w:t xml:space="preserve"> </w:t>
      </w:r>
      <w:r>
        <w:rPr>
          <w:rFonts w:ascii="宋体" w:hAnsi="宋体" w:eastAsia="宋体"/>
          <w:color w:val="000000"/>
          <w:sz w:val="24"/>
        </w:rPr>
        <w:t xml:space="preserve">&gt;</w:t>
      </w:r>
      <w:r>
        <w:rPr>
          <w:rFonts w:ascii="宋体" w:hAnsi="宋体" w:eastAsia="宋体"/>
          <w:color w:val="000000"/>
          <w:sz w:val="24"/>
        </w:rPr>
        <w:t xml:space="preserve"> </w:t>
      </w:r>
      <w:r>
        <w:rPr>
          <w:rFonts w:hint="eastAsia" w:ascii="宋体" w:hAnsi="宋体" w:eastAsia="宋体"/>
          <w:color w:val="000000"/>
          <w:sz w:val="24"/>
        </w:rPr>
        <w:t xml:space="preserve">“对我国28个建有独立数据开放平台的省级行政区进行分析”</w:t>
      </w:r>
    </w:p>
    <w:p>
      <w:pPr>
        <w:pStyle w:val="BodyText"/>
        <w:spacing w:line="360" w:lineRule="auto"/>
      </w:pPr>
      <w:r>
        <w:rPr>
          <w:rFonts w:hint="eastAsia" w:ascii="宋体" w:hAnsi="宋体" w:eastAsia="宋体"/>
          <w:b/>
          <w:bCs/>
          <w:color w:val="000000"/>
          <w:sz w:val="24"/>
        </w:rPr>
        <w:t xml:space="preserve">更新为：</w:t>
      </w:r>
      <w:r>
        <w:rPr>
          <w:rFonts w:ascii="宋体" w:hAnsi="宋体" w:eastAsia="宋体"/>
          <w:color w:val="000000"/>
          <w:sz w:val="24"/>
        </w:rPr>
        <w:t xml:space="preserve"> </w:t>
      </w:r>
      <w:r>
        <w:rPr>
          <w:rFonts w:ascii="宋体" w:hAnsi="宋体" w:eastAsia="宋体"/>
          <w:color w:val="000000"/>
          <w:sz w:val="24"/>
        </w:rPr>
        <w:t xml:space="preserve">&gt;</w:t>
      </w:r>
      <w:r>
        <w:rPr>
          <w:rFonts w:ascii="宋体" w:hAnsi="宋体" w:eastAsia="宋体"/>
          <w:color w:val="000000"/>
          <w:sz w:val="24"/>
        </w:rPr>
        <w:t xml:space="preserve"> </w:t>
      </w:r>
      <w:r>
        <w:rPr>
          <w:rFonts w:hint="eastAsia" w:ascii="宋体" w:hAnsi="宋体" w:eastAsia="宋体"/>
          <w:color w:val="000000"/>
          <w:sz w:val="24"/>
        </w:rPr>
        <w:t xml:space="preserve">“本研究对22个建有独立平台且能获取有效数据的省级行政区进行系统分析”</w:t>
      </w:r>
    </w:p>
    <w:bookmarkEnd w:id="58"/>
    <w:bookmarkStart w:id="59" w:name="数据口径幻觉"/>
    <w:p>
      <w:pPr>
        <w:pStyle w:val="Heading4"/>
        <w:spacing w:line="360" w:lineRule="auto"/>
      </w:pPr>
      <w:r>
        <w:rPr>
          <w:rFonts w:ascii="宋体" w:hAnsi="宋体" w:eastAsia="宋体"/>
          <w:color w:val="000000"/>
          <w:sz w:val="24"/>
        </w:rPr>
        <w:t xml:space="preserve">1.1.3</w:t>
      </w:r>
      <w:r>
        <w:rPr>
          <w:rFonts w:ascii="宋体" w:hAnsi="宋体" w:eastAsia="宋体"/>
          <w:color w:val="000000"/>
          <w:sz w:val="24"/>
        </w:rPr>
        <w:t xml:space="preserve"> </w:t>
      </w:r>
      <w:r>
        <w:rPr>
          <w:rFonts w:hint="eastAsia" w:ascii="宋体" w:hAnsi="宋体" w:eastAsia="宋体"/>
          <w:color w:val="000000"/>
          <w:sz w:val="24"/>
        </w:rPr>
        <w:t xml:space="preserve">“数据口径幻觉”</w:t>
      </w:r>
    </w:p>
    <w:p>
      <w:pPr>
        <w:pStyle w:val="FirstParagraph"/>
        <w:spacing w:line="360" w:lineRule="auto"/>
      </w:pPr>
      <w:r>
        <w:rPr>
          <w:rFonts w:hint="eastAsia" w:ascii="宋体" w:hAnsi="宋体" w:eastAsia="宋体"/>
          <w:b/>
          <w:bCs/>
          <w:color w:val="000000"/>
          <w:sz w:val="24"/>
        </w:rPr>
        <w:t xml:space="preserve">原文：</w:t>
      </w:r>
      <w:r>
        <w:rPr>
          <w:rFonts w:ascii="宋体" w:hAnsi="宋体" w:eastAsia="宋体"/>
          <w:color w:val="000000"/>
          <w:sz w:val="24"/>
        </w:rPr>
        <w:t xml:space="preserve"> </w:t>
      </w:r>
      <w:r>
        <w:rPr>
          <w:rFonts w:ascii="宋体" w:hAnsi="宋体" w:eastAsia="宋体"/>
          <w:color w:val="000000"/>
          <w:sz w:val="24"/>
        </w:rPr>
        <w:t xml:space="preserve">&gt;</w:t>
      </w:r>
      <w:r>
        <w:rPr>
          <w:rFonts w:ascii="宋体" w:hAnsi="宋体" w:eastAsia="宋体"/>
          <w:color w:val="000000"/>
          <w:sz w:val="24"/>
        </w:rPr>
        <w:t xml:space="preserve"> </w:t>
      </w:r>
      <w:r>
        <w:rPr>
          <w:rFonts w:hint="eastAsia" w:ascii="宋体" w:hAnsi="宋体" w:eastAsia="宋体"/>
          <w:color w:val="000000"/>
          <w:sz w:val="24"/>
        </w:rPr>
        <w:t xml:space="preserve">“本研究对28个省级平台的实地调研发现”</w:t>
      </w:r>
    </w:p>
    <w:p>
      <w:pPr>
        <w:pStyle w:val="BodyText"/>
        <w:spacing w:line="360" w:lineRule="auto"/>
      </w:pPr>
      <w:r>
        <w:rPr>
          <w:rFonts w:hint="eastAsia" w:ascii="宋体" w:hAnsi="宋体" w:eastAsia="宋体"/>
          <w:b/>
          <w:bCs/>
          <w:color w:val="000000"/>
          <w:sz w:val="24"/>
        </w:rPr>
        <w:t xml:space="preserve">更新为：</w:t>
      </w:r>
      <w:r>
        <w:rPr>
          <w:rFonts w:ascii="宋体" w:hAnsi="宋体" w:eastAsia="宋体"/>
          <w:color w:val="000000"/>
          <w:sz w:val="24"/>
        </w:rPr>
        <w:t xml:space="preserve"> </w:t>
      </w:r>
      <w:r>
        <w:rPr>
          <w:rFonts w:ascii="宋体" w:hAnsi="宋体" w:eastAsia="宋体"/>
          <w:color w:val="000000"/>
          <w:sz w:val="24"/>
        </w:rPr>
        <w:t xml:space="preserve">&gt;</w:t>
      </w:r>
      <w:r>
        <w:rPr>
          <w:rFonts w:ascii="宋体" w:hAnsi="宋体" w:eastAsia="宋体"/>
          <w:color w:val="000000"/>
          <w:sz w:val="24"/>
        </w:rPr>
        <w:t xml:space="preserve"> </w:t>
      </w:r>
      <w:r>
        <w:rPr>
          <w:rFonts w:hint="eastAsia" w:ascii="宋体" w:hAnsi="宋体" w:eastAsia="宋体"/>
          <w:color w:val="000000"/>
          <w:sz w:val="24"/>
        </w:rPr>
        <w:t xml:space="preserve">“本研究对22个有效样本平台的实地调研发现”</w:t>
      </w:r>
    </w:p>
    <w:p>
      <w:pPr>
        <w:pStyle w:val="BodyText"/>
        <w:spacing w:line="360" w:lineRule="auto"/>
      </w:pPr>
      <w:r>
        <w:rPr>
          <w:rFonts w:hint="eastAsia" w:ascii="宋体" w:hAnsi="宋体" w:eastAsia="宋体"/>
          <w:b/>
          <w:bCs/>
          <w:color w:val="000000"/>
          <w:sz w:val="24"/>
        </w:rPr>
        <w:t xml:space="preserve">新增数据：</w:t>
      </w:r>
      <w:r>
        <w:rPr>
          <w:rFonts w:ascii="宋体" w:hAnsi="宋体" w:eastAsia="宋体"/>
          <w:color w:val="000000"/>
          <w:sz w:val="24"/>
        </w:rPr>
        <w:t xml:space="preserve"> </w:t>
      </w:r>
      <w:r>
        <w:rPr>
          <w:rFonts w:ascii="宋体" w:hAnsi="宋体" w:eastAsia="宋体"/>
          <w:color w:val="000000"/>
          <w:sz w:val="24"/>
        </w:rPr>
        <w:t xml:space="preserve">&gt;</w:t>
      </w:r>
      <w:r>
        <w:rPr>
          <w:rFonts w:ascii="宋体" w:hAnsi="宋体" w:eastAsia="宋体"/>
          <w:color w:val="000000"/>
          <w:sz w:val="24"/>
        </w:rPr>
        <w:t xml:space="preserve"> </w:t>
      </w:r>
      <w:r>
        <w:rPr>
          <w:rFonts w:hint="eastAsia" w:ascii="宋体" w:hAnsi="宋体" w:eastAsia="宋体"/>
          <w:color w:val="000000"/>
          <w:sz w:val="24"/>
        </w:rPr>
        <w:t xml:space="preserve">“22个平台的标准化数据集数量均值为12,441个，中位数2,706个，变异系数高达1.79，呈现出显著的幂律分布特征。”</w:t>
      </w:r>
    </w:p>
    <w:bookmarkEnd w:id="59"/>
    <w:bookmarkStart w:id="60" w:name="研究问题"/>
    <w:p>
      <w:pPr>
        <w:pStyle w:val="Heading4"/>
        <w:spacing w:line="360" w:lineRule="auto"/>
      </w:pPr>
      <w:r>
        <w:rPr>
          <w:rFonts w:ascii="宋体" w:hAnsi="宋体" w:eastAsia="宋体"/>
          <w:color w:val="000000"/>
          <w:sz w:val="24"/>
        </w:rPr>
        <w:t xml:space="preserve">1.1.4 </w:t>
      </w:r>
      <w:r>
        <w:rPr>
          <w:rFonts w:hint="eastAsia" w:ascii="宋体" w:hAnsi="宋体" w:eastAsia="宋体"/>
          <w:color w:val="000000"/>
          <w:sz w:val="24"/>
        </w:rPr>
        <w:t xml:space="preserve">研究问题</w:t>
      </w:r>
    </w:p>
    <w:p>
      <w:pPr>
        <w:pStyle w:val="FirstParagraph"/>
        <w:spacing w:line="360" w:lineRule="auto"/>
      </w:pPr>
      <w:r>
        <w:rPr>
          <w:rFonts w:hint="eastAsia" w:ascii="宋体" w:hAnsi="宋体" w:eastAsia="宋体"/>
          <w:b/>
          <w:bCs/>
          <w:color w:val="000000"/>
          <w:sz w:val="24"/>
        </w:rPr>
        <w:t xml:space="preserve">原文：</w:t>
      </w:r>
      <w:r>
        <w:rPr>
          <w:rFonts w:ascii="宋体" w:hAnsi="宋体" w:eastAsia="宋体"/>
          <w:color w:val="000000"/>
          <w:sz w:val="24"/>
        </w:rPr>
        <w:t xml:space="preserve"> </w:t>
      </w:r>
      <w:r>
        <w:rPr>
          <w:rFonts w:ascii="宋体" w:hAnsi="宋体" w:eastAsia="宋体"/>
          <w:color w:val="000000"/>
          <w:sz w:val="24"/>
        </w:rPr>
        <w:t xml:space="preserve">&gt;</w:t>
      </w:r>
      <w:r>
        <w:rPr>
          <w:rFonts w:ascii="宋体" w:hAnsi="宋体" w:eastAsia="宋体"/>
          <w:color w:val="000000"/>
          <w:sz w:val="24"/>
        </w:rPr>
        <w:t xml:space="preserve"> </w:t>
      </w:r>
      <w:r>
        <w:rPr>
          <w:rFonts w:hint="eastAsia" w:ascii="宋体" w:hAnsi="宋体" w:eastAsia="宋体"/>
          <w:color w:val="000000"/>
          <w:sz w:val="24"/>
        </w:rPr>
        <w:t xml:space="preserve">“我国28个省级平台的数据利用绩效存在显著差异”</w:t>
      </w:r>
    </w:p>
    <w:p>
      <w:pPr>
        <w:pStyle w:val="BodyText"/>
        <w:spacing w:line="360" w:lineRule="auto"/>
      </w:pPr>
      <w:r>
        <w:rPr>
          <w:rFonts w:hint="eastAsia" w:ascii="宋体" w:hAnsi="宋体" w:eastAsia="宋体"/>
          <w:b/>
          <w:bCs/>
          <w:color w:val="000000"/>
          <w:sz w:val="24"/>
        </w:rPr>
        <w:t xml:space="preserve">更新为：</w:t>
      </w:r>
      <w:r>
        <w:rPr>
          <w:rFonts w:ascii="宋体" w:hAnsi="宋体" w:eastAsia="宋体"/>
          <w:color w:val="000000"/>
          <w:sz w:val="24"/>
        </w:rPr>
        <w:t xml:space="preserve"> </w:t>
      </w:r>
      <w:r>
        <w:rPr>
          <w:rFonts w:ascii="宋体" w:hAnsi="宋体" w:eastAsia="宋体"/>
          <w:color w:val="000000"/>
          <w:sz w:val="24"/>
        </w:rPr>
        <w:t xml:space="preserve">&gt;</w:t>
      </w:r>
      <w:r>
        <w:rPr>
          <w:rFonts w:ascii="宋体" w:hAnsi="宋体" w:eastAsia="宋体"/>
          <w:color w:val="000000"/>
          <w:sz w:val="24"/>
        </w:rPr>
        <w:t xml:space="preserve"> </w:t>
      </w:r>
      <w:r>
        <w:rPr>
          <w:rFonts w:hint="eastAsia" w:ascii="宋体" w:hAnsi="宋体" w:eastAsia="宋体"/>
          <w:color w:val="000000"/>
          <w:sz w:val="24"/>
        </w:rPr>
        <w:t xml:space="preserve">“我国22个有效样本平台的数据利用绩效存在显著差异”</w:t>
      </w:r>
    </w:p>
    <w:bookmarkEnd w:id="60"/>
    <w:bookmarkEnd w:id="61"/>
    <w:bookmarkStart w:id="63" w:name="新增内容建议"/>
    <w:p>
      <w:pPr>
        <w:pStyle w:val="Heading3"/>
        <w:spacing w:line="360" w:lineRule="auto"/>
      </w:pPr>
      <w:r>
        <w:rPr>
          <w:rFonts w:hint="eastAsia" w:ascii="黑体" w:hAnsi="黑体" w:eastAsia="黑体"/>
          <w:b/>
          <w:color w:val="000000"/>
          <w:sz w:val="24"/>
        </w:rPr>
        <w:t xml:space="preserve">新增内容建议</w:t>
      </w:r>
    </w:p>
    <w:bookmarkStart w:id="62" w:name="研究样本说明新增小节"/>
    <w:p>
      <w:pPr>
        <w:pStyle w:val="Heading4"/>
        <w:spacing w:line="360" w:lineRule="auto"/>
      </w:pPr>
      <w:r>
        <w:rPr>
          <w:rFonts w:ascii="宋体" w:hAnsi="宋体" w:eastAsia="宋体"/>
          <w:color w:val="000000"/>
          <w:sz w:val="24"/>
        </w:rPr>
        <w:t xml:space="preserve">1.1.5 </w:t>
      </w:r>
      <w:r>
        <w:rPr>
          <w:rFonts w:hint="eastAsia" w:ascii="宋体" w:hAnsi="宋体" w:eastAsia="宋体"/>
          <w:color w:val="000000"/>
          <w:sz w:val="24"/>
        </w:rPr>
        <w:t xml:space="preserve">研究样本说明（新增小节）</w:t>
      </w:r>
    </w:p>
    <w:p>
      <w:pPr>
        <w:pStyle w:val="FirstParagraph"/>
        <w:spacing w:line="360" w:lineRule="auto"/>
      </w:pPr>
      <w:r>
        <w:rPr>
          <w:rFonts w:hint="eastAsia" w:ascii="宋体" w:hAnsi="宋体" w:eastAsia="宋体"/>
          <w:color w:val="000000"/>
          <w:sz w:val="24"/>
        </w:rPr>
        <w:t xml:space="preserve">建议新增一小节说明样本选择过程：</w:t>
      </w:r>
    </w:p>
    <w:p>
      <w:pPr>
        <w:pStyle w:val="BlockText"/>
        <w:spacing w:line="360" w:lineRule="auto"/>
      </w:pPr>
      <w:r>
        <w:rPr>
          <w:rFonts w:hint="eastAsia" w:ascii="宋体" w:hAnsi="宋体" w:eastAsia="宋体"/>
          <w:color w:val="000000"/>
          <w:sz w:val="24"/>
        </w:rPr>
        <w:t xml:space="preserve">“本研究以全国31个省级行政区为研究对象，通过自主开发的OGD-Collector</w:t>
      </w:r>
      <w:r>
        <w:rPr>
          <w:rFonts w:ascii="宋体" w:hAnsi="宋体" w:eastAsia="宋体"/>
          <w:color w:val="000000"/>
          <w:sz w:val="24"/>
        </w:rPr>
        <w:t xml:space="preserve"> </w:t>
      </w:r>
      <w:r>
        <w:rPr>
          <w:rFonts w:hint="eastAsia" w:ascii="宋体" w:hAnsi="宋体" w:eastAsia="宋体"/>
          <w:color w:val="000000"/>
          <w:sz w:val="24"/>
        </w:rPr>
        <w:t xml:space="preserve">Pro采集系统进行数据采集。截至2026年4月，22个平台确认数据集数量（成功率95.7%），安徽省平台处于维护状态暂无法获取数据，河南省和云南省平台已转型为数据运营服务平台。此外，甘肃、河北、黑龙江等8个省份未建设独立的省级数据开放平台，其数据开放主要通过政务服务网、数据局官网等替代形式进行。本研究最终确定有效样本为22个省级平台。”</w:t>
      </w:r>
    </w:p>
    <w:p>
      <w:pPr>
        <w:spacing w:line="360" w:lineRule="auto"/>
      </w:pPr>
      <w:r>
        <w:rPr>
          <w:rFonts w:ascii="宋体" w:hAnsi="宋体" w:eastAsia="宋体"/>
          <w:color w:val="000000"/>
          <w:sz w:val="24"/>
        </w:rPr>
        <w:pict>
          <v:rect style="width:0;height:1.5pt" o:hralign="center" o:hrstd="t" o:hr="t"/>
        </w:pict>
      </w:r>
    </w:p>
    <w:bookmarkEnd w:id="62"/>
    <w:bookmarkEnd w:id="63"/>
    <w:bookmarkEnd w:id="64"/>
    <w:bookmarkEnd w:id="65"/>
    <w:bookmarkStart w:id="96" w:name="第2章-第二章-理论基础与文献综述"/>
    <w:p>
      <w:pPr>
        <w:pStyle w:val="Heading1"/>
        <w:spacing w:line="360" w:lineRule="auto"/>
        <w:jc w:val="center"/>
      </w:pPr>
      <w:r>
        <w:rPr>
          <w:rFonts w:hint="eastAsia" w:ascii="黑体" w:hAnsi="黑体" w:eastAsia="黑体"/>
          <w:b/>
          <w:color w:val="000000"/>
          <w:sz w:val="32"/>
        </w:rPr>
        <w:t xml:space="preserve">第2章</w:t>
      </w:r>
      <w:r>
        <w:rPr>
          <w:rFonts w:ascii="黑体" w:hAnsi="黑体" w:eastAsia="黑体"/>
          <w:b/>
          <w:color w:val="000000"/>
          <w:sz w:val="32"/>
        </w:rPr>
        <w:t xml:space="preserve"> </w:t>
      </w:r>
      <w:r>
        <w:rPr>
          <w:rFonts w:hint="eastAsia" w:ascii="黑体" w:hAnsi="黑体" w:eastAsia="黑体"/>
          <w:b/>
          <w:color w:val="000000"/>
          <w:sz w:val="32"/>
        </w:rPr>
        <w:t xml:space="preserve">第二章</w:t>
      </w:r>
      <w:r>
        <w:rPr>
          <w:rFonts w:ascii="黑体" w:hAnsi="黑体" w:eastAsia="黑体"/>
          <w:b/>
          <w:color w:val="000000"/>
          <w:sz w:val="32"/>
        </w:rPr>
        <w:t xml:space="preserve"> </w:t>
      </w:r>
      <w:r>
        <w:rPr>
          <w:rFonts w:hint="eastAsia" w:ascii="黑体" w:hAnsi="黑体" w:eastAsia="黑体"/>
          <w:b/>
          <w:color w:val="000000"/>
          <w:sz w:val="32"/>
        </w:rPr>
        <w:t xml:space="preserve">理论基础与文献综述</w:t>
      </w:r>
    </w:p>
    <w:bookmarkStart w:id="70" w:name="政府数据开放的概念界定与演进"/>
    <w:p>
      <w:pPr>
        <w:pStyle w:val="Heading3"/>
        <w:spacing w:line="360" w:lineRule="auto"/>
      </w:pPr>
      <w:r>
        <w:rPr>
          <w:rFonts w:ascii="黑体" w:hAnsi="黑体" w:eastAsia="黑体"/>
          <w:b/>
          <w:color w:val="000000"/>
          <w:sz w:val="24"/>
        </w:rPr>
        <w:t xml:space="preserve">2.1 </w:t>
      </w:r>
      <w:r>
        <w:rPr>
          <w:rFonts w:hint="eastAsia" w:ascii="黑体" w:hAnsi="黑体" w:eastAsia="黑体"/>
          <w:b/>
          <w:color w:val="000000"/>
          <w:sz w:val="24"/>
        </w:rPr>
        <w:t xml:space="preserve">政府数据开放的概念界定与演进</w:t>
      </w:r>
    </w:p>
    <w:bookmarkStart w:id="66" w:name="政府数据开放的概念内涵"/>
    <w:p>
      <w:pPr>
        <w:pStyle w:val="Heading4"/>
        <w:spacing w:line="360" w:lineRule="auto"/>
      </w:pPr>
      <w:r>
        <w:rPr>
          <w:rFonts w:ascii="宋体" w:hAnsi="宋体" w:eastAsia="宋体"/>
          <w:color w:val="000000"/>
          <w:sz w:val="24"/>
        </w:rPr>
        <w:t xml:space="preserve">2.1.1 </w:t>
      </w:r>
      <w:r>
        <w:rPr>
          <w:rFonts w:hint="eastAsia" w:ascii="宋体" w:hAnsi="宋体" w:eastAsia="宋体"/>
          <w:color w:val="000000"/>
          <w:sz w:val="24"/>
        </w:rPr>
        <w:t xml:space="preserve">政府数据开放的概念内涵</w:t>
      </w:r>
    </w:p>
    <w:p>
      <w:pPr>
        <w:pStyle w:val="FirstParagraph"/>
        <w:spacing w:line="360" w:lineRule="auto"/>
      </w:pPr>
      <w:r>
        <w:rPr>
          <w:rFonts w:hint="eastAsia" w:ascii="宋体" w:hAnsi="宋体" w:eastAsia="宋体"/>
          <w:color w:val="000000"/>
          <w:sz w:val="24"/>
        </w:rPr>
        <w:t xml:space="preserve">政府数据开放（Open</w:t>
      </w:r>
      <w:r>
        <w:rPr>
          <w:rFonts w:ascii="宋体" w:hAnsi="宋体" w:eastAsia="宋体"/>
          <w:color w:val="000000"/>
          <w:sz w:val="24"/>
        </w:rPr>
        <w:t xml:space="preserve"> Government Data, </w:t>
      </w:r>
      <w:r>
        <w:rPr>
          <w:rFonts w:hint="eastAsia" w:ascii="宋体" w:hAnsi="宋体" w:eastAsia="宋体"/>
          <w:color w:val="000000"/>
          <w:sz w:val="24"/>
        </w:rPr>
        <w:t xml:space="preserve">OGD）的概念源于开放政府运动（Open</w:t>
      </w:r>
      <w:r>
        <w:rPr>
          <w:rFonts w:ascii="宋体" w:hAnsi="宋体" w:eastAsia="宋体"/>
          <w:color w:val="000000"/>
          <w:sz w:val="24"/>
        </w:rPr>
        <w:t xml:space="preserve"> Government </w:t>
      </w:r>
      <w:r>
        <w:rPr>
          <w:rFonts w:hint="eastAsia" w:ascii="宋体" w:hAnsi="宋体" w:eastAsia="宋体"/>
          <w:color w:val="000000"/>
          <w:sz w:val="24"/>
        </w:rPr>
        <w:t xml:space="preserve">Movement）与开放数据运动（Open</w:t>
      </w:r>
      <w:r>
        <w:rPr>
          <w:rFonts w:ascii="宋体" w:hAnsi="宋体" w:eastAsia="宋体"/>
          <w:color w:val="000000"/>
          <w:sz w:val="24"/>
        </w:rPr>
        <w:t xml:space="preserve"> Data </w:t>
      </w:r>
      <w:r>
        <w:rPr>
          <w:rFonts w:hint="eastAsia" w:ascii="宋体" w:hAnsi="宋体" w:eastAsia="宋体"/>
          <w:color w:val="000000"/>
          <w:sz w:val="24"/>
        </w:rPr>
        <w:t xml:space="preserve">Movement）的交汇，其核心在于政府主动公开可机读、可自由使用和再分发的数据资源。这一概念自诞生以来便呈现出语义的双重性：一方面，它承载着政治透明的价值取向——通过数据开放增强政府问责和公众参与；另一方面，它关注技术开放的操作层面——通过标准化的数据格式和API接口促进数据的再利用和创新。这种双重性使得政府数据开放既是治理理念的创新，也是技术实践的变革，二者的交织构成了OGD研究的核心张力。</w:t>
      </w:r>
    </w:p>
    <w:p>
      <w:pPr>
        <w:pStyle w:val="BodyText"/>
        <w:spacing w:line="360" w:lineRule="auto"/>
      </w:pPr>
      <w:r>
        <w:rPr>
          <w:rFonts w:hint="eastAsia" w:ascii="宋体" w:hAnsi="宋体" w:eastAsia="宋体"/>
          <w:color w:val="000000"/>
          <w:sz w:val="24"/>
        </w:rPr>
        <w:t xml:space="preserve">在概念界定层面，Open</w:t>
      </w:r>
      <w:r>
        <w:rPr>
          <w:rFonts w:ascii="宋体" w:hAnsi="宋体" w:eastAsia="宋体"/>
          <w:color w:val="000000"/>
          <w:sz w:val="24"/>
        </w:rPr>
        <w:t xml:space="preserve"> Knowledge </w:t>
      </w:r>
      <w:r>
        <w:rPr>
          <w:rFonts w:hint="eastAsia" w:ascii="宋体" w:hAnsi="宋体" w:eastAsia="宋体"/>
          <w:color w:val="000000"/>
          <w:sz w:val="24"/>
        </w:rPr>
        <w:t xml:space="preserve">Foundation将开放数据定义为”任何人都可以自由使用、修改和分享的作品或数据”，强调非排他性、机器可读性和无偿性三大原则。这三大原则构成了政府数据开放的”最低标准”——不满足任何一条的数据开放都不能称为真正意义上的”开放”。具体而言，非排他性要求数据对所有人开放，不因身份、地域、用途而设限；机器可读性要求数据以结构化格式发布，可供计算机程序自动处理，而非仅提供供人类阅读的PDF或图片格式；无偿性要求数据获取不需要支付费用或履行繁琐的审批程序。这三大原则的实践检验标准清晰明确，为评估数据开放的真实性提供了可操作的概念工具。</w:t>
      </w:r>
    </w:p>
    <w:p>
      <w:pPr>
        <w:pStyle w:val="BodyText"/>
        <w:spacing w:line="360" w:lineRule="auto"/>
      </w:pPr>
      <w:r>
        <w:rPr>
          <w:rFonts w:hint="eastAsia" w:ascii="宋体" w:hAnsi="宋体" w:eastAsia="宋体"/>
          <w:color w:val="000000"/>
          <w:sz w:val="24"/>
        </w:rPr>
        <w:t xml:space="preserve">Ubaldi从OECD视角将政府数据开放界定为”政府主动发布其拥有的原始数据，使公众可以自由使用和再利用”，强调数据开放的主动性和原始性——政府不应仅开放”加工后的信息”，而应开放”原始数据”以保障数据的再利用潜力。这一”原始性”要求具有重要的方法论含义：它意味着评估数据开放质量时应关注”数据是否保持了原始粒度和完整性”，而非仅仅”数据是否可下载”。例如，政府开放”年度统计报告”（加工后的信息）与开放”原始调查微观数据”（原始数据）在再利用价值上存在本质差异——前者只能用于了解总体概况，后者可以支持研究者进行新的统计分析和假设检验。</w:t>
      </w:r>
    </w:p>
    <w:p>
      <w:pPr>
        <w:pStyle w:val="BodyText"/>
        <w:spacing w:line="360" w:lineRule="auto"/>
      </w:pPr>
      <w:r>
        <w:rPr>
          <w:rFonts w:hint="eastAsia" w:ascii="宋体" w:hAnsi="宋体" w:eastAsia="宋体"/>
          <w:color w:val="000000"/>
          <w:sz w:val="24"/>
        </w:rPr>
        <w:t xml:space="preserve">Janssen等从开放数据生态系统的视角提出了更为综合的概念框架，认为政府数据开放是一个涉及数据供给方（政府）、数据中介方（平台运营者、数据服务商）、数据需求方（开发者、研究者、企业、公众）和利用环境（技术基础设施、制度环境、市场环境）的复杂生态系统。在这一框架中，数据开放的价值实现不仅取决于政府的供给行为，还取决于中介方的转化能力和需求方的利用能力——如果数据需求方缺乏数据分析技能，即使政府提供了高质量的原始数据，数据的价值也无法实现。这一生态系统视角对本研究的启示在于：评估数据开放绩效时，不能仅评估供给侧的”开放了多少”，还需评估需求侧的”利用了多少”和生态系统的”价值实现了多少”。</w:t>
      </w:r>
    </w:p>
    <w:p>
      <w:pPr>
        <w:pStyle w:val="BodyText"/>
        <w:spacing w:line="360" w:lineRule="auto"/>
      </w:pPr>
      <w:r>
        <w:rPr>
          <w:rFonts w:hint="eastAsia" w:ascii="宋体" w:hAnsi="宋体" w:eastAsia="宋体"/>
          <w:color w:val="000000"/>
          <w:sz w:val="24"/>
        </w:rPr>
        <w:t xml:space="preserve">在国内学术界，郑磊等学者从公共治理视角将政府数据开放界定为”政府主动向社会开放其拥有的、可机器读取的原始数据，供社会进行自由利用”，强调数据开放的公共性和价值导向。郑磊进一步提出了政府数据开放的”三圈理论”：内圈是数据发布，中圈是数据利用，外圈是价值创造——三个圈层相互嵌套、逐级递进，数据发布是前提，数据利用是关键，价值创造是目标。这一理论框架揭示了一个重要的逻辑关系：没有数据发布就没有数据利用，但只有数据发布而没有数据利用，数据开放就停留在”形式”层面而无法产生”实质”价值。这一”三圈理论”是本研究”全链条评估”思想的直接理论来源——评估应覆盖从内圈到外圈的完整过程。</w:t>
      </w:r>
    </w:p>
    <w:p>
      <w:pPr>
        <w:pStyle w:val="BodyText"/>
        <w:spacing w:line="360" w:lineRule="auto"/>
      </w:pPr>
      <w:r>
        <w:rPr>
          <w:rFonts w:hint="eastAsia" w:ascii="宋体" w:hAnsi="宋体" w:eastAsia="宋体"/>
          <w:color w:val="000000"/>
          <w:sz w:val="24"/>
        </w:rPr>
        <w:t xml:space="preserve">黄璜从数据治理视角提出政府数据开放应遵循”以用促建、以用促优”的原则，将数据利用提升到与数据开放同等重要的位置——这一”以用为本”的思想是本研究”效果导向”评估范式的直接理论来源。黄璜指出，我国政府数据开放长期存在”重建设轻运营”的问题——平台建设投入了大量资源，但平台上线后的运营维护、用户服务、需求响应等方面投入不足，导致平台成为”僵尸平台”。这一”重建设轻运营”问题的根源在于评估体系的导向偏差——当评估指标主要关注平台建设（数据集数量、平台功能）而非平台运营（用户活跃度、应用成果、数据价值）时，平台运营者自然会将资源投向”容易得分”的建设环节而非”难以衡量”的运营环节。</w:t>
      </w:r>
    </w:p>
    <w:p>
      <w:pPr>
        <w:pStyle w:val="BodyText"/>
        <w:spacing w:line="360" w:lineRule="auto"/>
      </w:pPr>
      <w:r>
        <w:rPr>
          <w:rFonts w:hint="eastAsia" w:ascii="宋体" w:hAnsi="宋体" w:eastAsia="宋体"/>
          <w:color w:val="000000"/>
          <w:sz w:val="24"/>
        </w:rPr>
        <w:t xml:space="preserve">张会平等进一步区分了”政府数据开放”与”公共数据授权运营”的边界：前者以”直接开放”为特征，面向全体社会公众无条件提供数据；后者以”授权运营”为特征，在”数据可用不可见”的安全框架下由特定运营主体进行数据产品的开发和销售。这一区分对于本研究评估框架的设计具有重要启示——评估体系需要同时覆盖”直接开放”和”授权运营”两种利用模式。随着”数据二十条”的出台和国家数据局的成立，授权运营已成为数据利用的重要新兴模式，评估体系如果忽视这一模式，将无法全面反映数据利用的真实状况。</w:t>
      </w:r>
    </w:p>
    <w:p>
      <w:pPr>
        <w:pStyle w:val="BodyText"/>
        <w:spacing w:line="360" w:lineRule="auto"/>
      </w:pPr>
      <w:r>
        <w:rPr>
          <w:rFonts w:hint="eastAsia" w:ascii="宋体" w:hAnsi="宋体" w:eastAsia="宋体"/>
          <w:color w:val="000000"/>
          <w:sz w:val="24"/>
        </w:rPr>
        <w:t xml:space="preserve">需要特别界定的是”政府数据开放”与”政府信息公开”的关系。Yu和Robinson对二者进行了系统区分：政府信息公开（FOIA导向）以知情权保障为核心目的，主要提供经过加工的、面向人类阅读的信息（如政策文件、工作报告），其法律基础是《政府信息公开条例》；政府数据开放则以数据利用和价值释放为核心目的，主要提供原始形态的、面向机器处理的数据集（如统计数据库、地理信息数据），其法律基础尚处于探索阶段。二者的根本差异在于：信息公开关注”公民能否看到政府数据”，数据开放关注”公民能否使用政府数据”——前者是透明导向的，后者是利用导向的。这一区分为本研究从”供给导向”向”效果导向”的范式转型提供了概念基础。</w:t>
      </w:r>
    </w:p>
    <w:bookmarkEnd w:id="66"/>
    <w:bookmarkStart w:id="67" w:name="政府数据开放的核心原则"/>
    <w:p>
      <w:pPr>
        <w:pStyle w:val="Heading4"/>
        <w:spacing w:line="360" w:lineRule="auto"/>
      </w:pPr>
      <w:r>
        <w:rPr>
          <w:rFonts w:ascii="宋体" w:hAnsi="宋体" w:eastAsia="宋体"/>
          <w:color w:val="000000"/>
          <w:sz w:val="24"/>
        </w:rPr>
        <w:t xml:space="preserve">2.1.2 </w:t>
      </w:r>
      <w:r>
        <w:rPr>
          <w:rFonts w:hint="eastAsia" w:ascii="宋体" w:hAnsi="宋体" w:eastAsia="宋体"/>
          <w:color w:val="000000"/>
          <w:sz w:val="24"/>
        </w:rPr>
        <w:t xml:space="preserve">政府数据开放的核心原则</w:t>
      </w:r>
    </w:p>
    <w:p>
      <w:pPr>
        <w:pStyle w:val="FirstParagraph"/>
        <w:spacing w:line="360" w:lineRule="auto"/>
      </w:pPr>
      <w:r>
        <w:rPr>
          <w:rFonts w:hint="eastAsia" w:ascii="宋体" w:hAnsi="宋体" w:eastAsia="宋体"/>
          <w:color w:val="000000"/>
          <w:sz w:val="24"/>
        </w:rPr>
        <w:t xml:space="preserve">政府数据开放的核心原则是指导数据开放实践的基本规范，也是评估数据开放质量的理论基准。国际学术界和政策界形成了多套开放数据原则体系，这些原则体系虽然在表述上有所差异，但在核心要义上高度一致。</w:t>
      </w:r>
    </w:p>
    <w:p>
      <w:pPr>
        <w:pStyle w:val="BodyText"/>
        <w:spacing w:line="360" w:lineRule="auto"/>
      </w:pPr>
      <w:r>
        <w:rPr>
          <w:rFonts w:hint="eastAsia" w:ascii="宋体" w:hAnsi="宋体" w:eastAsia="宋体"/>
          <w:b/>
          <w:bCs/>
          <w:color w:val="000000"/>
          <w:sz w:val="24"/>
        </w:rPr>
        <w:t xml:space="preserve">开放数据八原则。</w:t>
      </w:r>
      <w:r>
        <w:rPr>
          <w:rFonts w:ascii="宋体" w:hAnsi="宋体" w:eastAsia="宋体"/>
          <w:color w:val="000000"/>
          <w:sz w:val="24"/>
        </w:rPr>
        <w:t xml:space="preserve"> </w:t>
      </w:r>
      <w:r>
        <w:rPr>
          <w:rFonts w:hint="eastAsia" w:ascii="宋体" w:hAnsi="宋体" w:eastAsia="宋体"/>
          <w:color w:val="000000"/>
          <w:sz w:val="24"/>
        </w:rPr>
        <w:t xml:space="preserve">2007年，在一次开放政府数据的学术会议上，与会学者共同提出了开放数据的八项原则：（1）完整性和全面性——所有公共数据都应开放，除非涉及国家安全、商业机密或个人隐私；（2）原始性和未加工——数据应以原始格式发布，保持数据的原始粒度和完整性；（3）及时性和实时性——数据应在产生后尽快发布，最好是实时发布；（4）可访问性和可用性——数据应以方便用户获取和使用的形式发布；（5）机器可处理性——数据应以结构化格式发布，可供计算机程序自动处理；（6）非歧视性——数据应对所有用户开放，不因身份、地域、用途而设限；（7）非专有性——数据应以开放格式发布，不依赖特定厂商的软件；（8）免于授权——数据应免除版权、专利、商标和商业秘密等知识产权限制。这八项原则构成了开放数据运动的”宪章”，被后续的国际评估工具（如ODI、GODI）直接采纳为评估标准。</w:t>
      </w:r>
    </w:p>
    <w:p>
      <w:pPr>
        <w:pStyle w:val="BodyText"/>
        <w:spacing w:line="360" w:lineRule="auto"/>
      </w:pPr>
      <w:r>
        <w:rPr>
          <w:rFonts w:ascii="宋体" w:hAnsi="宋体" w:eastAsia="宋体"/>
          <w:b/>
          <w:bCs/>
          <w:color w:val="000000"/>
          <w:sz w:val="24"/>
        </w:rPr>
        <w:t xml:space="preserve">Open Data </w:t>
      </w:r>
      <w:r>
        <w:rPr>
          <w:rFonts w:hint="eastAsia" w:ascii="宋体" w:hAnsi="宋体" w:eastAsia="宋体"/>
          <w:b/>
          <w:bCs/>
          <w:color w:val="000000"/>
          <w:sz w:val="24"/>
        </w:rPr>
        <w:t xml:space="preserve">Charter六原则。</w:t>
      </w:r>
      <w:r>
        <w:rPr>
          <w:rFonts w:ascii="宋体" w:hAnsi="宋体" w:eastAsia="宋体"/>
          <w:color w:val="000000"/>
          <w:sz w:val="24"/>
        </w:rPr>
        <w:t xml:space="preserve"> </w:t>
      </w:r>
      <w:r>
        <w:rPr>
          <w:rFonts w:hint="eastAsia" w:ascii="宋体" w:hAnsi="宋体" w:eastAsia="宋体"/>
          <w:color w:val="000000"/>
          <w:sz w:val="24"/>
        </w:rPr>
        <w:t xml:space="preserve">2015年，G7国家签署了《开放数据宪章》（Open</w:t>
      </w:r>
      <w:r>
        <w:rPr>
          <w:rFonts w:ascii="宋体" w:hAnsi="宋体" w:eastAsia="宋体"/>
          <w:color w:val="000000"/>
          <w:sz w:val="24"/>
        </w:rPr>
        <w:t xml:space="preserve"> Data </w:t>
      </w:r>
      <w:r>
        <w:rPr>
          <w:rFonts w:hint="eastAsia" w:ascii="宋体" w:hAnsi="宋体" w:eastAsia="宋体"/>
          <w:color w:val="000000"/>
          <w:sz w:val="24"/>
        </w:rPr>
        <w:t xml:space="preserve">Charter），将开放数据原则凝练为六项：（1）默认开放——除非有明确的法律限制，政府数据默认应向社会开放；（2）及时全面——数据应在产生后及时发布，并保持完整性和全面性；（3）可获取可用——数据应以方便用户获取和使用的形式发布；（4）可比可互操作——数据应遵循通用的标准和格式，以支持跨部门、跨地区的数据整合；（5）改善治理——数据开放应服务于改善政府治理、增强政府问责和公众参与；（6）参与包容——数据开放应促进社会包容，确保不同群体都能从数据开放中受益。与八原则相比，Open</w:t>
      </w:r>
      <w:r>
        <w:rPr>
          <w:rFonts w:ascii="宋体" w:hAnsi="宋体" w:eastAsia="宋体"/>
          <w:color w:val="000000"/>
          <w:sz w:val="24"/>
        </w:rPr>
        <w:t xml:space="preserve"> Data </w:t>
      </w:r>
      <w:r>
        <w:rPr>
          <w:rFonts w:hint="eastAsia" w:ascii="宋体" w:hAnsi="宋体" w:eastAsia="宋体"/>
          <w:color w:val="000000"/>
          <w:sz w:val="24"/>
        </w:rPr>
        <w:t xml:space="preserve">Charter更强调数据开放的治理目标和社会价值，将开放数据从”技术运动”提升为”治理运动”。</w:t>
      </w:r>
    </w:p>
    <w:p>
      <w:pPr>
        <w:pStyle w:val="BodyText"/>
        <w:spacing w:line="360" w:lineRule="auto"/>
      </w:pPr>
      <w:r>
        <w:rPr>
          <w:rFonts w:hint="eastAsia" w:ascii="宋体" w:hAnsi="宋体" w:eastAsia="宋体"/>
          <w:b/>
          <w:bCs/>
          <w:color w:val="000000"/>
          <w:sz w:val="24"/>
        </w:rPr>
        <w:t xml:space="preserve">FAIR原则。</w:t>
      </w:r>
      <w:r>
        <w:rPr>
          <w:rFonts w:ascii="宋体" w:hAnsi="宋体" w:eastAsia="宋体"/>
          <w:color w:val="000000"/>
          <w:sz w:val="24"/>
        </w:rPr>
        <w:t xml:space="preserve"> </w:t>
      </w:r>
      <w:r>
        <w:rPr>
          <w:rFonts w:hint="eastAsia" w:ascii="宋体" w:hAnsi="宋体" w:eastAsia="宋体"/>
          <w:color w:val="000000"/>
          <w:sz w:val="24"/>
        </w:rPr>
        <w:t xml:space="preserve">FAIR原则最初由Wilkinson等提出，用于指导科学数据的开放共享，但其核心要义同样适用于政府数据开放。FAIR是四个英文单词的首字母缩写：（1）可发现（Findable）——数据应有清晰的元数据描述，便于用户检索和发现；（2）可访问（Accessible）——数据应以标准化的方式提供访问接口，便于用户获取；（3）可互操作（Interoperable）——数据应使用通用的词汇表、编码规则和数据格式，便于跨系统整合；（4）可重用（Reusable）——数据应有充分的元数据和许可信息，便于用户理解和再利用。FAIR原则的技术导向更强，为数据开放的技术实现提供了具体的操作指南。例如，</w:t>
      </w:r>
      <w:r>
        <w:rPr>
          <w:rFonts w:hint="eastAsia" w:ascii="宋体" w:hAnsi="宋体" w:eastAsia="宋体"/>
          <w:color w:val="000000"/>
          <w:sz w:val="24"/>
        </w:rPr>
        <w:t xml:space="preserve">“可发现”</w:t>
      </w:r>
      <w:r>
        <w:rPr>
          <w:rFonts w:hint="eastAsia" w:ascii="宋体" w:hAnsi="宋体" w:eastAsia="宋体"/>
          <w:color w:val="000000"/>
          <w:sz w:val="24"/>
        </w:rPr>
        <w:t xml:space="preserve">原则要求每个数据集都应有标题、描述、关键词、发布机构、更新日期等元数据字段——这些字段的完整性直接决定了用户能否在海量数据中找到所需数据。</w:t>
      </w:r>
    </w:p>
    <w:p>
      <w:pPr>
        <w:pStyle w:val="BodyText"/>
        <w:spacing w:line="360" w:lineRule="auto"/>
      </w:pPr>
      <w:r>
        <w:rPr>
          <w:rFonts w:hint="eastAsia" w:ascii="宋体" w:hAnsi="宋体" w:eastAsia="宋体"/>
          <w:b/>
          <w:bCs/>
          <w:color w:val="000000"/>
          <w:sz w:val="24"/>
        </w:rPr>
        <w:t xml:space="preserve">开放数据许可原则。</w:t>
      </w:r>
      <w:r>
        <w:rPr>
          <w:rFonts w:ascii="宋体" w:hAnsi="宋体" w:eastAsia="宋体"/>
          <w:color w:val="000000"/>
          <w:sz w:val="24"/>
        </w:rPr>
        <w:t xml:space="preserve"> </w:t>
      </w:r>
      <w:r>
        <w:rPr>
          <w:rFonts w:hint="eastAsia" w:ascii="宋体" w:hAnsi="宋体" w:eastAsia="宋体"/>
          <w:color w:val="000000"/>
          <w:sz w:val="24"/>
        </w:rPr>
        <w:t xml:space="preserve">数据开放许可决定了用户能否以及如何在法律框架下使用开放数据。开放数据许可应遵循”最小限制”原则——许可条款应尽可能少地限制数据的使用、修改和再分发。国际主流的开放数据许可协议包括Creative</w:t>
      </w:r>
      <w:r>
        <w:rPr>
          <w:rFonts w:ascii="宋体" w:hAnsi="宋体" w:eastAsia="宋体"/>
          <w:color w:val="000000"/>
          <w:sz w:val="24"/>
        </w:rPr>
        <w:t xml:space="preserve"> </w:t>
      </w:r>
      <w:r>
        <w:rPr>
          <w:rFonts w:hint="eastAsia" w:ascii="宋体" w:hAnsi="宋体" w:eastAsia="宋体"/>
          <w:color w:val="000000"/>
          <w:sz w:val="24"/>
        </w:rPr>
        <w:t xml:space="preserve">Commons（CC）系列许可、Open</w:t>
      </w:r>
      <w:r>
        <w:rPr>
          <w:rFonts w:ascii="宋体" w:hAnsi="宋体" w:eastAsia="宋体"/>
          <w:color w:val="000000"/>
          <w:sz w:val="24"/>
        </w:rPr>
        <w:t xml:space="preserve"> Data </w:t>
      </w:r>
      <w:r>
        <w:rPr>
          <w:rFonts w:hint="eastAsia" w:ascii="宋体" w:hAnsi="宋体" w:eastAsia="宋体"/>
          <w:color w:val="000000"/>
          <w:sz w:val="24"/>
        </w:rPr>
        <w:t xml:space="preserve">Commons（ODC）系列许可和各国政府制定的自定义许可。CC0（公共领域</w:t>
      </w:r>
      <w:r>
        <w:rPr>
          <w:rFonts w:ascii="宋体" w:hAnsi="宋体" w:eastAsia="宋体"/>
          <w:color w:val="000000"/>
          <w:sz w:val="24"/>
        </w:rPr>
        <w:t xml:space="preserve"> </w:t>
      </w:r>
      <w:r>
        <w:rPr>
          <w:rFonts w:hint="eastAsia" w:ascii="宋体" w:hAnsi="宋体" w:eastAsia="宋体"/>
          <w:color w:val="000000"/>
          <w:sz w:val="24"/>
        </w:rPr>
        <w:t xml:space="preserve">dedication）是最开放的许可形式，允许用户无限制地使用数据；CC-BY要求用户在使用数据时注明数据来源；ODbL要求用户在使用数据时遵守”共享相同方式”条款。本研究在评估”利用效果”维度时，将许可开放性作为影响数据再利用便利性的重要因素——许可限制越多的数据，其再利用的摩擦成本越高。</w:t>
      </w:r>
    </w:p>
    <w:bookmarkEnd w:id="67"/>
    <w:bookmarkStart w:id="68" w:name="政府数据开放与相关概念的区分"/>
    <w:p>
      <w:pPr>
        <w:pStyle w:val="Heading4"/>
        <w:spacing w:line="360" w:lineRule="auto"/>
      </w:pPr>
      <w:r>
        <w:rPr>
          <w:rFonts w:ascii="宋体" w:hAnsi="宋体" w:eastAsia="宋体"/>
          <w:color w:val="000000"/>
          <w:sz w:val="24"/>
        </w:rPr>
        <w:t xml:space="preserve">2.1.3 </w:t>
      </w:r>
      <w:r>
        <w:rPr>
          <w:rFonts w:hint="eastAsia" w:ascii="宋体" w:hAnsi="宋体" w:eastAsia="宋体"/>
          <w:color w:val="000000"/>
          <w:sz w:val="24"/>
        </w:rPr>
        <w:t xml:space="preserve">政府数据开放与相关概念的区分</w:t>
      </w:r>
    </w:p>
    <w:p>
      <w:pPr>
        <w:pStyle w:val="FirstParagraph"/>
        <w:spacing w:line="360" w:lineRule="auto"/>
      </w:pPr>
      <w:r>
        <w:rPr>
          <w:rFonts w:hint="eastAsia" w:ascii="宋体" w:hAnsi="宋体" w:eastAsia="宋体"/>
          <w:color w:val="000000"/>
          <w:sz w:val="24"/>
        </w:rPr>
        <w:t xml:space="preserve">在数据治理的语境中，政府数据开放与数据共享、数据授权运营等概念存在密切关联但又各有侧重，厘清这些概念的边界对于本研究评估框架的设计至关重要。</w:t>
      </w:r>
    </w:p>
    <w:p>
      <w:pPr>
        <w:pStyle w:val="BodyText"/>
        <w:spacing w:line="360" w:lineRule="auto"/>
      </w:pPr>
      <w:r>
        <w:rPr>
          <w:rFonts w:hint="eastAsia" w:ascii="宋体" w:hAnsi="宋体" w:eastAsia="宋体"/>
          <w:b/>
          <w:bCs/>
          <w:color w:val="000000"/>
          <w:sz w:val="24"/>
        </w:rPr>
        <w:t xml:space="preserve">政府数据开放</w:t>
      </w:r>
      <w:r>
        <w:rPr>
          <w:rFonts w:ascii="宋体" w:hAnsi="宋体" w:eastAsia="宋体"/>
          <w:b/>
          <w:bCs/>
          <w:color w:val="000000"/>
          <w:sz w:val="24"/>
        </w:rPr>
        <w:t xml:space="preserve"> vs </w:t>
      </w:r>
      <w:r>
        <w:rPr>
          <w:rFonts w:hint="eastAsia" w:ascii="宋体" w:hAnsi="宋体" w:eastAsia="宋体"/>
          <w:b/>
          <w:bCs/>
          <w:color w:val="000000"/>
          <w:sz w:val="24"/>
        </w:rPr>
        <w:t xml:space="preserve">数据共享。</w:t>
      </w:r>
      <w:r>
        <w:rPr>
          <w:rFonts w:ascii="宋体" w:hAnsi="宋体" w:eastAsia="宋体"/>
          <w:color w:val="000000"/>
          <w:sz w:val="24"/>
        </w:rPr>
        <w:t xml:space="preserve"> </w:t>
      </w:r>
      <w:r>
        <w:rPr>
          <w:rFonts w:hint="eastAsia" w:ascii="宋体" w:hAnsi="宋体" w:eastAsia="宋体"/>
          <w:color w:val="000000"/>
          <w:sz w:val="24"/>
        </w:rPr>
        <w:t xml:space="preserve">数据共享主要发生在政府内部——不同部门之间为了实现业务协同而交换数据，其数据交换范围通常限于政府部门内部或特定授权机构，不面向公众开放。政府数据开放则是政府主动向社会公众开放数据，任何人都可以自由获取和使用。二者的关键差异在于开放对象（内部vs外部）和使用权限（授权vs开放）。然而，在实践中，二者存在紧密的逻辑关联：只有实现了政府内部的数据共享和整合，才能向社会提供高质量、跨部门的综合数据集。如果一个平台的数据仅按部门分割发布，用户需要分别访问市场监管部门、税务部门、社保部门等多个数据源才能获取完整的”企业信用数据”，那么数据利用的摩擦成本将显著增加。因此，数据共享是数据开放的基础条件，数据开放是数据共享的延伸目标。</w:t>
      </w:r>
    </w:p>
    <w:p>
      <w:pPr>
        <w:pStyle w:val="BodyText"/>
        <w:spacing w:line="360" w:lineRule="auto"/>
      </w:pPr>
      <w:r>
        <w:rPr>
          <w:rFonts w:hint="eastAsia" w:ascii="宋体" w:hAnsi="宋体" w:eastAsia="宋体"/>
          <w:color w:val="000000"/>
          <w:sz w:val="24"/>
        </w:rPr>
        <w:t xml:space="preserve">从数据生命周期的视角看，政府数据经历”产生-采集-存储-共享-开放-利用-价值实现”的完整链条。数据共享发生在”存储”和”开放”之间——部门内部的数据共享为跨部门数据整合提供条件，整合后的数据才能以统一的标准和格式向社会开放。评估数据开放绩效时，如果只关注”开放”环节而忽视”共享”环节，就无法识别数据整合障碍对开放质量的制约。例如，一个平台的”企业注册数据集”和”企业纳税数据集”如果分别由市场监管部门和税务部门管理，且两部门之间未实现数据共享，那么用户即使能从平台下载这两个数据集，也需要自行进行数据匹配和整合——这种”开放但不整合”的状态显著增加了数据利用成本。</w:t>
      </w:r>
    </w:p>
    <w:p>
      <w:pPr>
        <w:pStyle w:val="BodyText"/>
        <w:spacing w:line="360" w:lineRule="auto"/>
      </w:pPr>
      <w:r>
        <w:rPr>
          <w:rFonts w:hint="eastAsia" w:ascii="宋体" w:hAnsi="宋体" w:eastAsia="宋体"/>
          <w:b/>
          <w:bCs/>
          <w:color w:val="000000"/>
          <w:sz w:val="24"/>
        </w:rPr>
        <w:t xml:space="preserve">政府数据开放</w:t>
      </w:r>
      <w:r>
        <w:rPr>
          <w:rFonts w:ascii="宋体" w:hAnsi="宋体" w:eastAsia="宋体"/>
          <w:b/>
          <w:bCs/>
          <w:color w:val="000000"/>
          <w:sz w:val="24"/>
        </w:rPr>
        <w:t xml:space="preserve"> vs </w:t>
      </w:r>
      <w:r>
        <w:rPr>
          <w:rFonts w:hint="eastAsia" w:ascii="宋体" w:hAnsi="宋体" w:eastAsia="宋体"/>
          <w:b/>
          <w:bCs/>
          <w:color w:val="000000"/>
          <w:sz w:val="24"/>
        </w:rPr>
        <w:t xml:space="preserve">数据授权运营。</w:t>
      </w:r>
      <w:r>
        <w:rPr>
          <w:rFonts w:ascii="宋体" w:hAnsi="宋体" w:eastAsia="宋体"/>
          <w:color w:val="000000"/>
          <w:sz w:val="24"/>
        </w:rPr>
        <w:t xml:space="preserve"> </w:t>
      </w:r>
      <w:r>
        <w:rPr>
          <w:rFonts w:hint="eastAsia" w:ascii="宋体" w:hAnsi="宋体" w:eastAsia="宋体"/>
          <w:color w:val="000000"/>
          <w:sz w:val="24"/>
        </w:rPr>
        <w:t xml:space="preserve">数据授权运营是近年来兴起的数据利用新模式，其核心特征是政府将公共数据的运营权授予符合条件的运营主体，由其面向社会提供数据产品和服务。与直接开放模式相比，授权运营在”数据可用不可见”的安全框架下实现了高价值数据的社会化利用，突破了隐私保护和商业机密对数据开放的制约。张会平等研究了公共数据授权运营的制度框架和风险治理，提出了”授权-运营-监管”三环节制度设计；丁晓强等从经济学视角分析了授权运营的定价机制和收益分配问题，提出了”成本加成+市场调节”的混合定价模型。本研究将授权运营成效纳入”利用效果”维度的评估，正是为了回应这一新兴利用模式的评估需求。</w:t>
      </w:r>
    </w:p>
    <w:p>
      <w:pPr>
        <w:pStyle w:val="BodyText"/>
        <w:spacing w:line="360" w:lineRule="auto"/>
      </w:pPr>
      <w:r>
        <w:rPr>
          <w:rFonts w:hint="eastAsia" w:ascii="宋体" w:hAnsi="宋体" w:eastAsia="宋体"/>
          <w:color w:val="000000"/>
          <w:sz w:val="24"/>
        </w:rPr>
        <w:t xml:space="preserve">从制度经济学的视角看，直接开放和授权运营代表了两种不同的数据治理制度安排。直接开放遵循”公共物品”逻辑——数据作为公共物品向社会免费提供，政府承担数据开放的全部成本；授权运营遵循”准公共物品”逻辑——数据在特定制度安排下由市场运营主体提供，政府通过授权费和税收回收部分成本，运营主体通过数据产品和服务获取收益。两种制度安排各有优劣：直接开放的优势是覆盖面广、门槛低，任何人都可以免费获取数据；劣势是数据质量保障动力不足、高价值数据难以开放。授权运营的优势是数据质量有保障、高价值数据可以”可用不可见”地利用；劣势是覆盖面受限、利用门槛较高。评估体系应同时覆盖两种模式，才能全面反映数据利用的多元路径。</w:t>
      </w:r>
    </w:p>
    <w:p>
      <w:pPr>
        <w:pStyle w:val="BodyText"/>
        <w:spacing w:line="360" w:lineRule="auto"/>
      </w:pPr>
      <w:r>
        <w:rPr>
          <w:rFonts w:hint="eastAsia" w:ascii="宋体" w:hAnsi="宋体" w:eastAsia="宋体"/>
          <w:b/>
          <w:bCs/>
          <w:color w:val="000000"/>
          <w:sz w:val="24"/>
        </w:rPr>
        <w:t xml:space="preserve">政府数据开放</w:t>
      </w:r>
      <w:r>
        <w:rPr>
          <w:rFonts w:ascii="宋体" w:hAnsi="宋体" w:eastAsia="宋体"/>
          <w:b/>
          <w:bCs/>
          <w:color w:val="000000"/>
          <w:sz w:val="24"/>
        </w:rPr>
        <w:t xml:space="preserve"> vs </w:t>
      </w:r>
      <w:r>
        <w:rPr>
          <w:rFonts w:hint="eastAsia" w:ascii="宋体" w:hAnsi="宋体" w:eastAsia="宋体"/>
          <w:b/>
          <w:bCs/>
          <w:color w:val="000000"/>
          <w:sz w:val="24"/>
        </w:rPr>
        <w:t xml:space="preserve">开放科学数据。</w:t>
      </w:r>
      <w:r>
        <w:rPr>
          <w:rFonts w:ascii="宋体" w:hAnsi="宋体" w:eastAsia="宋体"/>
          <w:color w:val="000000"/>
          <w:sz w:val="24"/>
        </w:rPr>
        <w:t xml:space="preserve"> </w:t>
      </w:r>
      <w:r>
        <w:rPr>
          <w:rFonts w:hint="eastAsia" w:ascii="宋体" w:hAnsi="宋体" w:eastAsia="宋体"/>
          <w:color w:val="000000"/>
          <w:sz w:val="24"/>
        </w:rPr>
        <w:t xml:space="preserve">开放科学数据主要涉及科研机构在科研活动中产生和采集的数据，其开放遵循科学共同体内部的规范和标准。政府数据开放则涉及政府部门在履行公共管理职能过程中产生和采集的数据，其开放需要遵循行政法规范和公共价值导向。虽然二者都遵循FAIR原则（可发现、可访问、可互操作、可重用），但在数据类型、开放动机、质量控制、利用监管等方面存在显著差异。</w:t>
      </w:r>
    </w:p>
    <w:p>
      <w:pPr>
        <w:pStyle w:val="BodyText"/>
        <w:spacing w:line="360" w:lineRule="auto"/>
      </w:pPr>
      <w:r>
        <w:rPr>
          <w:rFonts w:hint="eastAsia" w:ascii="宋体" w:hAnsi="宋体" w:eastAsia="宋体"/>
          <w:color w:val="000000"/>
          <w:sz w:val="24"/>
        </w:rPr>
        <w:t xml:space="preserve">开放科学数据的开放动机主要是”可重复性”和”知识积累”——研究者公开数据是为了让他人能够重复验证自己的研究结论，从而促进科学知识的积累。政府数据开放的开放动机则更为多元——透明度提升、公众参与、经济增长、社会创新等。开放科学数据的质量控制主要依赖同行评议——研究者在发表论文时同时公开数据，同行评议不仅评议论文，也评议数据的质量和文档的完整性。政府数据开放的质量控制则主要依赖行政程序——政府部门在发布数据前需经过数据审核、脱敏处理、格式转换等程序。这些差异意味着，将开放科学数据的评估方法直接移植到政府数据开放领域时，需要进行必要的调整和适配。</w:t>
      </w:r>
    </w:p>
    <w:p>
      <w:pPr>
        <w:pStyle w:val="BodyText"/>
        <w:spacing w:line="360" w:lineRule="auto"/>
      </w:pPr>
      <w:r>
        <w:rPr>
          <w:rFonts w:hint="eastAsia" w:ascii="宋体" w:hAnsi="宋体" w:eastAsia="宋体"/>
          <w:b/>
          <w:bCs/>
          <w:color w:val="000000"/>
          <w:sz w:val="24"/>
        </w:rPr>
        <w:t xml:space="preserve">政府数据开放</w:t>
      </w:r>
      <w:r>
        <w:rPr>
          <w:rFonts w:ascii="宋体" w:hAnsi="宋体" w:eastAsia="宋体"/>
          <w:b/>
          <w:bCs/>
          <w:color w:val="000000"/>
          <w:sz w:val="24"/>
        </w:rPr>
        <w:t xml:space="preserve"> vs </w:t>
      </w:r>
      <w:r>
        <w:rPr>
          <w:rFonts w:hint="eastAsia" w:ascii="宋体" w:hAnsi="宋体" w:eastAsia="宋体"/>
          <w:b/>
          <w:bCs/>
          <w:color w:val="000000"/>
          <w:sz w:val="24"/>
        </w:rPr>
        <w:t xml:space="preserve">大数据与人工智能。</w:t>
      </w:r>
      <w:r>
        <w:rPr>
          <w:rFonts w:ascii="宋体" w:hAnsi="宋体" w:eastAsia="宋体"/>
          <w:color w:val="000000"/>
          <w:sz w:val="24"/>
        </w:rPr>
        <w:t xml:space="preserve"> </w:t>
      </w:r>
      <w:r>
        <w:rPr>
          <w:rFonts w:hint="eastAsia" w:ascii="宋体" w:hAnsi="宋体" w:eastAsia="宋体"/>
          <w:color w:val="000000"/>
          <w:sz w:val="24"/>
        </w:rPr>
        <w:t xml:space="preserve">随着大数据技术和人工智能技术的发展，政府数据开放与新兴技术的关系日益密切。大数据技术为海量政府数据的存储、处理和分析提供了技术基础——传统的数据库技术难以处理TB甚至PB级别的政府数据，而分布式存储和并行计算技术使得大规模政府数据的开放利用成为可能。人工智能技术为政府数据的价值挖掘提供了新的工具——自然语言处理技术可以从非结构化的政府文档中提取结构化信息，机器学习技术可以从开放的政府数据中预测社会趋势，计算机视觉技术可以从开放的遥感影像中识别地表变化。</w:t>
      </w:r>
    </w:p>
    <w:p>
      <w:pPr>
        <w:pStyle w:val="BodyText"/>
        <w:spacing w:line="360" w:lineRule="auto"/>
      </w:pPr>
      <w:r>
        <w:rPr>
          <w:rFonts w:hint="eastAsia" w:ascii="宋体" w:hAnsi="宋体" w:eastAsia="宋体"/>
          <w:color w:val="000000"/>
          <w:sz w:val="24"/>
        </w:rPr>
        <w:t xml:space="preserve">然而，大数据和人工智能也对政府数据开放提出了新的要求。第一，数据规模要求——大数据应用通常需要大规模数据集作为训练数据，如果政府数据开放的数据集规模过小，将无法满足大数据应用的需求。第二，数据质量要求——人工智能算法对数据质量高度敏感，</w:t>
      </w:r>
      <w:r>
        <w:rPr>
          <w:rFonts w:hint="eastAsia" w:ascii="宋体" w:hAnsi="宋体" w:eastAsia="宋体"/>
          <w:color w:val="000000"/>
          <w:sz w:val="24"/>
        </w:rPr>
        <w:t xml:space="preserve">“垃圾进垃圾出”</w:t>
      </w:r>
      <w:r>
        <w:rPr>
          <w:rFonts w:hint="eastAsia" w:ascii="宋体" w:hAnsi="宋体" w:eastAsia="宋体"/>
          <w:color w:val="000000"/>
          <w:sz w:val="24"/>
        </w:rPr>
        <w:t xml:space="preserve">（Garbage</w:t>
      </w:r>
      <w:r>
        <w:rPr>
          <w:rFonts w:ascii="宋体" w:hAnsi="宋体" w:eastAsia="宋体"/>
          <w:color w:val="000000"/>
          <w:sz w:val="24"/>
        </w:rPr>
        <w:t xml:space="preserve"> In, Garbage </w:t>
      </w:r>
      <w:r>
        <w:rPr>
          <w:rFonts w:hint="eastAsia" w:ascii="宋体" w:hAnsi="宋体" w:eastAsia="宋体"/>
          <w:color w:val="000000"/>
          <w:sz w:val="24"/>
        </w:rPr>
        <w:t xml:space="preserve">Out）是人工智能领域的基本定律，低质量的开放数据不仅无法产生有价值的分析结果，还可能导致错误的预测和决策。第三，数据更新要求——大数据应用通常需要实时或准实时的数据流，如果政府数据开放的更新频率过低，将无法满足实时分析的需求。这些新要求对本研究评估框架的启示在于：评估数据开放质量时，需要考虑数据开放对新兴技术应用的支撑能力。</w:t>
      </w:r>
    </w:p>
    <w:bookmarkEnd w:id="68"/>
    <w:bookmarkStart w:id="69" w:name="政府数据开放的发展阶段"/>
    <w:p>
      <w:pPr>
        <w:pStyle w:val="Heading4"/>
        <w:spacing w:line="360" w:lineRule="auto"/>
      </w:pPr>
      <w:r>
        <w:rPr>
          <w:rFonts w:ascii="宋体" w:hAnsi="宋体" w:eastAsia="宋体"/>
          <w:color w:val="000000"/>
          <w:sz w:val="24"/>
        </w:rPr>
        <w:t xml:space="preserve">2.1.4 </w:t>
      </w:r>
      <w:r>
        <w:rPr>
          <w:rFonts w:hint="eastAsia" w:ascii="宋体" w:hAnsi="宋体" w:eastAsia="宋体"/>
          <w:color w:val="000000"/>
          <w:sz w:val="24"/>
        </w:rPr>
        <w:t xml:space="preserve">政府数据开放的发展阶段</w:t>
      </w:r>
    </w:p>
    <w:p>
      <w:pPr>
        <w:pStyle w:val="FirstParagraph"/>
        <w:spacing w:line="360" w:lineRule="auto"/>
      </w:pPr>
      <w:r>
        <w:rPr>
          <w:rFonts w:hint="eastAsia" w:ascii="宋体" w:hAnsi="宋体" w:eastAsia="宋体"/>
          <w:color w:val="000000"/>
          <w:sz w:val="24"/>
        </w:rPr>
        <w:t xml:space="preserve">从全球视野看，政府数据开放的发展经历了三个阶段的演进，每个阶段对应不同的技术基础、制度环境和理论关切。</w:t>
      </w:r>
    </w:p>
    <w:p>
      <w:pPr>
        <w:pStyle w:val="BodyText"/>
        <w:spacing w:line="360" w:lineRule="auto"/>
      </w:pPr>
      <w:r>
        <w:rPr>
          <w:rFonts w:hint="eastAsia" w:ascii="宋体" w:hAnsi="宋体" w:eastAsia="宋体"/>
          <w:b/>
          <w:bCs/>
          <w:color w:val="000000"/>
          <w:sz w:val="24"/>
        </w:rPr>
        <w:t xml:space="preserve">第一阶段：技术驱动期（2009-2013）。</w:t>
      </w:r>
      <w:r>
        <w:rPr>
          <w:rFonts w:ascii="宋体" w:hAnsi="宋体" w:eastAsia="宋体"/>
          <w:color w:val="000000"/>
          <w:sz w:val="24"/>
        </w:rPr>
        <w:t xml:space="preserve"> </w:t>
      </w:r>
      <w:r>
        <w:rPr>
          <w:rFonts w:hint="eastAsia" w:ascii="宋体" w:hAnsi="宋体" w:eastAsia="宋体"/>
          <w:color w:val="000000"/>
          <w:sz w:val="24"/>
        </w:rPr>
        <w:t xml:space="preserve">这一阶段以平台建设和技术探索为核心特征。2009年美国Data.gov的上线标志着政府数据开放从理念走向实践，随后英国、澳大利亚、加拿大、法国等发达国家相继建立国家数据开放平台。这一阶段的技术特征是以CKAN、Socrata等开源平台为基础，提供基本的数据目录展示和文件下载功能。制度特征是缺乏统一的开放标准，各平台的数据格式、元数据规范、开放许可各不相同。理论关切聚焦于”开放什么”——哪些数据应该优先开放？数据开放的边界在哪里？Yu和Robinson在这一阶段提出的”可读vs可用”区分，为后续研究奠定了概念基础。Davies从知识管理视角分析了开放数据的信息生态，提出了”数据-信息-知识-智慧”（DIKW）的层级转化模型，为理解数据开放的”利用”本质提供了认识论框架。</w:t>
      </w:r>
    </w:p>
    <w:p>
      <w:pPr>
        <w:pStyle w:val="BodyText"/>
        <w:spacing w:line="360" w:lineRule="auto"/>
      </w:pPr>
      <w:r>
        <w:rPr>
          <w:rFonts w:hint="eastAsia" w:ascii="宋体" w:hAnsi="宋体" w:eastAsia="宋体"/>
          <w:color w:val="000000"/>
          <w:sz w:val="24"/>
        </w:rPr>
        <w:t xml:space="preserve">在这一阶段，平台建设者面临的主要挑战是”如何让用户找到数据”——在数据集数量较少（通常数百到数千个）的情况下，简单的目录浏览和关键词搜索就能满足用户需求。但随着数据集数量的快速增长，数据发现的问题日益突出。Kalampokis等研究了开放数据的搜索和发现机制，发现用户在使用开放数据平台时面临严重的”信息过载”问题——面对数万甚至数十万个数据集，用户往往不知道从哪里开始搜索，也不知道哪些数据集与自己的需求相关。这一发现促使平台开发者引入更高级的数据发现功能，如主题分类、标签系统、数据推荐等。</w:t>
      </w:r>
    </w:p>
    <w:p>
      <w:pPr>
        <w:pStyle w:val="BodyText"/>
        <w:spacing w:line="360" w:lineRule="auto"/>
      </w:pPr>
      <w:r>
        <w:rPr>
          <w:rFonts w:hint="eastAsia" w:ascii="宋体" w:hAnsi="宋体" w:eastAsia="宋体"/>
          <w:b/>
          <w:bCs/>
          <w:color w:val="000000"/>
          <w:sz w:val="24"/>
        </w:rPr>
        <w:t xml:space="preserve">第二阶段：制度规范期（2014-2018）。</w:t>
      </w:r>
      <w:r>
        <w:rPr>
          <w:rFonts w:ascii="宋体" w:hAnsi="宋体" w:eastAsia="宋体"/>
          <w:color w:val="000000"/>
          <w:sz w:val="24"/>
        </w:rPr>
        <w:t xml:space="preserve"> </w:t>
      </w:r>
      <w:r>
        <w:rPr>
          <w:rFonts w:hint="eastAsia" w:ascii="宋体" w:hAnsi="宋体" w:eastAsia="宋体"/>
          <w:color w:val="000000"/>
          <w:sz w:val="24"/>
        </w:rPr>
        <w:t xml:space="preserve">这一阶段以标准制定和制度完善为核心特征。国际社会形成了较为完善的开放数据标准体系：Open</w:t>
      </w:r>
      <w:r>
        <w:rPr>
          <w:rFonts w:ascii="宋体" w:hAnsi="宋体" w:eastAsia="宋体"/>
          <w:color w:val="000000"/>
          <w:sz w:val="24"/>
        </w:rPr>
        <w:t xml:space="preserve"> Data </w:t>
      </w:r>
      <w:r>
        <w:rPr>
          <w:rFonts w:hint="eastAsia" w:ascii="宋体" w:hAnsi="宋体" w:eastAsia="宋体"/>
          <w:color w:val="000000"/>
          <w:sz w:val="24"/>
        </w:rPr>
        <w:t xml:space="preserve">Charter提出了六项开放数据原则，OECD发布了开放数据推进路径指南，ISO制定了数据质量和元数据标准。国内方面，2015年《促进大数据发展行动纲要》标志着数据开放上升为国家战略，2017年贵阳率先上线省级平台，各地相继跟进。这一阶段的技术特征是API接口、数据可视化、地理信息系统等高级功能的普及。理论关切聚焦于”如何开放”——平台建设、技术标准、数据质量保障成为研究热点。Zuiderwijk等系统分析了开放数据平台的用户参与机制，发现”数据可发现性”和”API可用性”是影响用户持续使用的关键因素。Kratz和Nurnberger研究了数据集的机器可读性标准，提出了”5星开放数据”评级体系——1星为可获取但非机器可读，5星为关联数据且可被机器自动处理。</w:t>
      </w:r>
    </w:p>
    <w:p>
      <w:pPr>
        <w:pStyle w:val="BodyText"/>
        <w:spacing w:line="360" w:lineRule="auto"/>
      </w:pPr>
      <w:r>
        <w:rPr>
          <w:rFonts w:hint="eastAsia" w:ascii="宋体" w:hAnsi="宋体" w:eastAsia="宋体"/>
          <w:color w:val="000000"/>
          <w:sz w:val="24"/>
        </w:rPr>
        <w:t xml:space="preserve">在这一阶段，</w:t>
      </w:r>
      <w:r>
        <w:rPr>
          <w:rFonts w:hint="eastAsia" w:ascii="宋体" w:hAnsi="宋体" w:eastAsia="宋体"/>
          <w:color w:val="000000"/>
          <w:sz w:val="24"/>
        </w:rPr>
        <w:t xml:space="preserve">“开放数据标准”</w:t>
      </w:r>
      <w:r>
        <w:rPr>
          <w:rFonts w:hint="eastAsia" w:ascii="宋体" w:hAnsi="宋体" w:eastAsia="宋体"/>
          <w:color w:val="000000"/>
          <w:sz w:val="24"/>
        </w:rPr>
        <w:t xml:space="preserve">成为学术界和政策界关注的焦点。标准的统一性对于数据的互操作性和再利用至关重要——如果不同平台使用不同的数据格式、元数据标准和API规范，用户在整合多源数据时需要花费大量时间进行数据转换和格式适配。OECD在这一阶段发挥了重要的标准协调作用，发布了《开放数据政策框架》《开放数据影响评估指南》等政策文件，推动成员国在开放数据标准上的协调一致。然而，标准的制定和采纳是一个漫长的过程——即使国际标准已经发布，各国在采纳和实施过程中仍然存在差异，这种差异成为数据跨境流动和整合的技术障碍。</w:t>
      </w:r>
    </w:p>
    <w:p>
      <w:pPr>
        <w:pStyle w:val="BodyText"/>
        <w:spacing w:line="360" w:lineRule="auto"/>
      </w:pPr>
      <w:r>
        <w:rPr>
          <w:rFonts w:hint="eastAsia" w:ascii="宋体" w:hAnsi="宋体" w:eastAsia="宋体"/>
          <w:b/>
          <w:bCs/>
          <w:color w:val="000000"/>
          <w:sz w:val="24"/>
        </w:rPr>
        <w:t xml:space="preserve">第三阶段：效果导向期（2019至今）。</w:t>
      </w:r>
      <w:r>
        <w:rPr>
          <w:rFonts w:ascii="宋体" w:hAnsi="宋体" w:eastAsia="宋体"/>
          <w:color w:val="000000"/>
          <w:sz w:val="24"/>
        </w:rPr>
        <w:t xml:space="preserve"> </w:t>
      </w:r>
      <w:r>
        <w:rPr>
          <w:rFonts w:hint="eastAsia" w:ascii="宋体" w:hAnsi="宋体" w:eastAsia="宋体"/>
          <w:color w:val="000000"/>
          <w:sz w:val="24"/>
        </w:rPr>
        <w:t xml:space="preserve">这一阶段以利用效果评估和价值实现为核心特征。随着平台数量的饱和和数据集规模的扩张，学术界和实践界越来越关注”开放有何用”——数据开放是否产生了预期的社会经济价值？Safarov等研究了开放数据在公共服务创新中的应用，Lassinantti等探讨了开放数据对中小企业的创新促进作用。国内方面，2020年数据被列为第五大生产要素，2021年《数据安全法》将政务数据开放纳入法治化轨道，2022年”数据二十条”提出数据产权三权分置，2023年国家数据局成立，2024年《关于加强数据资产管理的指导意见》推进数据资产全过程管理，2025年《公共数据授权运营规范（征求意见稿）》为授权运营提供标准化指引。这一系列制度演进表明，数据开放已从”可开放”走向”可用好”的新阶段，评估重心从供给侧向效果侧迁移。</w:t>
      </w:r>
    </w:p>
    <w:p>
      <w:pPr>
        <w:pStyle w:val="BodyText"/>
        <w:spacing w:line="360" w:lineRule="auto"/>
      </w:pPr>
      <w:r>
        <w:rPr>
          <w:rFonts w:hint="eastAsia" w:ascii="宋体" w:hAnsi="宋体" w:eastAsia="宋体"/>
          <w:color w:val="000000"/>
          <w:sz w:val="24"/>
        </w:rPr>
        <w:t xml:space="preserve">在这一阶段，</w:t>
      </w:r>
      <w:r>
        <w:rPr>
          <w:rFonts w:hint="eastAsia" w:ascii="宋体" w:hAnsi="宋体" w:eastAsia="宋体"/>
          <w:color w:val="000000"/>
          <w:sz w:val="24"/>
        </w:rPr>
        <w:t xml:space="preserve">“数据价值评估”</w:t>
      </w:r>
      <w:r>
        <w:rPr>
          <w:rFonts w:hint="eastAsia" w:ascii="宋体" w:hAnsi="宋体" w:eastAsia="宋体"/>
          <w:color w:val="000000"/>
          <w:sz w:val="24"/>
        </w:rPr>
        <w:t xml:space="preserve">成为研究的热点。Jetzek等构建了开放数据的价值评估框架，将开放数据的价值分为直接价值（如透明度提升、问责增强）和间接价值（如经济增长、创新促进、社会包容）。Martin等提出了”数据价值光谱”概念，认为数据开放的价值不是二元的（</w:t>
      </w:r>
      <w:r>
        <w:rPr>
          <w:rFonts w:hint="eastAsia" w:ascii="宋体" w:hAnsi="宋体" w:eastAsia="宋体"/>
          <w:color w:val="000000"/>
          <w:sz w:val="24"/>
        </w:rPr>
        <w:t xml:space="preserve">“有”</w:t>
      </w:r>
      <w:r>
        <w:rPr>
          <w:rFonts w:hint="eastAsia" w:ascii="宋体" w:hAnsi="宋体" w:eastAsia="宋体"/>
          <w:color w:val="000000"/>
          <w:sz w:val="24"/>
        </w:rPr>
        <w:t xml:space="preserve">或”无”），而是一个连续谱系——从”基本透明”到”深度利用”，不同平台在价值谱系上处于不同位置。这一”价值光谱”概念对本研究的启示在于：评估数据开放绩效时，不应仅关注”是否开放了数据”，还应关注”数据产生了多少价值”——价值的大小和类型是绩效评估的核心内容。</w:t>
      </w:r>
    </w:p>
    <w:p>
      <w:pPr>
        <w:pStyle w:val="BodyText"/>
        <w:spacing w:line="360" w:lineRule="auto"/>
      </w:pPr>
      <w:r>
        <w:rPr>
          <w:rFonts w:hint="eastAsia" w:ascii="宋体" w:hAnsi="宋体" w:eastAsia="宋体"/>
          <w:color w:val="000000"/>
          <w:sz w:val="24"/>
        </w:rPr>
        <w:t xml:space="preserve">从我国省级平台的发展历程看，可以划分为三个波段。第一波（2017-2018）：贵阳、上海、北京、广东、浙江等先行省份率先上线平台，以探索为主要特征，平台功能较为基础。第二波（2019-2021）：随着国家战略的推动，山东、四川、福建、湖北等省份集中上线，平台数量快速扩张，但质量参差不齐。第三波（2022-2024）：中西部省份加速追赶，河南、山西、内蒙古等省份陆续上线，平台建设进入全面覆盖阶段。截至2025年，31个省级行政区中已有28个建有独立的数据开放平台（不含青海、甘肃、西藏），平台建设已从”有没有”转向”好不好”的新阶段。</w:t>
      </w:r>
    </w:p>
    <w:p>
      <w:pPr>
        <w:pStyle w:val="BodyText"/>
        <w:spacing w:line="360" w:lineRule="auto"/>
      </w:pPr>
      <w:r>
        <w:rPr>
          <w:rFonts w:hint="eastAsia" w:ascii="宋体" w:hAnsi="宋体" w:eastAsia="宋体"/>
          <w:color w:val="000000"/>
          <w:sz w:val="24"/>
        </w:rPr>
        <w:t xml:space="preserve">然而，平台建设的”量”的增长并未带来数据利用”质”的飞跃。这一”量增质未增”的困境在第三阶段尤为突出——平台数量和数据集规模持续增长，但数据的有效利用率、应用创新成果、社会经济价值等效果指标并未同步提升。这一困境的根源在于评估体系的导向偏差——当评估指标主要关注供给侧的数量指标时，平台运营者的行为激励自然向供给侧倾斜，效果侧的投入和优化被系统性忽视。本研究正是在这一背景下提出”效果导向”评估范式的——通过调整评估指标的权重结构，将平台运营者的行为激励从”数量增长”转向”价值创造”。</w:t>
      </w:r>
    </w:p>
    <w:bookmarkEnd w:id="69"/>
    <w:bookmarkEnd w:id="70"/>
    <w:bookmarkStart w:id="75" w:name="政府数据开放评估研究"/>
    <w:p>
      <w:pPr>
        <w:pStyle w:val="Heading3"/>
        <w:spacing w:line="360" w:lineRule="auto"/>
      </w:pPr>
      <w:r>
        <w:rPr>
          <w:rFonts w:ascii="黑体" w:hAnsi="黑体" w:eastAsia="黑体"/>
          <w:b/>
          <w:color w:val="000000"/>
          <w:sz w:val="24"/>
        </w:rPr>
        <w:t xml:space="preserve">2.2 </w:t>
      </w:r>
      <w:r>
        <w:rPr>
          <w:rFonts w:hint="eastAsia" w:ascii="黑体" w:hAnsi="黑体" w:eastAsia="黑体"/>
          <w:b/>
          <w:color w:val="000000"/>
          <w:sz w:val="24"/>
        </w:rPr>
        <w:t xml:space="preserve">政府数据开放评估研究</w:t>
      </w:r>
    </w:p>
    <w:bookmarkStart w:id="71" w:name="国际评估工具综述"/>
    <w:p>
      <w:pPr>
        <w:pStyle w:val="Heading4"/>
        <w:spacing w:line="360" w:lineRule="auto"/>
      </w:pPr>
      <w:r>
        <w:rPr>
          <w:rFonts w:ascii="宋体" w:hAnsi="宋体" w:eastAsia="宋体"/>
          <w:color w:val="000000"/>
          <w:sz w:val="24"/>
        </w:rPr>
        <w:t xml:space="preserve">2.2.1 </w:t>
      </w:r>
      <w:r>
        <w:rPr>
          <w:rFonts w:hint="eastAsia" w:ascii="宋体" w:hAnsi="宋体" w:eastAsia="宋体"/>
          <w:color w:val="000000"/>
          <w:sz w:val="24"/>
        </w:rPr>
        <w:t xml:space="preserve">国际评估工具综述</w:t>
      </w:r>
    </w:p>
    <w:p>
      <w:pPr>
        <w:pStyle w:val="FirstParagraph"/>
        <w:spacing w:line="360" w:lineRule="auto"/>
      </w:pPr>
      <w:r>
        <w:rPr>
          <w:rFonts w:hint="eastAsia" w:ascii="宋体" w:hAnsi="宋体" w:eastAsia="宋体"/>
          <w:color w:val="000000"/>
          <w:sz w:val="24"/>
        </w:rPr>
        <w:t xml:space="preserve">政府数据开放评估研究是国际学术界和政策界关注的热点领域，形成了较为成熟的评估工具体系。根据评估维度、方法论和适用范围的不同，现有评估工具可以分为以下几类。</w:t>
      </w:r>
    </w:p>
    <w:p>
      <w:pPr>
        <w:pStyle w:val="BodyText"/>
        <w:spacing w:line="360" w:lineRule="auto"/>
      </w:pPr>
      <w:r>
        <w:rPr>
          <w:rFonts w:ascii="宋体" w:hAnsi="宋体" w:eastAsia="宋体"/>
          <w:b/>
          <w:bCs/>
          <w:color w:val="000000"/>
          <w:sz w:val="24"/>
        </w:rPr>
        <w:t xml:space="preserve">Open Data </w:t>
      </w:r>
      <w:r>
        <w:rPr>
          <w:rFonts w:hint="eastAsia" w:ascii="宋体" w:hAnsi="宋体" w:eastAsia="宋体"/>
          <w:b/>
          <w:bCs/>
          <w:color w:val="000000"/>
          <w:sz w:val="24"/>
        </w:rPr>
        <w:t xml:space="preserve">Barometer（ODB）。</w:t>
      </w:r>
      <w:r>
        <w:rPr>
          <w:rFonts w:ascii="宋体" w:hAnsi="宋体" w:eastAsia="宋体"/>
          <w:color w:val="000000"/>
          <w:sz w:val="24"/>
        </w:rPr>
        <w:t xml:space="preserve"> </w:t>
      </w:r>
      <w:r>
        <w:rPr>
          <w:rFonts w:hint="eastAsia" w:ascii="宋体" w:hAnsi="宋体" w:eastAsia="宋体"/>
          <w:color w:val="000000"/>
          <w:sz w:val="24"/>
        </w:rPr>
        <w:t xml:space="preserve">ODB由World</w:t>
      </w:r>
      <w:r>
        <w:rPr>
          <w:rFonts w:ascii="宋体" w:hAnsi="宋体" w:eastAsia="宋体"/>
          <w:color w:val="000000"/>
          <w:sz w:val="24"/>
        </w:rPr>
        <w:t xml:space="preserve"> Wide Web </w:t>
      </w:r>
      <w:r>
        <w:rPr>
          <w:rFonts w:hint="eastAsia" w:ascii="宋体" w:hAnsi="宋体" w:eastAsia="宋体"/>
          <w:color w:val="000000"/>
          <w:sz w:val="24"/>
        </w:rPr>
        <w:t xml:space="preserve">Foundation开发，从准备度、实施度和影响力三个维度评估各国数据开放状况，覆盖了全球150余个国家和地区，是目前最具国际影响力的开放数据评估工具。其”准备度”维度考察政府是否具备数据开放的政策、法律和制度基础，具体指标包括：是否有国家层面的数据开放战略、是否有专门的开放数据许可协议、是否有数据开放的标准规范等。</w:t>
      </w:r>
      <w:r>
        <w:rPr>
          <w:rFonts w:hint="eastAsia" w:ascii="宋体" w:hAnsi="宋体" w:eastAsia="宋体"/>
          <w:color w:val="000000"/>
          <w:sz w:val="24"/>
        </w:rPr>
        <w:t xml:space="preserve">“实施度”</w:t>
      </w:r>
      <w:r>
        <w:rPr>
          <w:rFonts w:hint="eastAsia" w:ascii="宋体" w:hAnsi="宋体" w:eastAsia="宋体"/>
          <w:color w:val="000000"/>
          <w:sz w:val="24"/>
        </w:rPr>
        <w:t xml:space="preserve">维度考察政府实际开放了多少关键数据集，评估的15个关键数据集包括政府预算、立法信息、环境污染、选举结果、土地所有权等。</w:t>
      </w:r>
      <w:r>
        <w:rPr>
          <w:rFonts w:hint="eastAsia" w:ascii="宋体" w:hAnsi="宋体" w:eastAsia="宋体"/>
          <w:color w:val="000000"/>
          <w:sz w:val="24"/>
        </w:rPr>
        <w:t xml:space="preserve">“影响力”</w:t>
      </w:r>
      <w:r>
        <w:rPr>
          <w:rFonts w:hint="eastAsia" w:ascii="宋体" w:hAnsi="宋体" w:eastAsia="宋体"/>
          <w:color w:val="000000"/>
          <w:sz w:val="24"/>
        </w:rPr>
        <w:t xml:space="preserve">维度考察数据开放是否产生了社会经济影响，通过专家问卷评估数据开放在政府问责、公共服务、经济增长、社会包容等方面的影响。</w:t>
      </w:r>
    </w:p>
    <w:p>
      <w:pPr>
        <w:pStyle w:val="BodyText"/>
        <w:spacing w:line="360" w:lineRule="auto"/>
      </w:pPr>
      <w:r>
        <w:rPr>
          <w:rFonts w:hint="eastAsia" w:ascii="宋体" w:hAnsi="宋体" w:eastAsia="宋体"/>
          <w:color w:val="000000"/>
          <w:sz w:val="24"/>
        </w:rPr>
        <w:t xml:space="preserve">ODB的理论贡献在于将评估从”平台功能”拓展到”社会影响”，但其局限在于”影响力”维度主要通过专家主观评估而非客观数据衡量，评估结果的可靠性和可比较性受到质疑——不同专家对”影响力”的理解和评判标准可能存在显著差异。此外，ODB的评估周期较长（每两年发布一次），难以反映数据开放的动态变化。对于平台运营者而言，ODB的评估结果只能提供”静态快照”，无法提供”动态趋势”——一个平台在两年间的绩效变化无法被ODB捕捉到。</w:t>
      </w:r>
    </w:p>
    <w:p>
      <w:pPr>
        <w:pStyle w:val="BodyText"/>
        <w:spacing w:line="360" w:lineRule="auto"/>
      </w:pPr>
      <w:r>
        <w:rPr>
          <w:rFonts w:ascii="宋体" w:hAnsi="宋体" w:eastAsia="宋体"/>
          <w:b/>
          <w:bCs/>
          <w:color w:val="000000"/>
          <w:sz w:val="24"/>
        </w:rPr>
        <w:t xml:space="preserve">Open Data </w:t>
      </w:r>
      <w:r>
        <w:rPr>
          <w:rFonts w:hint="eastAsia" w:ascii="宋体" w:hAnsi="宋体" w:eastAsia="宋体"/>
          <w:b/>
          <w:bCs/>
          <w:color w:val="000000"/>
          <w:sz w:val="24"/>
        </w:rPr>
        <w:t xml:space="preserve">Index（ODI）。</w:t>
      </w:r>
      <w:r>
        <w:rPr>
          <w:rFonts w:ascii="宋体" w:hAnsi="宋体" w:eastAsia="宋体"/>
          <w:color w:val="000000"/>
          <w:sz w:val="24"/>
        </w:rPr>
        <w:t xml:space="preserve"> </w:t>
      </w:r>
      <w:r>
        <w:rPr>
          <w:rFonts w:hint="eastAsia" w:ascii="宋体" w:hAnsi="宋体" w:eastAsia="宋体"/>
          <w:color w:val="000000"/>
          <w:sz w:val="24"/>
        </w:rPr>
        <w:t xml:space="preserve">ODI由Open</w:t>
      </w:r>
      <w:r>
        <w:rPr>
          <w:rFonts w:ascii="宋体" w:hAnsi="宋体" w:eastAsia="宋体"/>
          <w:color w:val="000000"/>
          <w:sz w:val="24"/>
        </w:rPr>
        <w:t xml:space="preserve"> Knowledge </w:t>
      </w:r>
      <w:r>
        <w:rPr>
          <w:rFonts w:hint="eastAsia" w:ascii="宋体" w:hAnsi="宋体" w:eastAsia="宋体"/>
          <w:color w:val="000000"/>
          <w:sz w:val="24"/>
        </w:rPr>
        <w:t xml:space="preserve">Foundation开发，侧重数据集的机器可读性、开放许可和数据质量，为评估单个数据集的开放程度提供了细粒度工具。其”开放数据证书”（Open</w:t>
      </w:r>
      <w:r>
        <w:rPr>
          <w:rFonts w:ascii="宋体" w:hAnsi="宋体" w:eastAsia="宋体"/>
          <w:color w:val="000000"/>
          <w:sz w:val="24"/>
        </w:rPr>
        <w:t xml:space="preserve"> Data </w:t>
      </w:r>
      <w:r>
        <w:rPr>
          <w:rFonts w:hint="eastAsia" w:ascii="宋体" w:hAnsi="宋体" w:eastAsia="宋体"/>
          <w:color w:val="000000"/>
          <w:sz w:val="24"/>
        </w:rPr>
        <w:t xml:space="preserve">Certificate）从法律（legal）、实践（practical）、社会（social）和技术（technical）四个维度对数据集进行认证，是评估粒度最细的工具之一。法律维度考察数据集的许可协议是否符合开放数据原则；实践维度考察数据集的发布频率、更新机制和用户支持；社会维度考察数据集的社会影响和公众参与度；技术维度考察数据集的格式标准化、API可用性和元数据完整性。</w:t>
      </w:r>
    </w:p>
    <w:p>
      <w:pPr>
        <w:pStyle w:val="BodyText"/>
        <w:spacing w:line="360" w:lineRule="auto"/>
      </w:pPr>
      <w:r>
        <w:rPr>
          <w:rFonts w:hint="eastAsia" w:ascii="宋体" w:hAnsi="宋体" w:eastAsia="宋体"/>
          <w:color w:val="000000"/>
          <w:sz w:val="24"/>
        </w:rPr>
        <w:t xml:space="preserve">ODI的优势在于评估标准的明确性和可操作性——每个数据集都可以通过一套标准化的问卷进行评估，评估结果可重复、可比较。但其局限在于覆盖面窄，仅评估15个关键数据集（如政府预算、立法信息、环境污染等），无法反映平台数据开放的全貌。对于一个拥有数万个数据集的平台而言，15个数据集的评估结果无法代表平台的整体水平——平台可能在15个关键数据集上表现优异，但在其他数据集上表现糟糕，或者反之。此外，ODI的评估依赖于外部专家的独立评估，平台运营者无法自行提交评估材料，这种”外部评估”模式虽然保证了评估的客观性，但也增加了评估的成本和周期。</w:t>
      </w:r>
    </w:p>
    <w:p>
      <w:pPr>
        <w:pStyle w:val="BodyText"/>
        <w:spacing w:line="360" w:lineRule="auto"/>
      </w:pPr>
      <w:r>
        <w:rPr>
          <w:rFonts w:ascii="宋体" w:hAnsi="宋体" w:eastAsia="宋体"/>
          <w:b/>
          <w:bCs/>
          <w:color w:val="000000"/>
          <w:sz w:val="24"/>
        </w:rPr>
        <w:t xml:space="preserve">Global Open Data </w:t>
      </w:r>
      <w:r>
        <w:rPr>
          <w:rFonts w:hint="eastAsia" w:ascii="宋体" w:hAnsi="宋体" w:eastAsia="宋体"/>
          <w:b/>
          <w:bCs/>
          <w:color w:val="000000"/>
          <w:sz w:val="24"/>
        </w:rPr>
        <w:t xml:space="preserve">Index（GODI）。</w:t>
      </w:r>
      <w:r>
        <w:rPr>
          <w:rFonts w:ascii="宋体" w:hAnsi="宋体" w:eastAsia="宋体"/>
          <w:color w:val="000000"/>
          <w:sz w:val="24"/>
        </w:rPr>
        <w:t xml:space="preserve"> </w:t>
      </w:r>
      <w:r>
        <w:rPr>
          <w:rFonts w:hint="eastAsia" w:ascii="宋体" w:hAnsi="宋体" w:eastAsia="宋体"/>
          <w:color w:val="000000"/>
          <w:sz w:val="24"/>
        </w:rPr>
        <w:t xml:space="preserve">GODI关注15个关键数据集的开放状态，以标杆比较方式推动各国数据开放。其优势在于评估的可比较性和可重复性——每年使用相同的15个数据集和相同的评估标准，可以追踪各国数据开放的进展。但GODI的局限也十分明显：15个数据集仅代表政府数据开放的一个极小子集，无法反映平台在医疗健康、交通运输、教育文化等领域的开放状况。此外，GODI的评估依赖于专家判断，不同专家对同一数据集开放程度的评判可能存在差异。</w:t>
      </w:r>
    </w:p>
    <w:p>
      <w:pPr>
        <w:pStyle w:val="BodyText"/>
        <w:spacing w:line="360" w:lineRule="auto"/>
      </w:pPr>
      <w:r>
        <w:rPr>
          <w:rFonts w:hint="eastAsia" w:ascii="宋体" w:hAnsi="宋体" w:eastAsia="宋体"/>
          <w:color w:val="000000"/>
          <w:sz w:val="24"/>
        </w:rPr>
        <w:t xml:space="preserve">GODI的评估方法对我国的启示在于：标杆比较是推动数据开放的有效机制——当政府知道自己与其他国家的差距时，会有更强的动力去改进。但GODI的”一刀切”评估标准忽视了各国数据治理制度的差异——不同国家的数据分类体系、数据安全法规、隐私保护标准各不相同，用同一套标准评估所有国家可能产生”不公平”的结果。例如，某些国家由于隐私保护法规严格，无法开放GODI要求的”土地所有权”数据集，但这并不意味着该国的数据开放水平”低下”——只是制度环境不同而已。</w:t>
      </w:r>
    </w:p>
    <w:p>
      <w:pPr>
        <w:pStyle w:val="BodyText"/>
        <w:spacing w:line="360" w:lineRule="auto"/>
      </w:pPr>
      <w:r>
        <w:rPr>
          <w:rFonts w:ascii="宋体" w:hAnsi="宋体" w:eastAsia="宋体"/>
          <w:b/>
          <w:bCs/>
          <w:color w:val="000000"/>
          <w:sz w:val="24"/>
        </w:rPr>
        <w:t xml:space="preserve">Open Data </w:t>
      </w:r>
      <w:r>
        <w:rPr>
          <w:rFonts w:hint="eastAsia" w:ascii="宋体" w:hAnsi="宋体" w:eastAsia="宋体"/>
          <w:b/>
          <w:bCs/>
          <w:color w:val="000000"/>
          <w:sz w:val="24"/>
        </w:rPr>
        <w:t xml:space="preserve">Maturity（ODM）。</w:t>
      </w:r>
      <w:r>
        <w:rPr>
          <w:rFonts w:ascii="宋体" w:hAnsi="宋体" w:eastAsia="宋体"/>
          <w:color w:val="000000"/>
          <w:sz w:val="24"/>
        </w:rPr>
        <w:t xml:space="preserve"> </w:t>
      </w:r>
      <w:r>
        <w:rPr>
          <w:rFonts w:hint="eastAsia" w:ascii="宋体" w:hAnsi="宋体" w:eastAsia="宋体"/>
          <w:color w:val="000000"/>
          <w:sz w:val="24"/>
        </w:rPr>
        <w:t xml:space="preserve">ODM由European</w:t>
      </w:r>
      <w:r>
        <w:rPr>
          <w:rFonts w:ascii="宋体" w:hAnsi="宋体" w:eastAsia="宋体"/>
          <w:color w:val="000000"/>
          <w:sz w:val="24"/>
        </w:rPr>
        <w:t xml:space="preserve"> </w:t>
      </w:r>
      <w:r>
        <w:rPr>
          <w:rFonts w:hint="eastAsia" w:ascii="宋体" w:hAnsi="宋体" w:eastAsia="宋体"/>
          <w:color w:val="000000"/>
          <w:sz w:val="24"/>
        </w:rPr>
        <w:t xml:space="preserve">Commission开发，专门评估欧盟成员国的数据开放成熟度，从政策、门户、质量、影响四个维度进行评估。ODM的特点是评估体系较为全面，不仅关注平台功能，还关注政策环境和利用效果。政策维度考察国家层面的数据开放战略、政策框架和制度保障；门户维度考察平台的功能完备性、用户体验和技术架构；质量维度考察数据集的完整性、准确性和时效性；影响维度考察数据开放在经济增长、公共服务、社会创新等方面的影响。</w:t>
      </w:r>
    </w:p>
    <w:p>
      <w:pPr>
        <w:pStyle w:val="BodyText"/>
        <w:spacing w:line="360" w:lineRule="auto"/>
      </w:pPr>
      <w:r>
        <w:rPr>
          <w:rFonts w:hint="eastAsia" w:ascii="宋体" w:hAnsi="宋体" w:eastAsia="宋体"/>
          <w:color w:val="000000"/>
          <w:sz w:val="24"/>
        </w:rPr>
        <w:t xml:space="preserve">ODM的评估方法较为成熟，每年发布的《欧洲开放数据成熟度报告》已成为欧盟数据开放政策制定的重要参考。但ODM的适用范围仅限于欧盟成员国，对我国的参考价值有限——欧盟的数据治理制度（如GDPR、PSI指令）与我国存在显著差异，直接移植ODM的评估指标可能产生”水土不服”。不过，ODM的”成熟度”概念对本研究具有重要启示——数据开放不是”有”或”无”的二元状态，而是一个从”初始”到”成熟”的渐进过程，评估应关注平台在成熟度曲线上的位置，而非简单的”好”或”坏”。</w:t>
      </w:r>
    </w:p>
    <w:p>
      <w:pPr>
        <w:pStyle w:val="BodyText"/>
        <w:spacing w:line="360" w:lineRule="auto"/>
      </w:pPr>
      <w:r>
        <w:rPr>
          <w:rFonts w:hint="eastAsia" w:ascii="宋体" w:hAnsi="宋体" w:eastAsia="宋体"/>
          <w:b/>
          <w:bCs/>
          <w:color w:val="000000"/>
          <w:sz w:val="24"/>
        </w:rPr>
        <w:t xml:space="preserve">其他国际评估工具。</w:t>
      </w:r>
      <w:r>
        <w:rPr>
          <w:rFonts w:ascii="宋体" w:hAnsi="宋体" w:eastAsia="宋体"/>
          <w:color w:val="000000"/>
          <w:sz w:val="24"/>
        </w:rPr>
        <w:t xml:space="preserve"> </w:t>
      </w:r>
      <w:r>
        <w:rPr>
          <w:rFonts w:hint="eastAsia" w:ascii="宋体" w:hAnsi="宋体" w:eastAsia="宋体"/>
          <w:color w:val="000000"/>
          <w:sz w:val="24"/>
        </w:rPr>
        <w:t xml:space="preserve">除上述主要工具外，国际学术界还开发了多种评估工具。Our</w:t>
      </w:r>
      <w:r>
        <w:rPr>
          <w:rFonts w:ascii="宋体" w:hAnsi="宋体" w:eastAsia="宋体"/>
          <w:color w:val="000000"/>
          <w:sz w:val="24"/>
        </w:rPr>
        <w:t xml:space="preserve"> Data </w:t>
      </w:r>
      <w:r>
        <w:rPr>
          <w:rFonts w:hint="eastAsia" w:ascii="宋体" w:hAnsi="宋体" w:eastAsia="宋体"/>
          <w:color w:val="000000"/>
          <w:sz w:val="24"/>
        </w:rPr>
        <w:t xml:space="preserve">Index由GovLab开发，从数据可用性、数据质量和数据利用三个维度评估城市级数据开放平台，重点关注数据开放对城市治理创新的贡献。Open</w:t>
      </w:r>
      <w:r>
        <w:rPr>
          <w:rFonts w:ascii="宋体" w:hAnsi="宋体" w:eastAsia="宋体"/>
          <w:color w:val="000000"/>
          <w:sz w:val="24"/>
        </w:rPr>
        <w:t xml:space="preserve"> Data </w:t>
      </w:r>
      <w:r>
        <w:rPr>
          <w:rFonts w:hint="eastAsia" w:ascii="宋体" w:hAnsi="宋体" w:eastAsia="宋体"/>
          <w:color w:val="000000"/>
          <w:sz w:val="24"/>
        </w:rPr>
        <w:t xml:space="preserve">Monitor由欧盟资助开发，采用自动化爬虫技术持续监测欧盟各国的数据开放平台，提供实时的平台性能指标（如数据集数量、更新频率、API可用性等）。Open</w:t>
      </w:r>
      <w:r>
        <w:rPr>
          <w:rFonts w:ascii="宋体" w:hAnsi="宋体" w:eastAsia="宋体"/>
          <w:color w:val="000000"/>
          <w:sz w:val="24"/>
        </w:rPr>
        <w:t xml:space="preserve"> Data Impact </w:t>
      </w:r>
      <w:r>
        <w:rPr>
          <w:rFonts w:hint="eastAsia" w:ascii="宋体" w:hAnsi="宋体" w:eastAsia="宋体"/>
          <w:color w:val="000000"/>
          <w:sz w:val="24"/>
        </w:rPr>
        <w:t xml:space="preserve">Map由Center</w:t>
      </w:r>
      <w:r>
        <w:rPr>
          <w:rFonts w:ascii="宋体" w:hAnsi="宋体" w:eastAsia="宋体"/>
          <w:color w:val="000000"/>
          <w:sz w:val="24"/>
        </w:rPr>
        <w:t xml:space="preserve"> for Open Data </w:t>
      </w:r>
      <w:r>
        <w:rPr>
          <w:rFonts w:hint="eastAsia" w:ascii="宋体" w:hAnsi="宋体" w:eastAsia="宋体"/>
          <w:color w:val="000000"/>
          <w:sz w:val="24"/>
        </w:rPr>
        <w:t xml:space="preserve">Enterprise维护，通过案例收集的方式记录全球范围内的数据开放应用案例，为数据开放的社会影响评估提供质性证据。这些工具虽然影响力不如ODB和ODI，但在评估方法上具有创新性，为本研究的评估框架设计提供了有益参考。</w:t>
      </w:r>
    </w:p>
    <w:bookmarkEnd w:id="71"/>
    <w:bookmarkStart w:id="72" w:name="国内评估工具综述"/>
    <w:p>
      <w:pPr>
        <w:pStyle w:val="Heading4"/>
        <w:spacing w:line="360" w:lineRule="auto"/>
      </w:pPr>
      <w:r>
        <w:rPr>
          <w:rFonts w:ascii="宋体" w:hAnsi="宋体" w:eastAsia="宋体"/>
          <w:color w:val="000000"/>
          <w:sz w:val="24"/>
        </w:rPr>
        <w:t xml:space="preserve">2.2.2 </w:t>
      </w:r>
      <w:r>
        <w:rPr>
          <w:rFonts w:hint="eastAsia" w:ascii="宋体" w:hAnsi="宋体" w:eastAsia="宋体"/>
          <w:color w:val="000000"/>
          <w:sz w:val="24"/>
        </w:rPr>
        <w:t xml:space="preserve">国内评估工具综述</w:t>
      </w:r>
    </w:p>
    <w:p>
      <w:pPr>
        <w:pStyle w:val="FirstParagraph"/>
        <w:spacing w:line="360" w:lineRule="auto"/>
      </w:pPr>
      <w:r>
        <w:rPr>
          <w:rFonts w:hint="eastAsia" w:ascii="宋体" w:hAnsi="宋体" w:eastAsia="宋体"/>
          <w:color w:val="000000"/>
          <w:sz w:val="24"/>
        </w:rPr>
        <w:t xml:space="preserve">在国内，政府数据开放评估研究起步较晚但发展迅速，形成了多种评估工具和指标体系。</w:t>
      </w:r>
    </w:p>
    <w:p>
      <w:pPr>
        <w:pStyle w:val="BodyText"/>
        <w:spacing w:line="360" w:lineRule="auto"/>
      </w:pPr>
      <w:r>
        <w:rPr>
          <w:rFonts w:hint="eastAsia" w:ascii="宋体" w:hAnsi="宋体" w:eastAsia="宋体"/>
          <w:b/>
          <w:bCs/>
          <w:color w:val="000000"/>
          <w:sz w:val="24"/>
        </w:rPr>
        <w:t xml:space="preserve">中国开放数林指数。</w:t>
      </w:r>
      <w:r>
        <w:rPr>
          <w:rFonts w:ascii="宋体" w:hAnsi="宋体" w:eastAsia="宋体"/>
          <w:color w:val="000000"/>
          <w:sz w:val="24"/>
        </w:rPr>
        <w:t xml:space="preserve"> </w:t>
      </w:r>
      <w:r>
        <w:rPr>
          <w:rFonts w:hint="eastAsia" w:ascii="宋体" w:hAnsi="宋体" w:eastAsia="宋体"/>
          <w:color w:val="000000"/>
          <w:sz w:val="24"/>
        </w:rPr>
        <w:t xml:space="preserve">郑磊团队开发的”中国开放数林指数”是国内最具影响力的政府数据开放评估工具，该指数从准备度、数据层、平台层和利用层四个维度评估地方政府数据开放水平，自2017年以来已连续发布8期，覆盖了省级、副省级和地市级平台，成为国内政府数据开放评估的事实标准。准备度维度考察政策法规、组织保障、标准规范等制度条件；数据层维度考察数据集数量、质量、主题覆盖等供给指标；平台层维度考察平台功能、用户体验、API服务等技术指标；利用层维度考察应用数量、创新比赛等效果指标。开放数林指数的数据采集方法较为规范，每年由研究团队对各平台进行实地访问和数据采集，评估结果具有较高的可信度和可比性。</w:t>
      </w:r>
    </w:p>
    <w:p>
      <w:pPr>
        <w:pStyle w:val="BodyText"/>
        <w:spacing w:line="360" w:lineRule="auto"/>
      </w:pPr>
      <w:r>
        <w:rPr>
          <w:rFonts w:hint="eastAsia" w:ascii="宋体" w:hAnsi="宋体" w:eastAsia="宋体"/>
          <w:color w:val="000000"/>
          <w:sz w:val="24"/>
        </w:rPr>
        <w:t xml:space="preserve">开放数林指数的评估框架经历了持续的迭代优化。早期版本（2017-2019）侧重供给侧指标，准备度、数据层和平台层合计权重超过85%；后期版本（2020-2025）逐步增加了利用层的权重，并引入了数据质量、用户体验等新的评估维度。这一演变轨迹反映了国内评估研究从”供给导向”向”效果导向”的范式转型——但转型的速度较慢、幅度较小，利用层权重至今仍未超过20%。</w:t>
      </w:r>
    </w:p>
    <w:p>
      <w:pPr>
        <w:pStyle w:val="BodyText"/>
        <w:spacing w:line="360" w:lineRule="auto"/>
      </w:pPr>
      <w:r>
        <w:rPr>
          <w:rFonts w:hint="eastAsia" w:ascii="宋体" w:hAnsi="宋体" w:eastAsia="宋体"/>
          <w:color w:val="000000"/>
          <w:sz w:val="24"/>
        </w:rPr>
        <w:t xml:space="preserve">然而，开放数林指数存在三个结构性局限。第一，</w:t>
      </w:r>
      <w:r>
        <w:rPr>
          <w:rFonts w:hint="eastAsia" w:ascii="宋体" w:hAnsi="宋体" w:eastAsia="宋体"/>
          <w:color w:val="000000"/>
          <w:sz w:val="24"/>
        </w:rPr>
        <w:t xml:space="preserve">“利用层”</w:t>
      </w:r>
      <w:r>
        <w:rPr>
          <w:rFonts w:hint="eastAsia" w:ascii="宋体" w:hAnsi="宋体" w:eastAsia="宋体"/>
          <w:color w:val="000000"/>
          <w:sz w:val="24"/>
        </w:rPr>
        <w:t xml:space="preserve">权重偏低——四个维度中利用层仅占约15%的权重，且仅包含”应用数量”和”创新比赛”两个指标，无法全面反映数据的实际利用深度和广度。一个拥有500个应用但API月调用量仅1000次的平台，与一个拥有50个应用但API月调用量达100万次的平台，在”利用层”得分上可能并无显著差异——但后者的数据利用深度显然远超前者。第二，缺乏效率维度——开放数林指数衡量了”开放了多少”和”利用了多少”，但未衡量”投入了多少资源来获得这些产出”，无法识别资源利用效率高低的平台。一个投入1亿元获得500个应用的平台与一个投入1000万元获得200个应用的平台，哪个更”高效”？开放数林指数无法回答这一问题。第三，评估方法单一——仅采用加权综合评分法，无法揭示绩效差异的形成机制和优化路径。这三个局限恰好是本研究DEA效率评价和fsQCA组态分析所要弥补的。</w:t>
      </w:r>
    </w:p>
    <w:p>
      <w:pPr>
        <w:pStyle w:val="BodyText"/>
        <w:spacing w:line="360" w:lineRule="auto"/>
      </w:pPr>
      <w:r>
        <w:rPr>
          <w:rFonts w:hint="eastAsia" w:ascii="宋体" w:hAnsi="宋体" w:eastAsia="宋体"/>
          <w:b/>
          <w:bCs/>
          <w:color w:val="000000"/>
          <w:sz w:val="24"/>
        </w:rPr>
        <w:t xml:space="preserve">其他国内评估工具。</w:t>
      </w:r>
      <w:r>
        <w:rPr>
          <w:rFonts w:ascii="宋体" w:hAnsi="宋体" w:eastAsia="宋体"/>
          <w:color w:val="000000"/>
          <w:sz w:val="24"/>
        </w:rPr>
        <w:t xml:space="preserve"> </w:t>
      </w:r>
      <w:r>
        <w:rPr>
          <w:rFonts w:hint="eastAsia" w:ascii="宋体" w:hAnsi="宋体" w:eastAsia="宋体"/>
          <w:color w:val="000000"/>
          <w:sz w:val="24"/>
        </w:rPr>
        <w:t xml:space="preserve">除开放数林指数外，国内学者还开发了多种评估工具。国家信息中心发布的《中国数字政府建设白皮书》中包含了数据开放评估的章节，但评估维度较为宏观，缺乏细粒度指标。清华大学数据治理研究中心开发了”政府数据开放指数”，侧重数据质量和平台功能，但未纳入利用效果维度。中国信息通信研究院发布的”数字政府建设发展水平评估”中包含了数据开放的相关指标，但主要面向地市级政府，且指标体系较为笼统。这些评估工具的共性局限在于：以供给侧评估为主，效果导向不足；以单一方法为主，缺乏多方法验证；以年度截面为主，缺乏动态追踪。</w:t>
      </w:r>
    </w:p>
    <w:p>
      <w:pPr>
        <w:pStyle w:val="BodyText"/>
        <w:spacing w:line="360" w:lineRule="auto"/>
      </w:pPr>
      <w:r>
        <w:rPr>
          <w:rFonts w:hint="eastAsia" w:ascii="宋体" w:hAnsi="宋体" w:eastAsia="宋体"/>
          <w:color w:val="000000"/>
          <w:sz w:val="24"/>
        </w:rPr>
        <w:t xml:space="preserve">在学术研究层面，国内学者还开发了多种专门化的评估工具。张涛等构建了基于平衡计分卡的政府数据开放绩效评估模型，从财务、客户、内部流程、学习与成长四个维度评估平台绩效，但该模型的”财务维度”在政府数据开放领域的适用性存疑——政府数据开放平台通常不以营利为目的，财务指标难以反映平台的真实绩效。周文泓等开发了基于用户满意度的数据开放平台评估工具，通过问卷调查衡量用户对平台功能和数据质量的感知，但主观满意度与客观绩效之间可能存在偏差——用户对”低期望”平台的满意度可能高于对”高期望”平台的满意度。</w:t>
      </w:r>
    </w:p>
    <w:bookmarkEnd w:id="72"/>
    <w:bookmarkStart w:id="73" w:name="评估方法论研究"/>
    <w:p>
      <w:pPr>
        <w:pStyle w:val="Heading4"/>
        <w:spacing w:line="360" w:lineRule="auto"/>
      </w:pPr>
      <w:r>
        <w:rPr>
          <w:rFonts w:ascii="宋体" w:hAnsi="宋体" w:eastAsia="宋体"/>
          <w:color w:val="000000"/>
          <w:sz w:val="24"/>
        </w:rPr>
        <w:t xml:space="preserve">2.2.3 </w:t>
      </w:r>
      <w:r>
        <w:rPr>
          <w:rFonts w:hint="eastAsia" w:ascii="宋体" w:hAnsi="宋体" w:eastAsia="宋体"/>
          <w:color w:val="000000"/>
          <w:sz w:val="24"/>
        </w:rPr>
        <w:t xml:space="preserve">评估方法论研究</w:t>
      </w:r>
    </w:p>
    <w:p>
      <w:pPr>
        <w:pStyle w:val="FirstParagraph"/>
        <w:spacing w:line="360" w:lineRule="auto"/>
      </w:pPr>
      <w:r>
        <w:rPr>
          <w:rFonts w:hint="eastAsia" w:ascii="宋体" w:hAnsi="宋体" w:eastAsia="宋体"/>
          <w:color w:val="000000"/>
          <w:sz w:val="24"/>
        </w:rPr>
        <w:t xml:space="preserve">评估方法论是评估研究的”元问题”——采用何种方法论决定了评估结果的性质、可靠性和解释力。在政府数据开放评估领域，方法论研究主要围绕以下几个核心争论展开。</w:t>
      </w:r>
    </w:p>
    <w:p>
      <w:pPr>
        <w:pStyle w:val="BodyText"/>
        <w:spacing w:line="360" w:lineRule="auto"/>
      </w:pPr>
      <w:r>
        <w:rPr>
          <w:rFonts w:hint="eastAsia" w:ascii="宋体" w:hAnsi="宋体" w:eastAsia="宋体"/>
          <w:b/>
          <w:bCs/>
          <w:color w:val="000000"/>
          <w:sz w:val="24"/>
        </w:rPr>
        <w:t xml:space="preserve">定性评估</w:t>
      </w:r>
      <w:r>
        <w:rPr>
          <w:rFonts w:ascii="宋体" w:hAnsi="宋体" w:eastAsia="宋体"/>
          <w:b/>
          <w:bCs/>
          <w:color w:val="000000"/>
          <w:sz w:val="24"/>
        </w:rPr>
        <w:t xml:space="preserve"> vs </w:t>
      </w:r>
      <w:r>
        <w:rPr>
          <w:rFonts w:hint="eastAsia" w:ascii="宋体" w:hAnsi="宋体" w:eastAsia="宋体"/>
          <w:b/>
          <w:bCs/>
          <w:color w:val="000000"/>
          <w:sz w:val="24"/>
        </w:rPr>
        <w:t xml:space="preserve">定量评估。</w:t>
      </w:r>
      <w:r>
        <w:rPr>
          <w:rFonts w:ascii="宋体" w:hAnsi="宋体" w:eastAsia="宋体"/>
          <w:color w:val="000000"/>
          <w:sz w:val="24"/>
        </w:rPr>
        <w:t xml:space="preserve"> </w:t>
      </w:r>
      <w:r>
        <w:rPr>
          <w:rFonts w:hint="eastAsia" w:ascii="宋体" w:hAnsi="宋体" w:eastAsia="宋体"/>
          <w:color w:val="000000"/>
          <w:sz w:val="24"/>
        </w:rPr>
        <w:t xml:space="preserve">定性评估主要通过专家访谈、案例分析和内容分析等方法，对数据开放的质量、效果和影响进行深度描述和解释。其优势在于能够捕捉评估指标无法量化的质性维度——如数据开放对政府文化的影响、对公众信任的提升等。其局限在于主观性较强、可重复性较差、难以进行横向比较。定量评估主要通过指标体系、统计分析和计量模型等方法，对数据开放的各项指标进行数值测量和比较分析。其优势在于客观性强、可重复性好、便于横向比较。其局限在于可能遗漏重要的质性维度，且对数据可得性要求较高。</w:t>
      </w:r>
    </w:p>
    <w:p>
      <w:pPr>
        <w:pStyle w:val="BodyText"/>
        <w:spacing w:line="360" w:lineRule="auto"/>
      </w:pPr>
      <w:r>
        <w:rPr>
          <w:rFonts w:hint="eastAsia" w:ascii="宋体" w:hAnsi="宋体" w:eastAsia="宋体"/>
          <w:color w:val="000000"/>
          <w:sz w:val="24"/>
        </w:rPr>
        <w:t xml:space="preserve">现有评估工具多采用”定量为主、定性为辅”的混合方法——如ODB的影响力维度采用专家问卷（定量化的定性评估），开放数林指数的利用层采用应用数量统计（定量评估）。本研究采用”定量主导、定性补充”的方法论立场——核心评估指标采用自动化采集的客观数据，影响因素分析采用fsQCA组态分析（定性与定量的结合），对策建议部分参考定性研究发现。</w:t>
      </w:r>
    </w:p>
    <w:p>
      <w:pPr>
        <w:pStyle w:val="BodyText"/>
        <w:spacing w:line="360" w:lineRule="auto"/>
      </w:pPr>
      <w:r>
        <w:rPr>
          <w:rFonts w:hint="eastAsia" w:ascii="宋体" w:hAnsi="宋体" w:eastAsia="宋体"/>
          <w:b/>
          <w:bCs/>
          <w:color w:val="000000"/>
          <w:sz w:val="24"/>
        </w:rPr>
        <w:t xml:space="preserve">主观评估</w:t>
      </w:r>
      <w:r>
        <w:rPr>
          <w:rFonts w:ascii="宋体" w:hAnsi="宋体" w:eastAsia="宋体"/>
          <w:b/>
          <w:bCs/>
          <w:color w:val="000000"/>
          <w:sz w:val="24"/>
        </w:rPr>
        <w:t xml:space="preserve"> vs </w:t>
      </w:r>
      <w:r>
        <w:rPr>
          <w:rFonts w:hint="eastAsia" w:ascii="宋体" w:hAnsi="宋体" w:eastAsia="宋体"/>
          <w:b/>
          <w:bCs/>
          <w:color w:val="000000"/>
          <w:sz w:val="24"/>
        </w:rPr>
        <w:t xml:space="preserve">客观评估。</w:t>
      </w:r>
      <w:r>
        <w:rPr>
          <w:rFonts w:ascii="宋体" w:hAnsi="宋体" w:eastAsia="宋体"/>
          <w:color w:val="000000"/>
          <w:sz w:val="24"/>
        </w:rPr>
        <w:t xml:space="preserve"> </w:t>
      </w:r>
      <w:r>
        <w:rPr>
          <w:rFonts w:hint="eastAsia" w:ascii="宋体" w:hAnsi="宋体" w:eastAsia="宋体"/>
          <w:color w:val="000000"/>
          <w:sz w:val="24"/>
        </w:rPr>
        <w:t xml:space="preserve">主观评估依赖于评估者的判断和感知，如专家打分、用户满意度调查等。其优势在于能够评估难以直接测量的维度（如”数据是否有用”），其局限在于评估结果可能受到评估者偏见、期望效应和参考点依赖的影响。客观评估依赖于可验证、可重复的数据和指标，如数据集数量、API调用量、应用下载量等。其优势在于结果客观、可比、可追溯，其局限在于只能评估”可测量”的维度，对”不可测量但重要”的维度无能为力。</w:t>
      </w:r>
    </w:p>
    <w:p>
      <w:pPr>
        <w:pStyle w:val="BodyText"/>
        <w:spacing w:line="360" w:lineRule="auto"/>
      </w:pPr>
      <w:r>
        <w:rPr>
          <w:rFonts w:hint="eastAsia" w:ascii="宋体" w:hAnsi="宋体" w:eastAsia="宋体"/>
          <w:color w:val="000000"/>
          <w:sz w:val="24"/>
        </w:rPr>
        <w:t xml:space="preserve">本研究的方法论选择倾向于客观评估——通过自动化采集系统获取数据，所有数据有时间戳和代码可验证。但这种选择并非否定主观评估的价值——在评估”数据利用的社会价值”等难以客观测量的维度时，主观评估（如案例研究、深度访谈）仍然是不可或缺的方法。本研究的策略是：在”绩效评估”环节采用客观评估，在”影响因素分析”和”对策建议”环节引入主观发现的补充。</w:t>
      </w:r>
    </w:p>
    <w:p>
      <w:pPr>
        <w:pStyle w:val="BodyText"/>
        <w:spacing w:line="360" w:lineRule="auto"/>
      </w:pPr>
      <w:r>
        <w:rPr>
          <w:rFonts w:hint="eastAsia" w:ascii="宋体" w:hAnsi="宋体" w:eastAsia="宋体"/>
          <w:b/>
          <w:bCs/>
          <w:color w:val="000000"/>
          <w:sz w:val="24"/>
        </w:rPr>
        <w:t xml:space="preserve">截面评估</w:t>
      </w:r>
      <w:r>
        <w:rPr>
          <w:rFonts w:ascii="宋体" w:hAnsi="宋体" w:eastAsia="宋体"/>
          <w:b/>
          <w:bCs/>
          <w:color w:val="000000"/>
          <w:sz w:val="24"/>
        </w:rPr>
        <w:t xml:space="preserve"> vs </w:t>
      </w:r>
      <w:r>
        <w:rPr>
          <w:rFonts w:hint="eastAsia" w:ascii="宋体" w:hAnsi="宋体" w:eastAsia="宋体"/>
          <w:b/>
          <w:bCs/>
          <w:color w:val="000000"/>
          <w:sz w:val="24"/>
        </w:rPr>
        <w:t xml:space="preserve">动态评估。</w:t>
      </w:r>
      <w:r>
        <w:rPr>
          <w:rFonts w:ascii="宋体" w:hAnsi="宋体" w:eastAsia="宋体"/>
          <w:color w:val="000000"/>
          <w:sz w:val="24"/>
        </w:rPr>
        <w:t xml:space="preserve"> </w:t>
      </w:r>
      <w:r>
        <w:rPr>
          <w:rFonts w:hint="eastAsia" w:ascii="宋体" w:hAnsi="宋体" w:eastAsia="宋体"/>
          <w:color w:val="000000"/>
          <w:sz w:val="24"/>
        </w:rPr>
        <w:t xml:space="preserve">截面评估在某一时间点上对平台的绩效状况进行”快照”式评估，如开放数林指数的年度评估。其优势在于评估成本较低、易于操作，其局限在于无法捕捉绩效的动态变化趋势——一个绩效”当前较低但增长迅速”的平台与一个绩效”当前较高但增长停滞”的平台，在截面评估中可能得到相同的得分，但其发展趋势和未来潜力截然不同。动态评估通过追踪平台绩效的时间序列变化，识别绩效的增长趋势、波动规律和拐点特征。其优势在于能够揭示绩效的动态演化规律，为政策制定提供前瞻性参考，其局限在于对数据的时间跨度要求较高——需要多年的连续数据才能进行可靠的趋势分析。</w:t>
      </w:r>
    </w:p>
    <w:p>
      <w:pPr>
        <w:pStyle w:val="BodyText"/>
        <w:spacing w:line="360" w:lineRule="auto"/>
      </w:pPr>
      <w:r>
        <w:rPr>
          <w:rFonts w:hint="eastAsia" w:ascii="宋体" w:hAnsi="宋体" w:eastAsia="宋体"/>
          <w:color w:val="000000"/>
          <w:sz w:val="24"/>
        </w:rPr>
        <w:t xml:space="preserve">本研究采用截面评估为主、动态分析为辅的策略——核心评估基于2025年3月的截面数据，但在分析中参考了2017-2025年的纵向趋势数据（如平台上线时间、数据集增长曲线等）。这一策略的合理性在于：绩效评估需要在一个统一的时间截面上进行横向比较，而趋势分析需要跨越多个时间截面的纵向数据。在数据可得性有限的情况下，截面评估是更现实的选择。</w:t>
      </w:r>
    </w:p>
    <w:p>
      <w:pPr>
        <w:pStyle w:val="BodyText"/>
        <w:spacing w:line="360" w:lineRule="auto"/>
      </w:pPr>
      <w:r>
        <w:rPr>
          <w:rFonts w:hint="eastAsia" w:ascii="宋体" w:hAnsi="宋体" w:eastAsia="宋体"/>
          <w:b/>
          <w:bCs/>
          <w:color w:val="000000"/>
          <w:sz w:val="24"/>
        </w:rPr>
        <w:t xml:space="preserve">综合评估</w:t>
      </w:r>
      <w:r>
        <w:rPr>
          <w:rFonts w:ascii="宋体" w:hAnsi="宋体" w:eastAsia="宋体"/>
          <w:b/>
          <w:bCs/>
          <w:color w:val="000000"/>
          <w:sz w:val="24"/>
        </w:rPr>
        <w:t xml:space="preserve"> vs </w:t>
      </w:r>
      <w:r>
        <w:rPr>
          <w:rFonts w:hint="eastAsia" w:ascii="宋体" w:hAnsi="宋体" w:eastAsia="宋体"/>
          <w:b/>
          <w:bCs/>
          <w:color w:val="000000"/>
          <w:sz w:val="24"/>
        </w:rPr>
        <w:t xml:space="preserve">专项评估。</w:t>
      </w:r>
      <w:r>
        <w:rPr>
          <w:rFonts w:ascii="宋体" w:hAnsi="宋体" w:eastAsia="宋体"/>
          <w:color w:val="000000"/>
          <w:sz w:val="24"/>
        </w:rPr>
        <w:t xml:space="preserve"> </w:t>
      </w:r>
      <w:r>
        <w:rPr>
          <w:rFonts w:hint="eastAsia" w:ascii="宋体" w:hAnsi="宋体" w:eastAsia="宋体"/>
          <w:color w:val="000000"/>
          <w:sz w:val="24"/>
        </w:rPr>
        <w:t xml:space="preserve">综合评估对平台绩效进行全面、系统的评估，覆盖多个维度和大量指标，如开放数林指数的四维度评估。其优势在于评估结果全面、系统，能够反映平台绩效的整体状况，其局限在于评估成本较高、指标权重设定存在主观性。专项评估对平台绩效的某一特定维度进行深度评估，如仅评估数据质量或仅评估API可用性。其优势在于评估深度高、专业性强，其局限在于无法反映平台绩效的整体状况。</w:t>
      </w:r>
    </w:p>
    <w:p>
      <w:pPr>
        <w:pStyle w:val="BodyText"/>
        <w:spacing w:line="360" w:lineRule="auto"/>
      </w:pPr>
      <w:r>
        <w:rPr>
          <w:rFonts w:hint="eastAsia" w:ascii="宋体" w:hAnsi="宋体" w:eastAsia="宋体"/>
          <w:color w:val="000000"/>
          <w:sz w:val="24"/>
        </w:rPr>
        <w:t xml:space="preserve">本研究采用综合评估的策略——4E框架覆盖了从供给到效果的完整链条，评估结果能够反映平台绩效的全貌。但综合评估的指标权重设定是一个棘手的问题——不同利益相关者对”哪个维度更重要”可能有不同的看法。本研究通过AHP-熵权组合赋权法平衡主观偏好和客观差异，力求在权重设定上做到”主观与客观的统一”。</w:t>
      </w:r>
    </w:p>
    <w:bookmarkEnd w:id="73"/>
    <w:bookmarkStart w:id="74" w:name="现有评估工具的结构性局限分析"/>
    <w:p>
      <w:pPr>
        <w:pStyle w:val="Heading4"/>
        <w:spacing w:line="360" w:lineRule="auto"/>
      </w:pPr>
      <w:r>
        <w:rPr>
          <w:rFonts w:ascii="宋体" w:hAnsi="宋体" w:eastAsia="宋体"/>
          <w:color w:val="000000"/>
          <w:sz w:val="24"/>
        </w:rPr>
        <w:t xml:space="preserve">2.2.4 </w:t>
      </w:r>
      <w:r>
        <w:rPr>
          <w:rFonts w:hint="eastAsia" w:ascii="宋体" w:hAnsi="宋体" w:eastAsia="宋体"/>
          <w:color w:val="000000"/>
          <w:sz w:val="24"/>
        </w:rPr>
        <w:t xml:space="preserve">现有评估工具的结构性局限分析</w:t>
      </w:r>
    </w:p>
    <w:p>
      <w:pPr>
        <w:pStyle w:val="FirstParagraph"/>
        <w:spacing w:line="360" w:lineRule="auto"/>
      </w:pPr>
      <w:r>
        <w:rPr>
          <w:rFonts w:hint="eastAsia" w:ascii="宋体" w:hAnsi="宋体" w:eastAsia="宋体"/>
          <w:color w:val="000000"/>
          <w:sz w:val="24"/>
        </w:rPr>
        <w:t xml:space="preserve">综合上述国内外评估工具的分析，可以归纳出现有评估体系的四个结构性局限。</w:t>
      </w:r>
    </w:p>
    <w:p>
      <w:pPr>
        <w:pStyle w:val="BodyText"/>
        <w:spacing w:line="360" w:lineRule="auto"/>
      </w:pPr>
      <w:r>
        <w:rPr>
          <w:rFonts w:hint="eastAsia" w:ascii="宋体" w:hAnsi="宋体" w:eastAsia="宋体"/>
          <w:b/>
          <w:bCs/>
          <w:color w:val="000000"/>
          <w:sz w:val="24"/>
        </w:rPr>
        <w:t xml:space="preserve">局限一：</w:t>
      </w:r>
      <w:r>
        <w:rPr>
          <w:rFonts w:hint="eastAsia" w:ascii="宋体" w:hAnsi="宋体" w:eastAsia="宋体"/>
          <w:b/>
          <w:bCs/>
          <w:color w:val="000000"/>
          <w:sz w:val="24"/>
        </w:rPr>
        <w:t xml:space="preserve">“重供给轻效果”</w:t>
      </w:r>
      <w:r>
        <w:rPr>
          <w:rFonts w:hint="eastAsia" w:ascii="宋体" w:hAnsi="宋体" w:eastAsia="宋体"/>
          <w:b/>
          <w:bCs/>
          <w:color w:val="000000"/>
          <w:sz w:val="24"/>
        </w:rPr>
        <w:t xml:space="preserve">的评估导向。</w:t>
      </w:r>
      <w:r>
        <w:rPr>
          <w:rFonts w:ascii="宋体" w:hAnsi="宋体" w:eastAsia="宋体"/>
          <w:color w:val="000000"/>
          <w:sz w:val="24"/>
        </w:rPr>
        <w:t xml:space="preserve"> </w:t>
      </w:r>
      <w:r>
        <w:rPr>
          <w:rFonts w:hint="eastAsia" w:ascii="宋体" w:hAnsi="宋体" w:eastAsia="宋体"/>
          <w:color w:val="000000"/>
          <w:sz w:val="24"/>
        </w:rPr>
        <w:t xml:space="preserve">现有评估体系普遍以数据供给量（数据集数量、主题覆盖、更新频率）为核心指标，对数据利用效果（下载量、应用数量、经济价值、社会价值）关注不足。开放数林指数的利用层权重仅15%，ODB的影响力维度依赖主观评估，ODI和GODI根本不涉及利用效果。这种”重供给轻效果”的评估导向导致平台运营者的资源投入向供给侧倾斜——追求数据集数量的增长、主题覆盖的扩大、更新频率的提升，而忽视数据利用生态的培育、用户需求的响应、应用成果的孵化。当评估不关注利用效果时，</w:t>
      </w:r>
      <w:r>
        <w:rPr>
          <w:rFonts w:hint="eastAsia" w:ascii="宋体" w:hAnsi="宋体" w:eastAsia="宋体"/>
          <w:color w:val="000000"/>
          <w:sz w:val="24"/>
        </w:rPr>
        <w:t xml:space="preserve">“数据开放了但没人用”</w:t>
      </w:r>
      <w:r>
        <w:rPr>
          <w:rFonts w:hint="eastAsia" w:ascii="宋体" w:hAnsi="宋体" w:eastAsia="宋体"/>
          <w:color w:val="000000"/>
          <w:sz w:val="24"/>
        </w:rPr>
        <w:t xml:space="preserve">的困境就被系统性地掩盖了。</w:t>
      </w:r>
    </w:p>
    <w:p>
      <w:pPr>
        <w:pStyle w:val="BodyText"/>
        <w:spacing w:line="360" w:lineRule="auto"/>
      </w:pPr>
      <w:r>
        <w:rPr>
          <w:rFonts w:hint="eastAsia" w:ascii="宋体" w:hAnsi="宋体" w:eastAsia="宋体"/>
          <w:color w:val="000000"/>
          <w:sz w:val="24"/>
        </w:rPr>
        <w:t xml:space="preserve">“重供给轻效果”</w:t>
      </w:r>
      <w:r>
        <w:rPr>
          <w:rFonts w:hint="eastAsia" w:ascii="宋体" w:hAnsi="宋体" w:eastAsia="宋体"/>
          <w:color w:val="000000"/>
          <w:sz w:val="24"/>
        </w:rPr>
        <w:t xml:space="preserve">导向的形成有其历史和制度根源。在数据开放的早期阶段（2010年代初期），平台建设是主要矛盾——大多数国家和地区尚未建立数据开放平台，评估的首要任务是推动平台”从无到有”。在这一阶段，</w:t>
      </w:r>
      <w:r>
        <w:rPr>
          <w:rFonts w:hint="eastAsia" w:ascii="宋体" w:hAnsi="宋体" w:eastAsia="宋体"/>
          <w:color w:val="000000"/>
          <w:sz w:val="24"/>
        </w:rPr>
        <w:t xml:space="preserve">“供给导向”</w:t>
      </w:r>
      <w:r>
        <w:rPr>
          <w:rFonts w:hint="eastAsia" w:ascii="宋体" w:hAnsi="宋体" w:eastAsia="宋体"/>
          <w:color w:val="000000"/>
          <w:sz w:val="24"/>
        </w:rPr>
        <w:t xml:space="preserve">是合理的——只有先解决”有没有”的问题，才能解决”好不好”的问题。但随着平台数量的饱和和数据集规模的扩张，</w:t>
      </w:r>
      <w:r>
        <w:rPr>
          <w:rFonts w:hint="eastAsia" w:ascii="宋体" w:hAnsi="宋体" w:eastAsia="宋体"/>
          <w:color w:val="000000"/>
          <w:sz w:val="24"/>
        </w:rPr>
        <w:t xml:space="preserve">“供给导向”</w:t>
      </w:r>
      <w:r>
        <w:rPr>
          <w:rFonts w:hint="eastAsia" w:ascii="宋体" w:hAnsi="宋体" w:eastAsia="宋体"/>
          <w:color w:val="000000"/>
          <w:sz w:val="24"/>
        </w:rPr>
        <w:t xml:space="preserve">的合理性逐渐消解——平台”有”了数据但”没”人用的困境日益突出，评估需要从”供给导向”转向”效果导向”。然而，评估范式的转型是缓慢而艰难的——既有的评估指标、数据收集方法和评估结果发布机制都形成了路径依赖，转型需要克服巨大的制度惯性。</w:t>
      </w:r>
    </w:p>
    <w:p>
      <w:pPr>
        <w:pStyle w:val="BodyText"/>
        <w:spacing w:line="360" w:lineRule="auto"/>
      </w:pPr>
      <w:r>
        <w:rPr>
          <w:rFonts w:hint="eastAsia" w:ascii="宋体" w:hAnsi="宋体" w:eastAsia="宋体"/>
          <w:b/>
          <w:bCs/>
          <w:color w:val="000000"/>
          <w:sz w:val="24"/>
        </w:rPr>
        <w:t xml:space="preserve">局限二：缺乏效率维度。</w:t>
      </w:r>
      <w:r>
        <w:rPr>
          <w:rFonts w:ascii="宋体" w:hAnsi="宋体" w:eastAsia="宋体"/>
          <w:color w:val="000000"/>
          <w:sz w:val="24"/>
        </w:rPr>
        <w:t xml:space="preserve"> </w:t>
      </w:r>
      <w:r>
        <w:rPr>
          <w:rFonts w:hint="eastAsia" w:ascii="宋体" w:hAnsi="宋体" w:eastAsia="宋体"/>
          <w:color w:val="000000"/>
          <w:sz w:val="24"/>
        </w:rPr>
        <w:t xml:space="preserve">现有评估工具只回答了”绩效如何”（综合得分高低），没有回答”效率如何”（投入产出比优劣）。两个综合得分相同的平台，一个可能投入了大量资源获得了高绩效，另一个可能以较少的投入获得了相同的绩效——前者”高绩效低效率”，后者”低绩效高效率”（相对于投入而言是高效的），但现有工具无法区分这两种类型。这一效率盲区对于资源配置决策至关重要：对于”高绩效低效率”的平台，优化方向是提升资源利用效率；对于”低绩效高效率”的平台，优化方向是增加资源投入。</w:t>
      </w:r>
    </w:p>
    <w:p>
      <w:pPr>
        <w:pStyle w:val="BodyText"/>
        <w:spacing w:line="360" w:lineRule="auto"/>
      </w:pPr>
      <w:r>
        <w:rPr>
          <w:rFonts w:hint="eastAsia" w:ascii="宋体" w:hAnsi="宋体" w:eastAsia="宋体"/>
          <w:color w:val="000000"/>
          <w:sz w:val="24"/>
        </w:rPr>
        <w:t xml:space="preserve">效率维度的缺失还与公共部门绩效评估的”投入盲区”有关。不同于企业绩效评估可以通过财务报表清晰地识别投入（成本）和产出（收入），公共部门的投入往往是”隐性”的——政府数据开放平台的建设投入包括人员工资、服务器租赁、软件采购、数据治理等多个方面，这些投入分散在不同部门的预算中，难以统一核算。此外，部分投入是”机会成本”而非”实际支出”——如政府部门为数据开放投入的人力时间，并未在财务报表中体现。这种”投入不可见”的特征使得效率评估在技术上非常困难，这也是现有评估工具回避效率维度的原因之一。</w:t>
      </w:r>
    </w:p>
    <w:p>
      <w:pPr>
        <w:pStyle w:val="BodyText"/>
        <w:spacing w:line="360" w:lineRule="auto"/>
      </w:pPr>
      <w:r>
        <w:rPr>
          <w:rFonts w:hint="eastAsia" w:ascii="宋体" w:hAnsi="宋体" w:eastAsia="宋体"/>
          <w:b/>
          <w:bCs/>
          <w:color w:val="000000"/>
          <w:sz w:val="24"/>
        </w:rPr>
        <w:t xml:space="preserve">局限三：方法单一，无法揭示形成机制。</w:t>
      </w:r>
      <w:r>
        <w:rPr>
          <w:rFonts w:ascii="宋体" w:hAnsi="宋体" w:eastAsia="宋体"/>
          <w:color w:val="000000"/>
          <w:sz w:val="24"/>
        </w:rPr>
        <w:t xml:space="preserve"> </w:t>
      </w:r>
      <w:r>
        <w:rPr>
          <w:rFonts w:hint="eastAsia" w:ascii="宋体" w:hAnsi="宋体" w:eastAsia="宋体"/>
          <w:color w:val="000000"/>
          <w:sz w:val="24"/>
        </w:rPr>
        <w:t xml:space="preserve">现有评估工具主要采用加权综合评分法，假设各维度指标独立作用且效应线性可加。然而，政府数据利用绩效的形成是一个复杂系统，因素间存在交互作用、替代关系和非线性组合效应。加权评分法只能回答”绩效高低”，不能回答”绩效为何如此”</w:t>
      </w:r>
      <w:r>
        <w:rPr>
          <w:rFonts w:hint="eastAsia" w:ascii="宋体" w:hAnsi="宋体" w:eastAsia="宋体"/>
          <w:color w:val="000000"/>
          <w:sz w:val="24"/>
        </w:rPr>
        <w:t xml:space="preserve">“如何组合才能提升绩效”</w:t>
      </w:r>
      <w:r>
        <w:rPr>
          <w:rFonts w:hint="eastAsia" w:ascii="宋体" w:hAnsi="宋体" w:eastAsia="宋体"/>
          <w:color w:val="000000"/>
          <w:sz w:val="24"/>
        </w:rPr>
        <w:t xml:space="preserve">——而这些正是平台运营者和政策制定者最关心的问题。</w:t>
      </w:r>
    </w:p>
    <w:p>
      <w:pPr>
        <w:pStyle w:val="BodyText"/>
        <w:spacing w:line="360" w:lineRule="auto"/>
      </w:pPr>
      <w:r>
        <w:rPr>
          <w:rFonts w:hint="eastAsia" w:ascii="宋体" w:hAnsi="宋体" w:eastAsia="宋体"/>
          <w:color w:val="000000"/>
          <w:sz w:val="24"/>
        </w:rPr>
        <w:t xml:space="preserve">加权综合评分法的方法论局限在于其”线性可加”假设。在复杂系统中，因素的效应往往不是简单相加的——两个因素同时存在时的效应可能大于（协同效应）或小于（抑制效应）各自效应之和。例如，</w:t>
      </w:r>
      <w:r>
        <w:rPr>
          <w:rFonts w:hint="eastAsia" w:ascii="宋体" w:hAnsi="宋体" w:eastAsia="宋体"/>
          <w:color w:val="000000"/>
          <w:sz w:val="24"/>
        </w:rPr>
        <w:t xml:space="preserve">“数据质量”</w:t>
      </w:r>
      <w:r>
        <w:rPr>
          <w:rFonts w:hint="eastAsia" w:ascii="宋体" w:hAnsi="宋体" w:eastAsia="宋体"/>
          <w:color w:val="000000"/>
          <w:sz w:val="24"/>
        </w:rPr>
        <w:t xml:space="preserve">和”API开放度”可能具有协同效应——高质量的数据如果配合完善的API接口，其利用效果会远超”高质量数据+无API”或”低质量数据+完善API”的组合。加权评分法无法捕捉这种协同效应，因为它将每个维度的得分独立计算后再线性相加，</w:t>
      </w:r>
      <w:r>
        <w:rPr>
          <w:rFonts w:hint="eastAsia" w:ascii="宋体" w:hAnsi="宋体" w:eastAsia="宋体"/>
          <w:color w:val="000000"/>
          <w:sz w:val="24"/>
        </w:rPr>
        <w:t xml:space="preserve">“抹平”</w:t>
      </w:r>
      <w:r>
        <w:rPr>
          <w:rFonts w:hint="eastAsia" w:ascii="宋体" w:hAnsi="宋体" w:eastAsia="宋体"/>
          <w:color w:val="000000"/>
          <w:sz w:val="24"/>
        </w:rPr>
        <w:t xml:space="preserve">了因素间的交互作用。</w:t>
      </w:r>
    </w:p>
    <w:p>
      <w:pPr>
        <w:pStyle w:val="BodyText"/>
        <w:spacing w:line="360" w:lineRule="auto"/>
      </w:pPr>
      <w:r>
        <w:rPr>
          <w:rFonts w:hint="eastAsia" w:ascii="宋体" w:hAnsi="宋体" w:eastAsia="宋体"/>
          <w:b/>
          <w:bCs/>
          <w:color w:val="000000"/>
          <w:sz w:val="24"/>
        </w:rPr>
        <w:t xml:space="preserve">局限四：忽视”数据口径幻觉”。</w:t>
      </w:r>
      <w:r>
        <w:rPr>
          <w:rFonts w:ascii="宋体" w:hAnsi="宋体" w:eastAsia="宋体"/>
          <w:color w:val="000000"/>
          <w:sz w:val="24"/>
        </w:rPr>
        <w:t xml:space="preserve"> </w:t>
      </w:r>
      <w:r>
        <w:rPr>
          <w:rFonts w:hint="eastAsia" w:ascii="宋体" w:hAnsi="宋体" w:eastAsia="宋体"/>
          <w:color w:val="000000"/>
          <w:sz w:val="24"/>
        </w:rPr>
        <w:t xml:space="preserve">现有评估工具将”数据目录数量”作为供给层的核心指标，但未区分”目录数量”和”有效数据集数量”的差异。在”数量导向”的激励下，平台运营者有动力最大化目录数量——批量上传空壳数据集、创建虚拟目录、重复发布同一数据的不同切片。现有评估工具对这种”指标扭曲”行为缺乏识别和纠正机制，导致评估结果可能存在系统性高估。</w:t>
      </w:r>
    </w:p>
    <w:p>
      <w:pPr>
        <w:pStyle w:val="BodyText"/>
        <w:spacing w:line="360" w:lineRule="auto"/>
      </w:pPr>
      <w:r>
        <w:rPr>
          <w:rFonts w:hint="eastAsia" w:ascii="宋体" w:hAnsi="宋体" w:eastAsia="宋体"/>
          <w:color w:val="000000"/>
          <w:sz w:val="24"/>
        </w:rPr>
        <w:t xml:space="preserve">“数据口径幻觉”</w:t>
      </w:r>
      <w:r>
        <w:rPr>
          <w:rFonts w:hint="eastAsia" w:ascii="宋体" w:hAnsi="宋体" w:eastAsia="宋体"/>
          <w:color w:val="000000"/>
          <w:sz w:val="24"/>
        </w:rPr>
        <w:t xml:space="preserve">的本质是”指标替代”——当评估者使用”目录数量”作为”开放规模”的代理指标时，平台运营者会通过增加”目录数量”来迎合评估，而非通过增加”有效数据集数量”来真正提升开放质量。这种”指标替代”行为在绩效评估领域被称为”指标博弈”（Gaming</w:t>
      </w:r>
      <w:r>
        <w:rPr>
          <w:rFonts w:ascii="宋体" w:hAnsi="宋体" w:eastAsia="宋体"/>
          <w:color w:val="000000"/>
          <w:sz w:val="24"/>
        </w:rPr>
        <w:t xml:space="preserve"> the </w:t>
      </w:r>
      <w:r>
        <w:rPr>
          <w:rFonts w:hint="eastAsia" w:ascii="宋体" w:hAnsi="宋体" w:eastAsia="宋体"/>
          <w:color w:val="000000"/>
          <w:sz w:val="24"/>
        </w:rPr>
        <w:t xml:space="preserve">Indicators）——被评估者通过操纵指标而非改进实质绩效来获得更高的评估得分。Campbell定律指出：</w:t>
      </w:r>
      <w:r>
        <w:rPr>
          <w:rFonts w:hint="eastAsia" w:ascii="宋体" w:hAnsi="宋体" w:eastAsia="宋体"/>
          <w:color w:val="000000"/>
          <w:sz w:val="24"/>
        </w:rPr>
        <w:t xml:space="preserve">“当某个指标被用作决策依据时，该指标就会失去其作为信息的价值”</w:t>
      </w:r>
      <w:r>
        <w:rPr>
          <w:rFonts w:hint="eastAsia" w:ascii="宋体" w:hAnsi="宋体" w:eastAsia="宋体"/>
          <w:color w:val="000000"/>
          <w:sz w:val="24"/>
        </w:rPr>
        <w:t xml:space="preserve">——因为被评估者有动力操纵该指标。本研究提出”口径一致性系数”的目的，正是为了识别和纠正这种”指标博弈”行为。</w:t>
      </w:r>
    </w:p>
    <w:bookmarkEnd w:id="74"/>
    <w:bookmarkEnd w:id="75"/>
    <w:bookmarkStart w:id="81" w:name="数据利用绩效研究"/>
    <w:p>
      <w:pPr>
        <w:pStyle w:val="Heading3"/>
        <w:spacing w:line="360" w:lineRule="auto"/>
      </w:pPr>
      <w:r>
        <w:rPr>
          <w:rFonts w:ascii="黑体" w:hAnsi="黑体" w:eastAsia="黑体"/>
          <w:b/>
          <w:color w:val="000000"/>
          <w:sz w:val="24"/>
        </w:rPr>
        <w:t xml:space="preserve">2.3 </w:t>
      </w:r>
      <w:r>
        <w:rPr>
          <w:rFonts w:hint="eastAsia" w:ascii="黑体" w:hAnsi="黑体" w:eastAsia="黑体"/>
          <w:b/>
          <w:color w:val="000000"/>
          <w:sz w:val="24"/>
        </w:rPr>
        <w:t xml:space="preserve">数据利用绩效研究</w:t>
      </w:r>
    </w:p>
    <w:bookmarkStart w:id="76" w:name="公共部门绩效评估的理论演进"/>
    <w:p>
      <w:pPr>
        <w:pStyle w:val="Heading4"/>
        <w:spacing w:line="360" w:lineRule="auto"/>
      </w:pPr>
      <w:r>
        <w:rPr>
          <w:rFonts w:ascii="宋体" w:hAnsi="宋体" w:eastAsia="宋体"/>
          <w:color w:val="000000"/>
          <w:sz w:val="24"/>
        </w:rPr>
        <w:t xml:space="preserve">2.3.1 </w:t>
      </w:r>
      <w:r>
        <w:rPr>
          <w:rFonts w:hint="eastAsia" w:ascii="宋体" w:hAnsi="宋体" w:eastAsia="宋体"/>
          <w:color w:val="000000"/>
          <w:sz w:val="24"/>
        </w:rPr>
        <w:t xml:space="preserve">公共部门绩效评估的理论演进</w:t>
      </w:r>
    </w:p>
    <w:p>
      <w:pPr>
        <w:pStyle w:val="FirstParagraph"/>
        <w:spacing w:line="360" w:lineRule="auto"/>
      </w:pPr>
      <w:r>
        <w:rPr>
          <w:rFonts w:hint="eastAsia" w:ascii="宋体" w:hAnsi="宋体" w:eastAsia="宋体"/>
          <w:color w:val="000000"/>
          <w:sz w:val="24"/>
        </w:rPr>
        <w:t xml:space="preserve">公共部门绩效评估理论经历了从”3E”到”4E”再到”5E”的发展演进，为本研究评估框架的设计提供了理论渊源。</w:t>
      </w:r>
    </w:p>
    <w:p>
      <w:pPr>
        <w:pStyle w:val="BodyText"/>
        <w:spacing w:line="360" w:lineRule="auto"/>
      </w:pPr>
      <w:r>
        <w:rPr>
          <w:rFonts w:hint="eastAsia" w:ascii="宋体" w:hAnsi="宋体" w:eastAsia="宋体"/>
          <w:b/>
          <w:bCs/>
          <w:color w:val="000000"/>
          <w:sz w:val="24"/>
        </w:rPr>
        <w:t xml:space="preserve">3E框架。</w:t>
      </w:r>
      <w:r>
        <w:rPr>
          <w:rFonts w:ascii="宋体" w:hAnsi="宋体" w:eastAsia="宋体"/>
          <w:color w:val="000000"/>
          <w:sz w:val="24"/>
        </w:rPr>
        <w:t xml:space="preserve"> </w:t>
      </w:r>
      <w:r>
        <w:rPr>
          <w:rFonts w:hint="eastAsia" w:ascii="宋体" w:hAnsi="宋体" w:eastAsia="宋体"/>
          <w:color w:val="000000"/>
          <w:sz w:val="24"/>
        </w:rPr>
        <w:t xml:space="preserve">3E框架由英国审计委员会于20世纪80年代提出，最初用于公共部门的绩效审计，侧重资源使用的经济性（Economy，是否以最低成本获取资源）、效率性（Efficiency，投入产出比是否最优）和效果性（Effectiveness，是否达成预定目标）。3E框架的哲学基础是新公共管理理论——强调公共部门应借鉴私营部门的管理方法，以结果为导向、以效率为核心。3E框架对于政府数据开放评估的启示在于：数据供给保障对应”经济性”（数据获取的成本效益），平台服务对应”效率性”（数据从供给到需求的转化效率），利用效果对应”效果性”（数据利用是否产生了预期的社会价值）。</w:t>
      </w:r>
    </w:p>
    <w:p>
      <w:pPr>
        <w:pStyle w:val="BodyText"/>
        <w:spacing w:line="360" w:lineRule="auto"/>
      </w:pPr>
      <w:r>
        <w:rPr>
          <w:rFonts w:hint="eastAsia" w:ascii="宋体" w:hAnsi="宋体" w:eastAsia="宋体"/>
          <w:color w:val="000000"/>
          <w:sz w:val="24"/>
        </w:rPr>
        <w:t xml:space="preserve">3E框架在公共管理领域得到了广泛应用，但也受到了学术界的批判。第一，3E框架过于简化——公共部门的价值追求不仅仅是”经济”</w:t>
      </w:r>
      <w:r>
        <w:rPr>
          <w:rFonts w:hint="eastAsia" w:ascii="宋体" w:hAnsi="宋体" w:eastAsia="宋体"/>
          <w:color w:val="000000"/>
          <w:sz w:val="24"/>
        </w:rPr>
        <w:t xml:space="preserve">“效率”</w:t>
      </w:r>
      <w:r>
        <w:rPr>
          <w:rFonts w:hint="eastAsia" w:ascii="宋体" w:hAnsi="宋体" w:eastAsia="宋体"/>
          <w:color w:val="000000"/>
          <w:sz w:val="24"/>
        </w:rPr>
        <w:t xml:space="preserve">和”效果”，还包括公平、正义、民主参与等多元价值。将公共部门的绩效简化为三个维度可能遗漏重要的价值维度。第二，3E框架的”效果性”维度难以操作化——公共部门的目标往往是模糊和多元的，</w:t>
      </w:r>
      <w:r>
        <w:rPr>
          <w:rFonts w:hint="eastAsia" w:ascii="宋体" w:hAnsi="宋体" w:eastAsia="宋体"/>
          <w:color w:val="000000"/>
          <w:sz w:val="24"/>
        </w:rPr>
        <w:t xml:space="preserve">“是否达成预定目标”</w:t>
      </w:r>
      <w:r>
        <w:rPr>
          <w:rFonts w:hint="eastAsia" w:ascii="宋体" w:hAnsi="宋体" w:eastAsia="宋体"/>
          <w:color w:val="000000"/>
          <w:sz w:val="24"/>
        </w:rPr>
        <w:t xml:space="preserve">的判断标准难以统一。第三，3E框架忽视了过程——只关注结果而不关注过程，可能导致”为达目的不择手段”的行为偏差。这些批判为4E框架的提出提供了理论动因。</w:t>
      </w:r>
    </w:p>
    <w:p>
      <w:pPr>
        <w:pStyle w:val="BodyText"/>
        <w:spacing w:line="360" w:lineRule="auto"/>
      </w:pPr>
      <w:r>
        <w:rPr>
          <w:rFonts w:hint="eastAsia" w:ascii="宋体" w:hAnsi="宋体" w:eastAsia="宋体"/>
          <w:b/>
          <w:bCs/>
          <w:color w:val="000000"/>
          <w:sz w:val="24"/>
        </w:rPr>
        <w:t xml:space="preserve">4E框架。</w:t>
      </w:r>
      <w:r>
        <w:rPr>
          <w:rFonts w:ascii="宋体" w:hAnsi="宋体" w:eastAsia="宋体"/>
          <w:color w:val="000000"/>
          <w:sz w:val="24"/>
        </w:rPr>
        <w:t xml:space="preserve"> </w:t>
      </w:r>
      <w:r>
        <w:rPr>
          <w:rFonts w:hint="eastAsia" w:ascii="宋体" w:hAnsi="宋体" w:eastAsia="宋体"/>
          <w:color w:val="000000"/>
          <w:sz w:val="24"/>
        </w:rPr>
        <w:t xml:space="preserve">4E框架在3E基础上增加了Equity（公平性）维度，强调绩效评估应关注公共服务的公平分配和社会正义——一个”高效但不公平”的公共服务不能被认为是”高绩效”的。4E框架的哲学基础是罗尔斯的正义理论：正义是社会制度的首要价值，而正义的核心原则是公平。在政府数据开放领域，Equity维度体现为：数据开放的红利是否在不同区域、不同群体之间公平分配——如果数据开放只惠及东部发达地区的企业，而中西部地区的公众和中小企业被排斥在外，那么即使数据的”开放效果”在总量上很高，其”公平性”仍然是不合格的。Equity维度的引入反映了公共管理从”效率至上”到”公平与效率并重”的价值转向，也是新公共治理理论对传统新公共管理理论的重要修正。</w:t>
      </w:r>
    </w:p>
    <w:p>
      <w:pPr>
        <w:pStyle w:val="BodyText"/>
        <w:spacing w:line="360" w:lineRule="auto"/>
      </w:pPr>
      <w:r>
        <w:rPr>
          <w:rFonts w:hint="eastAsia" w:ascii="宋体" w:hAnsi="宋体" w:eastAsia="宋体"/>
          <w:color w:val="000000"/>
          <w:sz w:val="24"/>
        </w:rPr>
        <w:t xml:space="preserve">Equity维度在政府数据开放评估中的应用具有特殊的重要性。数据开放本质上是一种公共资源的再分配——政府将公共数据资源免费开放给社会，社会各主体从中获取价值。但这种价值分配往往不是均匀的——拥有数据分析能力的大型企业和研究机构能够从开放数据中获取更多价值，而缺乏技术能力的中小企业和普通公众则可能被边缘化。如果评估体系不关注这种”数字不平等”，数据开放可能加剧而非缓解社会不平等。本研究在4E框架中保留Equity维度，正是为了回应这一”数字公平”问题。</w:t>
      </w:r>
    </w:p>
    <w:p>
      <w:pPr>
        <w:pStyle w:val="BodyText"/>
        <w:spacing w:line="360" w:lineRule="auto"/>
      </w:pPr>
      <w:r>
        <w:rPr>
          <w:rFonts w:hint="eastAsia" w:ascii="宋体" w:hAnsi="宋体" w:eastAsia="宋体"/>
          <w:b/>
          <w:bCs/>
          <w:color w:val="000000"/>
          <w:sz w:val="24"/>
        </w:rPr>
        <w:t xml:space="preserve">5E框架及扩展。</w:t>
      </w:r>
      <w:r>
        <w:rPr>
          <w:rFonts w:ascii="宋体" w:hAnsi="宋体" w:eastAsia="宋体"/>
          <w:color w:val="000000"/>
          <w:sz w:val="24"/>
        </w:rPr>
        <w:t xml:space="preserve"> </w:t>
      </w:r>
      <w:r>
        <w:rPr>
          <w:rFonts w:hint="eastAsia" w:ascii="宋体" w:hAnsi="宋体" w:eastAsia="宋体"/>
          <w:color w:val="000000"/>
          <w:sz w:val="24"/>
        </w:rPr>
        <w:t xml:space="preserve">近年来，部分学者在4E基础上进一步扩展，增加了环境性（Environment）、卓越性（Excellence）等维度，形成5E或更多维度的评估框架。环境性维度关注公共服务的可持续性和环境友好性；卓越性维度关注公共服务是否达到了国际最佳实践水平。但这些扩展维度的理论基础和操作化方法尚不成熟，在学术界尚未形成共识。本研究选择4E框架作为理论基础，一方面是因为4E框架经过了长期的理论检验和实践应用，理论基础扎实、操作化方法成熟；另一方面是因为4E的四个维度（经济性-效率性-效果性-公平性）与政府数据开放的四个关键环节（供给-平台-质量-效果）具有良好的概念对应关系。</w:t>
      </w:r>
    </w:p>
    <w:p>
      <w:pPr>
        <w:pStyle w:val="BodyText"/>
        <w:spacing w:line="360" w:lineRule="auto"/>
      </w:pPr>
      <w:r>
        <w:rPr>
          <w:rFonts w:hint="eastAsia" w:ascii="宋体" w:hAnsi="宋体" w:eastAsia="宋体"/>
          <w:color w:val="000000"/>
          <w:sz w:val="24"/>
        </w:rPr>
        <w:t xml:space="preserve">在评估方法论层面，4E框架的操作化面临一个核心挑战：四个维度之间可能存在冲突——追求”经济性”（降低成本）可能损害”效果性”（服务质量），追求”效率性”（快速响应）可能损害”公平性”（弱势群体照顾）。如何在评估中平衡这些冲突？本研究的策略是：通过DEA效率评价识别”经济性-效率性-效果性”的最优组合前沿，通过Equity维度的独立评估确保公平性不被牺牲，通过fsQCA组态分析揭示不同维度之间的协同和替代关系。</w:t>
      </w:r>
    </w:p>
    <w:bookmarkEnd w:id="76"/>
    <w:bookmarkStart w:id="77" w:name="公共价值理论与数据开放"/>
    <w:p>
      <w:pPr>
        <w:pStyle w:val="Heading4"/>
        <w:spacing w:line="360" w:lineRule="auto"/>
      </w:pPr>
      <w:r>
        <w:rPr>
          <w:rFonts w:ascii="宋体" w:hAnsi="宋体" w:eastAsia="宋体"/>
          <w:color w:val="000000"/>
          <w:sz w:val="24"/>
        </w:rPr>
        <w:t xml:space="preserve">2.3.2 </w:t>
      </w:r>
      <w:r>
        <w:rPr>
          <w:rFonts w:hint="eastAsia" w:ascii="宋体" w:hAnsi="宋体" w:eastAsia="宋体"/>
          <w:color w:val="000000"/>
          <w:sz w:val="24"/>
        </w:rPr>
        <w:t xml:space="preserve">公共价值理论与数据开放</w:t>
      </w:r>
    </w:p>
    <w:p>
      <w:pPr>
        <w:pStyle w:val="FirstParagraph"/>
        <w:spacing w:line="360" w:lineRule="auto"/>
      </w:pPr>
      <w:r>
        <w:rPr>
          <w:rFonts w:hint="eastAsia" w:ascii="宋体" w:hAnsi="宋体" w:eastAsia="宋体"/>
          <w:color w:val="000000"/>
          <w:sz w:val="24"/>
        </w:rPr>
        <w:t xml:space="preserve">公共价值理论（Public</w:t>
      </w:r>
      <w:r>
        <w:rPr>
          <w:rFonts w:ascii="宋体" w:hAnsi="宋体" w:eastAsia="宋体"/>
          <w:color w:val="000000"/>
          <w:sz w:val="24"/>
        </w:rPr>
        <w:t xml:space="preserve"> Value </w:t>
      </w:r>
      <w:r>
        <w:rPr>
          <w:rFonts w:hint="eastAsia" w:ascii="宋体" w:hAnsi="宋体" w:eastAsia="宋体"/>
          <w:color w:val="000000"/>
          <w:sz w:val="24"/>
        </w:rPr>
        <w:t xml:space="preserve">Theory）由Moore于1995年提出，为理解政府数据开放的价值创造机制提供了重要的理论透镜。公共价值理论的核心命题是：公共管理者不仅是政策执行者，更是”公共价值的创造者”——他们的任务是在授权环境（合法性支持）和运营能力（资源条件）的约束下，创造最大的公共价值。公共价值理论将”价值”从单一的”效率”拓展到多元的”公共价值谱系”，包括：经济价值（如经济增长、就业创造）、社会价值（如社会公平、公众参与）、政治价值（如政府问责、民主深化）和伦理价值（如隐私保护、数据伦理）。</w:t>
      </w:r>
    </w:p>
    <w:p>
      <w:pPr>
        <w:pStyle w:val="BodyText"/>
        <w:spacing w:line="360" w:lineRule="auto"/>
      </w:pPr>
      <w:r>
        <w:rPr>
          <w:rFonts w:hint="eastAsia" w:ascii="宋体" w:hAnsi="宋体" w:eastAsia="宋体"/>
          <w:color w:val="000000"/>
          <w:sz w:val="24"/>
        </w:rPr>
        <w:t xml:space="preserve">在政府数据开放领域，公共价值理论的应用揭示了数据开放的多维价值创造机制。Jetzek等构建了开放数据的价值评估框架，将开放数据的价值分为直接价值（如透明度提升、问责增强）和间接价值（如经济增长、创新促进、社会包容）。Martin等提出了”数据价值光谱”概念，认为数据开放的价值不是二元的（</w:t>
      </w:r>
      <w:r>
        <w:rPr>
          <w:rFonts w:hint="eastAsia" w:ascii="宋体" w:hAnsi="宋体" w:eastAsia="宋体"/>
          <w:color w:val="000000"/>
          <w:sz w:val="24"/>
        </w:rPr>
        <w:t xml:space="preserve">“有”</w:t>
      </w:r>
      <w:r>
        <w:rPr>
          <w:rFonts w:hint="eastAsia" w:ascii="宋体" w:hAnsi="宋体" w:eastAsia="宋体"/>
          <w:color w:val="000000"/>
          <w:sz w:val="24"/>
        </w:rPr>
        <w:t xml:space="preserve">或”无”），而是一个连续谱系——从”基本透明”到”深度利用”，不同平台在价值谱系上处于不同位置。这一”价值光谱”概念对本研究的启示在于：评估数据开放绩效时，不应仅关注”是否开放了数据”，还应关注”数据产生了多少价值”——价值的大小和类型是绩效评估的核心内容。</w:t>
      </w:r>
    </w:p>
    <w:p>
      <w:pPr>
        <w:pStyle w:val="BodyText"/>
        <w:spacing w:line="360" w:lineRule="auto"/>
      </w:pPr>
      <w:r>
        <w:rPr>
          <w:rFonts w:hint="eastAsia" w:ascii="宋体" w:hAnsi="宋体" w:eastAsia="宋体"/>
          <w:color w:val="000000"/>
          <w:sz w:val="24"/>
        </w:rPr>
        <w:t xml:space="preserve">公共价值理论还揭示了数据开放中的”价值冲突”问题。数据开放可能同时产生正面价值和负面价值——正面价值包括透明度提升、创新促进、经济增长等；负面价值包括隐私泄露风险、数据滥用风险、数字鸿沟加剧等。公共价值理论要求公共管理者在价值冲突中进行权衡和选择，而非简单地追求”价值最大化”。例如，开放详细的个人健康数据可能促进医学研究（正面价值），但也可能导致隐私泄露（负面价值）——公共管理者需要在”研究价值”和”隐私保护”之间找到平衡点。本研究在评估框架中通过”数据安全”指标和”授权运营”指标，回应了数据开放中的价值冲突问题。</w:t>
      </w:r>
    </w:p>
    <w:bookmarkEnd w:id="77"/>
    <w:bookmarkStart w:id="78" w:name="数据利用绩效的概念界定与测量"/>
    <w:p>
      <w:pPr>
        <w:pStyle w:val="Heading4"/>
        <w:spacing w:line="360" w:lineRule="auto"/>
      </w:pPr>
      <w:r>
        <w:rPr>
          <w:rFonts w:ascii="宋体" w:hAnsi="宋体" w:eastAsia="宋体"/>
          <w:color w:val="000000"/>
          <w:sz w:val="24"/>
        </w:rPr>
        <w:t xml:space="preserve">2.3.3 </w:t>
      </w:r>
      <w:r>
        <w:rPr>
          <w:rFonts w:hint="eastAsia" w:ascii="宋体" w:hAnsi="宋体" w:eastAsia="宋体"/>
          <w:color w:val="000000"/>
          <w:sz w:val="24"/>
        </w:rPr>
        <w:t xml:space="preserve">数据利用绩效的概念界定与测量</w:t>
      </w:r>
    </w:p>
    <w:p>
      <w:pPr>
        <w:pStyle w:val="FirstParagraph"/>
        <w:spacing w:line="360" w:lineRule="auto"/>
      </w:pPr>
      <w:r>
        <w:rPr>
          <w:rFonts w:hint="eastAsia" w:ascii="宋体" w:hAnsi="宋体" w:eastAsia="宋体"/>
          <w:color w:val="000000"/>
          <w:sz w:val="24"/>
        </w:rPr>
        <w:t xml:space="preserve">数据利用绩效是政府数据开放领域的核心概念，但其界定和测量一直是学术界的难点。</w:t>
      </w:r>
    </w:p>
    <w:p>
      <w:pPr>
        <w:pStyle w:val="BodyText"/>
        <w:spacing w:line="360" w:lineRule="auto"/>
      </w:pPr>
      <w:r>
        <w:rPr>
          <w:rFonts w:hint="eastAsia" w:ascii="宋体" w:hAnsi="宋体" w:eastAsia="宋体"/>
          <w:b/>
          <w:bCs/>
          <w:color w:val="000000"/>
          <w:sz w:val="24"/>
        </w:rPr>
        <w:t xml:space="preserve">概念界定。</w:t>
      </w:r>
      <w:r>
        <w:rPr>
          <w:rFonts w:ascii="宋体" w:hAnsi="宋体" w:eastAsia="宋体"/>
          <w:color w:val="000000"/>
          <w:sz w:val="24"/>
        </w:rPr>
        <w:t xml:space="preserve"> </w:t>
      </w:r>
      <w:r>
        <w:rPr>
          <w:rFonts w:hint="eastAsia" w:ascii="宋体" w:hAnsi="宋体" w:eastAsia="宋体"/>
          <w:color w:val="000000"/>
          <w:sz w:val="24"/>
        </w:rPr>
        <w:t xml:space="preserve">本研究将”数据利用绩效”界定为：政府数据开放平台在数据供给、平台服务、数据质量、利用效果四个维度上的综合表现，反映平台从”数据资源”到”数据价值”转化过程的整体效能。这一定义包含三个核心要义。第一，绩效是全链条的——从数据供给到利用效果，每一个环节都是绩效的组成部分。将供给保障排除在绩效之外，相当于认为”没有米也可以评判厨艺”，这在逻辑上是站不住的。第二，绩效是多维的——单一维度的得分无法全面反映平台的真实表现，一个”供给丰富但利用薄弱”的平台和一个”供给有限但利用高效”的平台需要不同的评估视角。第三，绩效是相对的——不同资源禀赋和发展阶段的平台不应使用同一标准比较，DEA效率评价正是为了解决这一问题而引入的。</w:t>
      </w:r>
    </w:p>
    <w:p>
      <w:pPr>
        <w:pStyle w:val="BodyText"/>
        <w:spacing w:line="360" w:lineRule="auto"/>
      </w:pPr>
      <w:r>
        <w:rPr>
          <w:rFonts w:hint="eastAsia" w:ascii="宋体" w:hAnsi="宋体" w:eastAsia="宋体"/>
          <w:color w:val="000000"/>
          <w:sz w:val="24"/>
        </w:rPr>
        <w:t xml:space="preserve">绩效的”相对性”是本研究的重要方法论立场。在绝对绩效评估中，所有平台使用同一套标准和权重进行比较——这看似”公平”，实则”不公平”，因为它忽视了平台间的资源禀赋差异和发展阶段差异。一个成立仅1年的新平台与一个成立8年的老平台使用同一标准比较，结果必然对新平台不利——但这并不意味着新平台”做得不好”，只是它”做得还不够久”。DEA效率评价通过”同类比较”的方式解决了这一问题——每个平台只与”投入相近”的平台比较，效率得分反映的是”相对于同等投入的平台，你的产出如何”。</w:t>
      </w:r>
    </w:p>
    <w:p>
      <w:pPr>
        <w:pStyle w:val="BodyText"/>
        <w:spacing w:line="360" w:lineRule="auto"/>
      </w:pPr>
      <w:r>
        <w:rPr>
          <w:rFonts w:hint="eastAsia" w:ascii="宋体" w:hAnsi="宋体" w:eastAsia="宋体"/>
          <w:b/>
          <w:bCs/>
          <w:color w:val="000000"/>
          <w:sz w:val="24"/>
        </w:rPr>
        <w:t xml:space="preserve">测量方法。</w:t>
      </w:r>
      <w:r>
        <w:rPr>
          <w:rFonts w:ascii="宋体" w:hAnsi="宋体" w:eastAsia="宋体"/>
          <w:color w:val="000000"/>
          <w:sz w:val="24"/>
        </w:rPr>
        <w:t xml:space="preserve"> </w:t>
      </w:r>
      <w:r>
        <w:rPr>
          <w:rFonts w:hint="eastAsia" w:ascii="宋体" w:hAnsi="宋体" w:eastAsia="宋体"/>
          <w:color w:val="000000"/>
          <w:sz w:val="24"/>
        </w:rPr>
        <w:t xml:space="preserve">目前的研究主要从三个方向展开测量，代表了从”浅层利用”到”深度利用”的递进。一是基于数据下载量和API调用量的直接利用度量，优点是数据客观可获取，缺点是无法区分”下载”与”利用”的差异——大量下载数据可能从未被分析使用，</w:t>
      </w:r>
      <w:r>
        <w:rPr>
          <w:rFonts w:hint="eastAsia" w:ascii="宋体" w:hAnsi="宋体" w:eastAsia="宋体"/>
          <w:color w:val="000000"/>
          <w:sz w:val="24"/>
        </w:rPr>
        <w:t xml:space="preserve">“下载不等于利用”</w:t>
      </w:r>
      <w:r>
        <w:rPr>
          <w:rFonts w:hint="eastAsia" w:ascii="宋体" w:hAnsi="宋体" w:eastAsia="宋体"/>
          <w:color w:val="000000"/>
          <w:sz w:val="24"/>
        </w:rPr>
        <w:t xml:space="preserve">是一个需要认真对待的方法论问题。正如Linden等指出的，</w:t>
      </w:r>
      <w:r>
        <w:rPr>
          <w:rFonts w:hint="eastAsia" w:ascii="宋体" w:hAnsi="宋体" w:eastAsia="宋体"/>
          <w:color w:val="000000"/>
          <w:sz w:val="24"/>
        </w:rPr>
        <w:t xml:space="preserve">“数据下载是利用的必要条件而非充分条件”</w:t>
      </w:r>
      <w:r>
        <w:rPr>
          <w:rFonts w:hint="eastAsia" w:ascii="宋体" w:hAnsi="宋体" w:eastAsia="宋体"/>
          <w:color w:val="000000"/>
          <w:sz w:val="24"/>
        </w:rPr>
        <w:t xml:space="preserve">——下载了数据不代表分析了数据，分析了数据不代表产生了价值。二是基于数据应用成果的间接利用度量，如统计基于开放数据开发的应用程序、研究报告和新闻调查等，更能反映数据的实际利用深度，但数据收集困难且覆盖不全——很多利用开放数据的产品和服务并未标注数据来源，导致利用成果的统计存在系统性低估。三是基于用户满意度的主观利用度量，通过问卷调查衡量用户对数据质量和平台服务的感知，能够捕获客观指标无法反映的体验维度，但主观性较强——满意度高可能意味着”期望低”而非”绩效好”。</w:t>
      </w:r>
    </w:p>
    <w:p>
      <w:pPr>
        <w:pStyle w:val="BodyText"/>
        <w:spacing w:line="360" w:lineRule="auto"/>
      </w:pPr>
      <w:r>
        <w:rPr>
          <w:rFonts w:hint="eastAsia" w:ascii="宋体" w:hAnsi="宋体" w:eastAsia="宋体"/>
          <w:color w:val="000000"/>
          <w:sz w:val="24"/>
        </w:rPr>
        <w:t xml:space="preserve">本研究认为，单一度量方式难以全面反映绩效，应将直接利用度量、间接利用度量和用户感知度量整合到统一的评估框架中。这也是本研究在”利用效果”维度下设置”数据直接利用”</w:t>
      </w:r>
      <w:r>
        <w:rPr>
          <w:rFonts w:hint="eastAsia" w:ascii="宋体" w:hAnsi="宋体" w:eastAsia="宋体"/>
          <w:color w:val="000000"/>
          <w:sz w:val="24"/>
        </w:rPr>
        <w:t xml:space="preserve">“数据创新利用”</w:t>
      </w:r>
      <w:r>
        <w:rPr>
          <w:rFonts w:hint="eastAsia" w:ascii="宋体" w:hAnsi="宋体" w:eastAsia="宋体"/>
          <w:color w:val="000000"/>
          <w:sz w:val="24"/>
        </w:rPr>
        <w:t xml:space="preserve">和”授权运营成效”三个要素层的理论依据——</w:t>
      </w:r>
      <w:r>
        <w:rPr>
          <w:rFonts w:hint="eastAsia" w:ascii="宋体" w:hAnsi="宋体" w:eastAsia="宋体"/>
          <w:color w:val="000000"/>
          <w:sz w:val="24"/>
        </w:rPr>
        <w:t xml:space="preserve">“直接利用”</w:t>
      </w:r>
      <w:r>
        <w:rPr>
          <w:rFonts w:hint="eastAsia" w:ascii="宋体" w:hAnsi="宋体" w:eastAsia="宋体"/>
          <w:color w:val="000000"/>
          <w:sz w:val="24"/>
        </w:rPr>
        <w:t xml:space="preserve">对应下载量和API调用量等客观度量，</w:t>
      </w:r>
      <w:r>
        <w:rPr>
          <w:rFonts w:hint="eastAsia" w:ascii="宋体" w:hAnsi="宋体" w:eastAsia="宋体"/>
          <w:color w:val="000000"/>
          <w:sz w:val="24"/>
        </w:rPr>
        <w:t xml:space="preserve">“创新利用”</w:t>
      </w:r>
      <w:r>
        <w:rPr>
          <w:rFonts w:hint="eastAsia" w:ascii="宋体" w:hAnsi="宋体" w:eastAsia="宋体"/>
          <w:color w:val="000000"/>
          <w:sz w:val="24"/>
        </w:rPr>
        <w:t xml:space="preserve">对应应用成果等间接度量，</w:t>
      </w:r>
      <w:r>
        <w:rPr>
          <w:rFonts w:hint="eastAsia" w:ascii="宋体" w:hAnsi="宋体" w:eastAsia="宋体"/>
          <w:color w:val="000000"/>
          <w:sz w:val="24"/>
        </w:rPr>
        <w:t xml:space="preserve">“授权运营成效”</w:t>
      </w:r>
      <w:r>
        <w:rPr>
          <w:rFonts w:hint="eastAsia" w:ascii="宋体" w:hAnsi="宋体" w:eastAsia="宋体"/>
          <w:color w:val="000000"/>
          <w:sz w:val="24"/>
        </w:rPr>
        <w:t xml:space="preserve">对应新兴利用形态的前瞻性度量。</w:t>
      </w:r>
    </w:p>
    <w:bookmarkEnd w:id="78"/>
    <w:bookmarkStart w:id="79" w:name="数据利用绩效的影响因素"/>
    <w:p>
      <w:pPr>
        <w:pStyle w:val="Heading4"/>
        <w:spacing w:line="360" w:lineRule="auto"/>
      </w:pPr>
      <w:r>
        <w:rPr>
          <w:rFonts w:ascii="宋体" w:hAnsi="宋体" w:eastAsia="宋体"/>
          <w:color w:val="000000"/>
          <w:sz w:val="24"/>
        </w:rPr>
        <w:t xml:space="preserve">2.3.4 </w:t>
      </w:r>
      <w:r>
        <w:rPr>
          <w:rFonts w:hint="eastAsia" w:ascii="宋体" w:hAnsi="宋体" w:eastAsia="宋体"/>
          <w:color w:val="000000"/>
          <w:sz w:val="24"/>
        </w:rPr>
        <w:t xml:space="preserve">数据利用绩效的影响因素</w:t>
      </w:r>
    </w:p>
    <w:p>
      <w:pPr>
        <w:pStyle w:val="FirstParagraph"/>
        <w:spacing w:line="360" w:lineRule="auto"/>
      </w:pPr>
      <w:r>
        <w:rPr>
          <w:rFonts w:hint="eastAsia" w:ascii="宋体" w:hAnsi="宋体" w:eastAsia="宋体"/>
          <w:color w:val="000000"/>
          <w:sz w:val="24"/>
        </w:rPr>
        <w:t xml:space="preserve">近年来，学术界越来越关注数据利用绩效的影响因素，研究视角从单一因素分析转向多因素整合分析。</w:t>
      </w:r>
    </w:p>
    <w:p>
      <w:pPr>
        <w:pStyle w:val="BodyText"/>
        <w:spacing w:line="360" w:lineRule="auto"/>
      </w:pPr>
      <w:r>
        <w:rPr>
          <w:rFonts w:hint="eastAsia" w:ascii="宋体" w:hAnsi="宋体" w:eastAsia="宋体"/>
          <w:b/>
          <w:bCs/>
          <w:color w:val="000000"/>
          <w:sz w:val="24"/>
        </w:rPr>
        <w:t xml:space="preserve">技术层面因素。</w:t>
      </w:r>
      <w:r>
        <w:rPr>
          <w:rFonts w:ascii="宋体" w:hAnsi="宋体" w:eastAsia="宋体"/>
          <w:color w:val="000000"/>
          <w:sz w:val="24"/>
        </w:rPr>
        <w:t xml:space="preserve"> </w:t>
      </w:r>
      <w:r>
        <w:rPr>
          <w:rFonts w:hint="eastAsia" w:ascii="宋体" w:hAnsi="宋体" w:eastAsia="宋体"/>
          <w:color w:val="000000"/>
          <w:sz w:val="24"/>
        </w:rPr>
        <w:t xml:space="preserve">数据质量、API开放度和平台技术架构等被认为是关键因素。数据质量的维度包括准确性、完整性、及时性、一致性和机器可读性等，其中准确性对利用绩效的影响最为显著——包含错误数据的数据集不仅无法产生有效利用，还可能导致基于该数据的决策失误，产生”负价值”。Wang和Strong提出的”数据质量维度框架”将数据质量分解为内在质量、可访问性和情境质量三个维度，成为数据质量评估的经典参考。API开放度直接影响程序化利用的便利性——RESTful</w:t>
      </w:r>
      <w:r>
        <w:rPr>
          <w:rFonts w:ascii="宋体" w:hAnsi="宋体" w:eastAsia="宋体"/>
          <w:color w:val="000000"/>
          <w:sz w:val="24"/>
        </w:rPr>
        <w:t xml:space="preserve"> </w:t>
      </w:r>
      <w:r>
        <w:rPr>
          <w:rFonts w:hint="eastAsia" w:ascii="宋体" w:hAnsi="宋体" w:eastAsia="宋体"/>
          <w:color w:val="000000"/>
          <w:sz w:val="24"/>
        </w:rPr>
        <w:t xml:space="preserve">API和标准化的数据格式是提升利用效率的技术基础，而缺乏API支持的数据集只能通过手动下载获取，大大增加了利用的摩擦成本。平台技术架构决定了平台的可扩展性和可维护性——采用微服务架构的平台在功能扩展和性能优化方面明显优于传统单体架构。</w:t>
      </w:r>
    </w:p>
    <w:p>
      <w:pPr>
        <w:pStyle w:val="BodyText"/>
        <w:spacing w:line="360" w:lineRule="auto"/>
      </w:pPr>
      <w:r>
        <w:rPr>
          <w:rFonts w:hint="eastAsia" w:ascii="宋体" w:hAnsi="宋体" w:eastAsia="宋体"/>
          <w:color w:val="000000"/>
          <w:sz w:val="24"/>
        </w:rPr>
        <w:t xml:space="preserve">技术层面的影响因素还包括数据格式标准化程度。数据格式的标准化是数据互操作性的技术基础——如果不同平台使用不同的数据格式（如一个平台用CSV，另一个用XML，另一个用JSON），用户在整合多源数据时需要进行繁琐的格式转换。OECD建议各国在数据发布时遵循国际通用的标准规范（如ISO</w:t>
      </w:r>
      <w:r>
        <w:rPr>
          <w:rFonts w:ascii="宋体" w:hAnsi="宋体" w:eastAsia="宋体"/>
          <w:color w:val="000000"/>
          <w:sz w:val="24"/>
        </w:rPr>
        <w:t xml:space="preserve"> </w:t>
      </w:r>
      <w:r>
        <w:rPr>
          <w:rFonts w:hint="eastAsia" w:ascii="宋体" w:hAnsi="宋体" w:eastAsia="宋体"/>
          <w:color w:val="000000"/>
          <w:sz w:val="24"/>
        </w:rPr>
        <w:t xml:space="preserve">19115地理信息元数据标准、SDMX统计数据和元数据交换标准等），以提升数据的互操作性和再利用价值。本研究在”数据质量”维度中设置了”格式标准化”指标，考察各平台数据集格式的一致性和规范性。</w:t>
      </w:r>
    </w:p>
    <w:p>
      <w:pPr>
        <w:pStyle w:val="BodyText"/>
        <w:spacing w:line="360" w:lineRule="auto"/>
      </w:pPr>
      <w:r>
        <w:rPr>
          <w:rFonts w:hint="eastAsia" w:ascii="宋体" w:hAnsi="宋体" w:eastAsia="宋体"/>
          <w:b/>
          <w:bCs/>
          <w:color w:val="000000"/>
          <w:sz w:val="24"/>
        </w:rPr>
        <w:t xml:space="preserve">组织层面因素。</w:t>
      </w:r>
      <w:r>
        <w:rPr>
          <w:rFonts w:ascii="宋体" w:hAnsi="宋体" w:eastAsia="宋体"/>
          <w:color w:val="000000"/>
          <w:sz w:val="24"/>
        </w:rPr>
        <w:t xml:space="preserve"> </w:t>
      </w:r>
      <w:r>
        <w:rPr>
          <w:rFonts w:hint="eastAsia" w:ascii="宋体" w:hAnsi="宋体" w:eastAsia="宋体"/>
          <w:color w:val="000000"/>
          <w:sz w:val="24"/>
        </w:rPr>
        <w:t xml:space="preserve">制度环境、政策体系、组织能力和授权运营机制等影响着数据开放和利用的效果。完善的法规政策体系为数据开放提供了制度保障——</w:t>
      </w:r>
      <w:r>
        <w:rPr>
          <w:rFonts w:hint="eastAsia" w:ascii="宋体" w:hAnsi="宋体" w:eastAsia="宋体"/>
          <w:color w:val="000000"/>
          <w:sz w:val="24"/>
        </w:rPr>
        <w:t xml:space="preserve">“数据二十条”</w:t>
      </w:r>
      <w:r>
        <w:rPr>
          <w:rFonts w:hint="eastAsia" w:ascii="宋体" w:hAnsi="宋体" w:eastAsia="宋体"/>
          <w:color w:val="000000"/>
          <w:sz w:val="24"/>
        </w:rPr>
        <w:t xml:space="preserve">的出台显著加速了各地数据开放的进程，政策出台后的6个月内，新上线平台数量比前6个月增加了42%。而组织的数据治理能力决定了数据从”开放”到”可用”的转化效率——数据治理能力强的平台能够在数据上传前完成质量审查和格式标准化，减少用户的”数据清洗”成本。授权运营机制是组织层面的新兴因素——授权运营通过”数据可用不可见”的安全框架，解决了高价值数据”不敢开”的困境，为数据利用开辟了新的制度路径。</w:t>
      </w:r>
    </w:p>
    <w:p>
      <w:pPr>
        <w:pStyle w:val="BodyText"/>
        <w:spacing w:line="360" w:lineRule="auto"/>
      </w:pPr>
      <w:r>
        <w:rPr>
          <w:rFonts w:hint="eastAsia" w:ascii="宋体" w:hAnsi="宋体" w:eastAsia="宋体"/>
          <w:color w:val="000000"/>
          <w:sz w:val="24"/>
        </w:rPr>
        <w:t xml:space="preserve">组织层面的影响因素还包括领导力因素。研究表明，平台所在地的省级领导对数据开放的重视程度直接影响平台的建设进度和运营质量。在”一把手工程”的推动下，平台建设通常能够获得更多的资源投入和跨部门协调支持。本研究在”组织层面”因素中虽未直接设置”领导力”指标，但通过”制度环境”和”组织能力”指标间接捕捉了领导力的影响——领导力强的地区通常制度更完善、组织能力更强。</w:t>
      </w:r>
    </w:p>
    <w:p>
      <w:pPr>
        <w:pStyle w:val="BodyText"/>
        <w:spacing w:line="360" w:lineRule="auto"/>
      </w:pPr>
      <w:r>
        <w:rPr>
          <w:rFonts w:hint="eastAsia" w:ascii="宋体" w:hAnsi="宋体" w:eastAsia="宋体"/>
          <w:b/>
          <w:bCs/>
          <w:color w:val="000000"/>
          <w:sz w:val="24"/>
        </w:rPr>
        <w:t xml:space="preserve">环境层面因素。</w:t>
      </w:r>
      <w:r>
        <w:rPr>
          <w:rFonts w:ascii="宋体" w:hAnsi="宋体" w:eastAsia="宋体"/>
          <w:color w:val="000000"/>
          <w:sz w:val="24"/>
        </w:rPr>
        <w:t xml:space="preserve"> </w:t>
      </w:r>
      <w:r>
        <w:rPr>
          <w:rFonts w:hint="eastAsia" w:ascii="宋体" w:hAnsi="宋体" w:eastAsia="宋体"/>
          <w:color w:val="000000"/>
          <w:sz w:val="24"/>
        </w:rPr>
        <w:t xml:space="preserve">区域经济发展水平、数字经济基础和用户数据素养构成了外部情境条件。东部地区凭借更好的数字经济基础设施和更活跃的创新创业生态，在数据利用方面天然具有环境优势——但这种优势并非不可改变，中西部地区可以通过制度创新和能力建设弥补环境劣势。Liu等发现，环境因素与组织因素之间存在显著的交互效应：在数字经济基础较好的东部地区，</w:t>
      </w:r>
      <w:r>
        <w:rPr>
          <w:rFonts w:hint="eastAsia" w:ascii="宋体" w:hAnsi="宋体" w:eastAsia="宋体"/>
          <w:color w:val="000000"/>
          <w:sz w:val="24"/>
        </w:rPr>
        <w:t xml:space="preserve">“平台技术优化”</w:t>
      </w:r>
      <w:r>
        <w:rPr>
          <w:rFonts w:hint="eastAsia" w:ascii="宋体" w:hAnsi="宋体" w:eastAsia="宋体"/>
          <w:color w:val="000000"/>
          <w:sz w:val="24"/>
        </w:rPr>
        <w:t xml:space="preserve">对绩效的提升效果更为显著，而在数字经济基础较弱的中西部地区，</w:t>
      </w:r>
      <w:r>
        <w:rPr>
          <w:rFonts w:hint="eastAsia" w:ascii="宋体" w:hAnsi="宋体" w:eastAsia="宋体"/>
          <w:color w:val="000000"/>
          <w:sz w:val="24"/>
        </w:rPr>
        <w:t xml:space="preserve">“制度环境改善”</w:t>
      </w:r>
      <w:r>
        <w:rPr>
          <w:rFonts w:hint="eastAsia" w:ascii="宋体" w:hAnsi="宋体" w:eastAsia="宋体"/>
          <w:color w:val="000000"/>
          <w:sz w:val="24"/>
        </w:rPr>
        <w:t xml:space="preserve">对绩效的提升效果更为显著。这一发现揭示了”因地制宜”的必要性——不同区域应采取差异化的优化策略。</w:t>
      </w:r>
    </w:p>
    <w:p>
      <w:pPr>
        <w:pStyle w:val="BodyText"/>
        <w:spacing w:line="360" w:lineRule="auto"/>
      </w:pPr>
      <w:r>
        <w:rPr>
          <w:rFonts w:hint="eastAsia" w:ascii="宋体" w:hAnsi="宋体" w:eastAsia="宋体"/>
          <w:color w:val="000000"/>
          <w:sz w:val="24"/>
        </w:rPr>
        <w:t xml:space="preserve">用户数据素养是环境层面中一个常被忽视但至关重要的因素。数据素养是指社会公众获取、理解、分析和利用数据的能力。数据素养高的用户群体能够更有效地利用开放数据，产生更多的数据应用和创新成果。然而，我国用户数据素养的分布极不均衡——东部大城市的用户数据素养显著高于中西部地区，这加剧了数据利用的区域差距。从信息平权的视角看，提升中西部地区公众的数据素养，是缩小数据利用差距、实现数据权利公平分配的重要途径。本研究在评估框架中虽未直接设置”用户数据素养”指标，但在”公平性”维度中通过”区域均衡”和”群体覆盖”指标间接反映了数据利用的公平性问题。</w:t>
      </w:r>
    </w:p>
    <w:p>
      <w:pPr>
        <w:pStyle w:val="BodyText"/>
        <w:spacing w:line="360" w:lineRule="auto"/>
      </w:pPr>
      <w:r>
        <w:rPr>
          <w:rFonts w:hint="eastAsia" w:ascii="宋体" w:hAnsi="宋体" w:eastAsia="宋体"/>
          <w:b/>
          <w:bCs/>
          <w:color w:val="000000"/>
          <w:sz w:val="24"/>
        </w:rPr>
        <w:t xml:space="preserve">非线性特征与组态效应。</w:t>
      </w:r>
      <w:r>
        <w:rPr>
          <w:rFonts w:ascii="宋体" w:hAnsi="宋体" w:eastAsia="宋体"/>
          <w:color w:val="000000"/>
          <w:sz w:val="24"/>
        </w:rPr>
        <w:t xml:space="preserve"> </w:t>
      </w:r>
      <w:r>
        <w:rPr>
          <w:rFonts w:hint="eastAsia" w:ascii="宋体" w:hAnsi="宋体" w:eastAsia="宋体"/>
          <w:color w:val="000000"/>
          <w:sz w:val="24"/>
        </w:rPr>
        <w:t xml:space="preserve">Ruijer等发现开放数据的利用效果受到组织能力、技术基础设施和制度环境的多重影响，因素间存在显著的交互效应——</w:t>
      </w:r>
      <w:r>
        <w:rPr>
          <w:rFonts w:hint="eastAsia" w:ascii="宋体" w:hAnsi="宋体" w:eastAsia="宋体"/>
          <w:color w:val="000000"/>
          <w:sz w:val="24"/>
        </w:rPr>
        <w:t xml:space="preserve">“数据质量”</w:t>
      </w:r>
      <w:r>
        <w:rPr>
          <w:rFonts w:hint="eastAsia" w:ascii="宋体" w:hAnsi="宋体" w:eastAsia="宋体"/>
          <w:color w:val="000000"/>
          <w:sz w:val="24"/>
        </w:rPr>
        <w:t xml:space="preserve">对利用效果的促进作用在”组织能力”强的平台中更为显著，而在”组织能力”弱的平台中则可能被其他短板因素所抑制。这一发现揭示了数据利用绩效的”木桶效应”——绩效水平往往受限于最短板因素，而非由最强因素决定。Liu等进一步发现，不同区域的数据利用绩效驱动机制存在显著差异——东部地区绩效主要受”技术能力”和”市场环境”驱动，而中西部地区绩效更受”制度环境”和”组织能力”制约。这一发现对本研究的启示是：绩效评估不应仅关注因素的独立效应，还需关注因素的组合效应——而传统回归分析的”控制变量”逻辑恰恰是”屏蔽”而非”揭示”因素间的交互作用。这即本研究引入fsQCA方法的理论动因。</w:t>
      </w:r>
    </w:p>
    <w:bookmarkEnd w:id="79"/>
    <w:bookmarkStart w:id="80" w:name="研究述评与本研究定位"/>
    <w:p>
      <w:pPr>
        <w:pStyle w:val="Heading4"/>
        <w:spacing w:line="360" w:lineRule="auto"/>
      </w:pPr>
      <w:r>
        <w:rPr>
          <w:rFonts w:ascii="宋体" w:hAnsi="宋体" w:eastAsia="宋体"/>
          <w:color w:val="000000"/>
          <w:sz w:val="24"/>
        </w:rPr>
        <w:t xml:space="preserve">2.3.5 </w:t>
      </w:r>
      <w:r>
        <w:rPr>
          <w:rFonts w:hint="eastAsia" w:ascii="宋体" w:hAnsi="宋体" w:eastAsia="宋体"/>
          <w:color w:val="000000"/>
          <w:sz w:val="24"/>
        </w:rPr>
        <w:t xml:space="preserve">研究述评与本研究定位</w:t>
      </w:r>
    </w:p>
    <w:p>
      <w:pPr>
        <w:pStyle w:val="FirstParagraph"/>
        <w:spacing w:line="360" w:lineRule="auto"/>
      </w:pPr>
      <w:r>
        <w:rPr>
          <w:rFonts w:hint="eastAsia" w:ascii="宋体" w:hAnsi="宋体" w:eastAsia="宋体"/>
          <w:color w:val="000000"/>
          <w:sz w:val="24"/>
        </w:rPr>
        <w:t xml:space="preserve">通过对国内外开放政府数据评估研究的系统梳理，本研究发现现有研究存在以下五个不足：</w:t>
      </w:r>
    </w:p>
    <w:p>
      <w:pPr>
        <w:pStyle w:val="BodyText"/>
        <w:spacing w:line="360" w:lineRule="auto"/>
      </w:pPr>
      <w:r>
        <w:rPr>
          <w:rFonts w:hint="eastAsia" w:ascii="宋体" w:hAnsi="宋体" w:eastAsia="宋体"/>
          <w:b/>
          <w:bCs/>
          <w:color w:val="000000"/>
          <w:sz w:val="24"/>
        </w:rPr>
        <w:t xml:space="preserve">第一，评估范式”重供给轻效果”。</w:t>
      </w:r>
      <w:r>
        <w:rPr>
          <w:rFonts w:ascii="宋体" w:hAnsi="宋体" w:eastAsia="宋体"/>
          <w:color w:val="000000"/>
          <w:sz w:val="24"/>
        </w:rPr>
        <w:t xml:space="preserve"> </w:t>
      </w:r>
      <w:r>
        <w:rPr>
          <w:rFonts w:hint="eastAsia" w:ascii="宋体" w:hAnsi="宋体" w:eastAsia="宋体"/>
          <w:color w:val="000000"/>
          <w:sz w:val="24"/>
        </w:rPr>
        <w:t xml:space="preserve">开放数林指数2025中利用层仅占约15%权重，而准备度、数据层、平台层合计超过85%。本研究将利用效果权重提升至30%，是对现有范式的纠偏。</w:t>
      </w:r>
    </w:p>
    <w:p>
      <w:pPr>
        <w:pStyle w:val="BodyText"/>
        <w:spacing w:line="360" w:lineRule="auto"/>
      </w:pPr>
      <w:r>
        <w:rPr>
          <w:rFonts w:hint="eastAsia" w:ascii="宋体" w:hAnsi="宋体" w:eastAsia="宋体"/>
          <w:b/>
          <w:bCs/>
          <w:color w:val="000000"/>
          <w:sz w:val="24"/>
        </w:rPr>
        <w:t xml:space="preserve">第二，评估数据客观性不足。</w:t>
      </w:r>
      <w:r>
        <w:rPr>
          <w:rFonts w:ascii="宋体" w:hAnsi="宋体" w:eastAsia="宋体"/>
          <w:color w:val="000000"/>
          <w:sz w:val="24"/>
        </w:rPr>
        <w:t xml:space="preserve"> </w:t>
      </w:r>
      <w:r>
        <w:rPr>
          <w:rFonts w:hint="eastAsia" w:ascii="宋体" w:hAnsi="宋体" w:eastAsia="宋体"/>
          <w:color w:val="000000"/>
          <w:sz w:val="24"/>
        </w:rPr>
        <w:t xml:space="preserve">现有研究依赖专家打分和平台自我申报，数据可验证性差。本研究通过自动化采集系统获取数据，所有数据有时间戳和代码可验证。</w:t>
      </w:r>
    </w:p>
    <w:p>
      <w:pPr>
        <w:pStyle w:val="BodyText"/>
        <w:spacing w:line="360" w:lineRule="auto"/>
      </w:pPr>
      <w:r>
        <w:rPr>
          <w:rFonts w:hint="eastAsia" w:ascii="宋体" w:hAnsi="宋体" w:eastAsia="宋体"/>
          <w:b/>
          <w:bCs/>
          <w:color w:val="000000"/>
          <w:sz w:val="24"/>
        </w:rPr>
        <w:t xml:space="preserve">第三，效率维度缺失。</w:t>
      </w:r>
      <w:r>
        <w:rPr>
          <w:rFonts w:ascii="宋体" w:hAnsi="宋体" w:eastAsia="宋体"/>
          <w:color w:val="000000"/>
          <w:sz w:val="24"/>
        </w:rPr>
        <w:t xml:space="preserve"> </w:t>
      </w:r>
      <w:r>
        <w:rPr>
          <w:rFonts w:hint="eastAsia" w:ascii="宋体" w:hAnsi="宋体" w:eastAsia="宋体"/>
          <w:color w:val="000000"/>
          <w:sz w:val="24"/>
        </w:rPr>
        <w:t xml:space="preserve">现有研究关注绩效绝对水平，忽视相对效率。本研究引入DEA-BCC效率评价，填补效率维度空白。</w:t>
      </w:r>
    </w:p>
    <w:p>
      <w:pPr>
        <w:pStyle w:val="BodyText"/>
        <w:spacing w:line="360" w:lineRule="auto"/>
      </w:pPr>
      <w:r>
        <w:rPr>
          <w:rFonts w:hint="eastAsia" w:ascii="宋体" w:hAnsi="宋体" w:eastAsia="宋体"/>
          <w:b/>
          <w:bCs/>
          <w:color w:val="000000"/>
          <w:sz w:val="24"/>
        </w:rPr>
        <w:t xml:space="preserve">第四，因果机制分析不足。</w:t>
      </w:r>
      <w:r>
        <w:rPr>
          <w:rFonts w:ascii="宋体" w:hAnsi="宋体" w:eastAsia="宋体"/>
          <w:color w:val="000000"/>
          <w:sz w:val="24"/>
        </w:rPr>
        <w:t xml:space="preserve"> </w:t>
      </w:r>
      <w:r>
        <w:rPr>
          <w:rFonts w:hint="eastAsia" w:ascii="宋体" w:hAnsi="宋体" w:eastAsia="宋体"/>
          <w:color w:val="000000"/>
          <w:sz w:val="24"/>
        </w:rPr>
        <w:t xml:space="preserve">现有研究多为描述性评估，对”为什么绩效有差异”分析不足。本研究运用DEMATEL和fsQCA揭示因果机制。</w:t>
      </w:r>
    </w:p>
    <w:p>
      <w:pPr>
        <w:pStyle w:val="BodyText"/>
        <w:spacing w:line="360" w:lineRule="auto"/>
      </w:pPr>
      <w:r>
        <w:rPr>
          <w:rFonts w:hint="eastAsia" w:ascii="宋体" w:hAnsi="宋体" w:eastAsia="宋体"/>
          <w:b/>
          <w:bCs/>
          <w:color w:val="000000"/>
          <w:sz w:val="24"/>
        </w:rPr>
        <w:t xml:space="preserve">第五，对策建议差异化不足。</w:t>
      </w:r>
      <w:r>
        <w:rPr>
          <w:rFonts w:ascii="宋体" w:hAnsi="宋体" w:eastAsia="宋体"/>
          <w:color w:val="000000"/>
          <w:sz w:val="24"/>
        </w:rPr>
        <w:t xml:space="preserve"> </w:t>
      </w:r>
      <w:r>
        <w:rPr>
          <w:rFonts w:hint="eastAsia" w:ascii="宋体" w:hAnsi="宋体" w:eastAsia="宋体"/>
          <w:color w:val="000000"/>
          <w:sz w:val="24"/>
        </w:rPr>
        <w:t xml:space="preserve">现有建议多为”一刀切”泛化建议。本研究基于fsQCA组态路径设计差异化对策。</w:t>
      </w:r>
    </w:p>
    <w:p>
      <w:pPr>
        <w:pStyle w:val="BodyText"/>
        <w:spacing w:line="360" w:lineRule="auto"/>
      </w:pPr>
      <w:r>
        <w:rPr>
          <w:rFonts w:hint="eastAsia" w:ascii="宋体" w:hAnsi="宋体" w:eastAsia="宋体"/>
          <w:color w:val="000000"/>
          <w:sz w:val="24"/>
        </w:rPr>
        <w:t xml:space="preserve">基于上述不足，本研究定位为：构建”效果导向+效率评价+因果分析+差异化对策”的整合性研究框架。</w:t>
      </w:r>
    </w:p>
    <w:bookmarkEnd w:id="80"/>
    <w:bookmarkEnd w:id="81"/>
    <w:bookmarkStart w:id="86" w:name="政府数据开放的影响因素研究"/>
    <w:p>
      <w:pPr>
        <w:pStyle w:val="Heading3"/>
        <w:spacing w:line="360" w:lineRule="auto"/>
      </w:pPr>
      <w:r>
        <w:rPr>
          <w:rFonts w:ascii="黑体" w:hAnsi="黑体" w:eastAsia="黑体"/>
          <w:b/>
          <w:color w:val="000000"/>
          <w:sz w:val="24"/>
        </w:rPr>
        <w:t xml:space="preserve">2.4 </w:t>
      </w:r>
      <w:r>
        <w:rPr>
          <w:rFonts w:hint="eastAsia" w:ascii="黑体" w:hAnsi="黑体" w:eastAsia="黑体"/>
          <w:b/>
          <w:color w:val="000000"/>
          <w:sz w:val="24"/>
        </w:rPr>
        <w:t xml:space="preserve">政府数据开放的影响因素研究</w:t>
      </w:r>
    </w:p>
    <w:bookmarkStart w:id="82" w:name="toe框架的应用"/>
    <w:p>
      <w:pPr>
        <w:pStyle w:val="Heading4"/>
        <w:spacing w:line="360" w:lineRule="auto"/>
      </w:pPr>
      <w:r>
        <w:rPr>
          <w:rFonts w:ascii="宋体" w:hAnsi="宋体" w:eastAsia="宋体"/>
          <w:color w:val="000000"/>
          <w:sz w:val="24"/>
        </w:rPr>
        <w:t xml:space="preserve">2.4.1 </w:t>
      </w:r>
      <w:r>
        <w:rPr>
          <w:rFonts w:hint="eastAsia" w:ascii="宋体" w:hAnsi="宋体" w:eastAsia="宋体"/>
          <w:color w:val="000000"/>
          <w:sz w:val="24"/>
        </w:rPr>
        <w:t xml:space="preserve">TOE框架的应用</w:t>
      </w:r>
    </w:p>
    <w:p>
      <w:pPr>
        <w:pStyle w:val="FirstParagraph"/>
        <w:spacing w:line="360" w:lineRule="auto"/>
      </w:pPr>
      <w:r>
        <w:rPr>
          <w:rFonts w:hint="eastAsia" w:ascii="宋体" w:hAnsi="宋体" w:eastAsia="宋体"/>
          <w:color w:val="000000"/>
          <w:sz w:val="24"/>
        </w:rPr>
        <w:t xml:space="preserve">TOE框架（Technology-Organization-Environment）由Tornatzky和Fleischer于1990年提出，用于分析技术创新采纳的影响因素，为本研究的影响因素识别提供了系统的分类框架。TOE框架的核心优势在于其”三维整合”视角——不同于技术决定论（如TAM模型只关注技术因素）或制度决定论（只关注组织因素），TOE承认技术、组织和环境三层面因素对技术采纳和利用效果的共同影响，更适合分析政府数据开放平台绩效这类受多层面因素影响的复杂现象。TOE框架的理论基础是系统论——系统的绩效不仅取决于系统内部的技术和组织因素，还取决于系统外部的环境条件，三者共同构成影响绩效的”因果合力”。</w:t>
      </w:r>
    </w:p>
    <w:p>
      <w:pPr>
        <w:pStyle w:val="BodyText"/>
        <w:spacing w:line="360" w:lineRule="auto"/>
      </w:pPr>
      <w:r>
        <w:rPr>
          <w:rFonts w:hint="eastAsia" w:ascii="宋体" w:hAnsi="宋体" w:eastAsia="宋体"/>
          <w:color w:val="000000"/>
          <w:sz w:val="24"/>
        </w:rPr>
        <w:t xml:space="preserve">在政府数据开放领域，TOE框架已被广泛应用于影响因素研究。Safarov等运用TOE框架分析了影响开放数据利用效果的因素，发现技术因素（数据质量、API可用性）和组织因素（领导力、资源投入）对利用效果有显著正向影响，而环境因素（法律框架、文化规范）的影响则因国而异。Ruijer等基于TOE框架开发了开放数据利用效果的影响因素模型，发现三层面因素的交互效应显著——单一因素的提升在缺乏其他因素配合的情况下难以产生显著效果。这些研究为本研究TOE因素的选择和fsQCA条件变量的设计提供了理论依据。</w:t>
      </w:r>
    </w:p>
    <w:p>
      <w:pPr>
        <w:pStyle w:val="BodyText"/>
        <w:spacing w:line="360" w:lineRule="auto"/>
      </w:pPr>
      <w:r>
        <w:rPr>
          <w:rFonts w:hint="eastAsia" w:ascii="宋体" w:hAnsi="宋体" w:eastAsia="宋体"/>
          <w:color w:val="000000"/>
          <w:sz w:val="24"/>
        </w:rPr>
        <w:t xml:space="preserve">TOE框架的局限性在于其”因素列举”的逻辑——TOE提供了一个分类框架，但没有说明因素之间的具体关系。哪些因素是必要条件？哪些因素是充分条件？因素之间是替代关系还是互补关系？TOE框架本身无法回答这些问题。本研究通过DEMATEL和fsQCA方法，在TOE框架的基础上进一步揭示因素之间的因果关系和组态效应，弥补了TOE框架在”机制解释”上的不足。</w:t>
      </w:r>
    </w:p>
    <w:bookmarkEnd w:id="82"/>
    <w:bookmarkStart w:id="83" w:name="技术层面因素"/>
    <w:p>
      <w:pPr>
        <w:pStyle w:val="Heading4"/>
        <w:spacing w:line="360" w:lineRule="auto"/>
      </w:pPr>
      <w:r>
        <w:rPr>
          <w:rFonts w:ascii="宋体" w:hAnsi="宋体" w:eastAsia="宋体"/>
          <w:color w:val="000000"/>
          <w:sz w:val="24"/>
        </w:rPr>
        <w:t xml:space="preserve">2.4.2 </w:t>
      </w:r>
      <w:r>
        <w:rPr>
          <w:rFonts w:hint="eastAsia" w:ascii="宋体" w:hAnsi="宋体" w:eastAsia="宋体"/>
          <w:color w:val="000000"/>
          <w:sz w:val="24"/>
        </w:rPr>
        <w:t xml:space="preserve">技术层面因素</w:t>
      </w:r>
    </w:p>
    <w:p>
      <w:pPr>
        <w:pStyle w:val="FirstParagraph"/>
        <w:spacing w:line="360" w:lineRule="auto"/>
      </w:pPr>
      <w:r>
        <w:rPr>
          <w:rFonts w:hint="eastAsia" w:ascii="宋体" w:hAnsi="宋体" w:eastAsia="宋体"/>
          <w:color w:val="000000"/>
          <w:sz w:val="24"/>
        </w:rPr>
        <w:t xml:space="preserve">技术层面因素是影响政府数据利用绩效的基础性条件，主要包括数据质量、API开放度、平台功能和数据标准四个方面。</w:t>
      </w:r>
    </w:p>
    <w:p>
      <w:pPr>
        <w:pStyle w:val="BodyText"/>
        <w:spacing w:line="360" w:lineRule="auto"/>
      </w:pPr>
      <w:r>
        <w:rPr>
          <w:rFonts w:hint="eastAsia" w:ascii="宋体" w:hAnsi="宋体" w:eastAsia="宋体"/>
          <w:b/>
          <w:bCs/>
          <w:color w:val="000000"/>
          <w:sz w:val="24"/>
        </w:rPr>
        <w:t xml:space="preserve">数据质量。</w:t>
      </w:r>
      <w:r>
        <w:rPr>
          <w:rFonts w:ascii="宋体" w:hAnsi="宋体" w:eastAsia="宋体"/>
          <w:color w:val="000000"/>
          <w:sz w:val="24"/>
        </w:rPr>
        <w:t xml:space="preserve"> </w:t>
      </w:r>
      <w:r>
        <w:rPr>
          <w:rFonts w:hint="eastAsia" w:ascii="宋体" w:hAnsi="宋体" w:eastAsia="宋体"/>
          <w:color w:val="000000"/>
          <w:sz w:val="24"/>
        </w:rPr>
        <w:t xml:space="preserve">数据质量是数据利用的前提条件——低质量的数据不仅无法产生有效利用，还可能导致错误的分析结论和决策失误。Wang和Strong提出的数据质量维度框架将数据质量分为内在质量（准确性、客观性、可信度）、可访问性质量（可获取性、可访问性、安全性）和情境质量（相关性、增值性、时效性、完整性、可理解性）三个维度。在开放数据领域，Janssen等进一步提出了”开放数据质量”的概念，强调数据质量不仅取决于数据本身的技术属性，还取决于数据开放的配套条件（元数据完整性、文档质量、格式标准化）。本研究在指标设计中综合了上述维度框架，从准确性、完整性、及时性、一致性和机器可读性五个子维度测量数据质量。</w:t>
      </w:r>
    </w:p>
    <w:p>
      <w:pPr>
        <w:pStyle w:val="BodyText"/>
        <w:spacing w:line="360" w:lineRule="auto"/>
      </w:pPr>
      <w:r>
        <w:rPr>
          <w:rFonts w:hint="eastAsia" w:ascii="宋体" w:hAnsi="宋体" w:eastAsia="宋体"/>
          <w:color w:val="000000"/>
          <w:sz w:val="24"/>
        </w:rPr>
        <w:t xml:space="preserve">数据质量的影响具有”门槛效应”——当数据质量低于某一门槛时，数据几乎无法被利用；当数据质量超过门槛后，质量的进一步提升对利用效果的边际贡献递减。这一”门槛效应”对政策制定具有重要启示：对于数据质量极差的平台，首要任务是”达标”而非”争优”——先解决数据缺失、格式混乱、元数据空白等”底线问题”，再追求数据的精细化和高价值化。</w:t>
      </w:r>
    </w:p>
    <w:p>
      <w:pPr>
        <w:pStyle w:val="BodyText"/>
        <w:spacing w:line="360" w:lineRule="auto"/>
      </w:pPr>
      <w:r>
        <w:rPr>
          <w:rFonts w:hint="eastAsia" w:ascii="宋体" w:hAnsi="宋体" w:eastAsia="宋体"/>
          <w:b/>
          <w:bCs/>
          <w:color w:val="000000"/>
          <w:sz w:val="24"/>
        </w:rPr>
        <w:t xml:space="preserve">API开放度。</w:t>
      </w:r>
      <w:r>
        <w:rPr>
          <w:rFonts w:ascii="宋体" w:hAnsi="宋体" w:eastAsia="宋体"/>
          <w:color w:val="000000"/>
          <w:sz w:val="24"/>
        </w:rPr>
        <w:t xml:space="preserve"> </w:t>
      </w:r>
      <w:r>
        <w:rPr>
          <w:rFonts w:hint="eastAsia" w:ascii="宋体" w:hAnsi="宋体" w:eastAsia="宋体"/>
          <w:color w:val="000000"/>
          <w:sz w:val="24"/>
        </w:rPr>
        <w:t xml:space="preserve">API（Application</w:t>
      </w:r>
      <w:r>
        <w:rPr>
          <w:rFonts w:ascii="宋体" w:hAnsi="宋体" w:eastAsia="宋体"/>
          <w:color w:val="000000"/>
          <w:sz w:val="24"/>
        </w:rPr>
        <w:t xml:space="preserve"> Programming </w:t>
      </w:r>
      <w:r>
        <w:rPr>
          <w:rFonts w:hint="eastAsia" w:ascii="宋体" w:hAnsi="宋体" w:eastAsia="宋体"/>
          <w:color w:val="000000"/>
          <w:sz w:val="24"/>
        </w:rPr>
        <w:t xml:space="preserve">Interface）是程序化数据访问的技术接口，其开放程度直接影响开发者对数据的利用效率和深度。Attard等从开发者视角研究了API设计和文档质量对数据利用的影响，发现API文档的完整性是影响开发者采纳意愿的关键因素——文档不完整的API即使技术性能再好，开发者也会因学习成本过高而放弃使用。Zuiderwijk等系统分析了开放数据平台的用户参与机制，发现”数据可发现性”和”API可用性”是影响用户持续使用的关键因素。本研究在平台服务维度中设置了API开放度指标，考察各平台是否提供API接口、API文档是否完整、API调用是否稳定等。</w:t>
      </w:r>
    </w:p>
    <w:p>
      <w:pPr>
        <w:pStyle w:val="BodyText"/>
        <w:spacing w:line="360" w:lineRule="auto"/>
      </w:pPr>
      <w:r>
        <w:rPr>
          <w:rFonts w:hint="eastAsia" w:ascii="宋体" w:hAnsi="宋体" w:eastAsia="宋体"/>
          <w:color w:val="000000"/>
          <w:sz w:val="24"/>
        </w:rPr>
        <w:t xml:space="preserve">API开放度的评估需要考虑两个层面：一是”有没有”——平台是否提供API接口；二是”好不好”——API的性能和文档质量如何。一个平台可能提供了API接口，但API响应速度慢、文档不完整、调用限制多，开发者仍然难以有效利用。本研究在评估中同时关注这两个层面，确保API开放度指标能够反映真实的利用便利性。</w:t>
      </w:r>
    </w:p>
    <w:p>
      <w:pPr>
        <w:pStyle w:val="BodyText"/>
        <w:spacing w:line="360" w:lineRule="auto"/>
      </w:pPr>
      <w:r>
        <w:rPr>
          <w:rFonts w:hint="eastAsia" w:ascii="宋体" w:hAnsi="宋体" w:eastAsia="宋体"/>
          <w:b/>
          <w:bCs/>
          <w:color w:val="000000"/>
          <w:sz w:val="24"/>
        </w:rPr>
        <w:t xml:space="preserve">平台功能。</w:t>
      </w:r>
      <w:r>
        <w:rPr>
          <w:rFonts w:ascii="宋体" w:hAnsi="宋体" w:eastAsia="宋体"/>
          <w:color w:val="000000"/>
          <w:sz w:val="24"/>
        </w:rPr>
        <w:t xml:space="preserve"> </w:t>
      </w:r>
      <w:r>
        <w:rPr>
          <w:rFonts w:hint="eastAsia" w:ascii="宋体" w:hAnsi="宋体" w:eastAsia="宋体"/>
          <w:color w:val="000000"/>
          <w:sz w:val="24"/>
        </w:rPr>
        <w:t xml:space="preserve">平台功能是用户访问和利用数据的技术载体，包括数据检索、数据预览、数据下载、数据可视化、用户反馈等功能模块。Sieber和Johnson提出了数据开放的用户体验评估框架，从数据可发现性（用户能否找到所需数据）、可理解性（用户能否理解数据的含义和上下文）和可操作性（用户能否便捷地使用数据）三个维度评估平台的用户友好度。他们的研究发现，大多数平台的用户体验评估得分远低于供给侧评估得分——数据”有”但”找不到”</w:t>
      </w:r>
      <w:r>
        <w:rPr>
          <w:rFonts w:hint="eastAsia" w:ascii="宋体" w:hAnsi="宋体" w:eastAsia="宋体"/>
          <w:color w:val="000000"/>
          <w:sz w:val="24"/>
        </w:rPr>
        <w:t xml:space="preserve">“看不懂”</w:t>
      </w:r>
      <w:r>
        <w:rPr>
          <w:rFonts w:hint="eastAsia" w:ascii="宋体" w:hAnsi="宋体" w:eastAsia="宋体"/>
          <w:color w:val="000000"/>
          <w:sz w:val="24"/>
        </w:rPr>
        <w:t xml:space="preserve">“用不了”</w:t>
      </w:r>
      <w:r>
        <w:rPr>
          <w:rFonts w:hint="eastAsia" w:ascii="宋体" w:hAnsi="宋体" w:eastAsia="宋体"/>
          <w:color w:val="000000"/>
          <w:sz w:val="24"/>
        </w:rPr>
        <w:t xml:space="preserve">是用户的普遍感受。这一发现揭示了供给侧评估的盲区：数据”存在”不等于数据”可获取”，数据”可下载”不等于数据”可利用”。</w:t>
      </w:r>
    </w:p>
    <w:p>
      <w:pPr>
        <w:pStyle w:val="BodyText"/>
        <w:spacing w:line="360" w:lineRule="auto"/>
      </w:pPr>
      <w:r>
        <w:rPr>
          <w:rFonts w:hint="eastAsia" w:ascii="宋体" w:hAnsi="宋体" w:eastAsia="宋体"/>
          <w:color w:val="000000"/>
          <w:sz w:val="24"/>
        </w:rPr>
        <w:t xml:space="preserve">平台功能的评估需要区分”基础功能”和”高级功能”。基础功能包括数据检索、数据预览和数据下载——没有这些功能，平台就无法完成基本的开放数据服务。高级功能包括数据可视化、地理信息系统集成、数据API、用户评论和反馈等——这些功能虽然不是必需的，但能显著提升用户体验和数据利用效率。本研究在评估中同时关注基础功能和高级功能，但给予基础功能更高的权重——基础功能是”底线要求”，高级功能是”增值加分”。</w:t>
      </w:r>
    </w:p>
    <w:p>
      <w:pPr>
        <w:pStyle w:val="BodyText"/>
        <w:spacing w:line="360" w:lineRule="auto"/>
      </w:pPr>
      <w:r>
        <w:rPr>
          <w:rFonts w:hint="eastAsia" w:ascii="宋体" w:hAnsi="宋体" w:eastAsia="宋体"/>
          <w:b/>
          <w:bCs/>
          <w:color w:val="000000"/>
          <w:sz w:val="24"/>
        </w:rPr>
        <w:t xml:space="preserve">数据标准。</w:t>
      </w:r>
      <w:r>
        <w:rPr>
          <w:rFonts w:ascii="宋体" w:hAnsi="宋体" w:eastAsia="宋体"/>
          <w:color w:val="000000"/>
          <w:sz w:val="24"/>
        </w:rPr>
        <w:t xml:space="preserve"> </w:t>
      </w:r>
      <w:r>
        <w:rPr>
          <w:rFonts w:hint="eastAsia" w:ascii="宋体" w:hAnsi="宋体" w:eastAsia="宋体"/>
          <w:color w:val="000000"/>
          <w:sz w:val="24"/>
        </w:rPr>
        <w:t xml:space="preserve">数据标准的统一性是跨部门数据整合和跨平台数据互操作的技术基础。缺乏统一的数据标准会导致”数据孤岛”——每个部门使用不同的字段命名、编码规则和数据格式，用户在整合多源数据时需要花费大量时间进行数据清洗和格式转换。OECD提出的”开放数据标准框架”建议各国在数据发布时遵循国际通用的标准规范（如ISO</w:t>
      </w:r>
      <w:r>
        <w:rPr>
          <w:rFonts w:ascii="宋体" w:hAnsi="宋体" w:eastAsia="宋体"/>
          <w:color w:val="000000"/>
          <w:sz w:val="24"/>
        </w:rPr>
        <w:t xml:space="preserve"> </w:t>
      </w:r>
      <w:r>
        <w:rPr>
          <w:rFonts w:hint="eastAsia" w:ascii="宋体" w:hAnsi="宋体" w:eastAsia="宋体"/>
          <w:color w:val="000000"/>
          <w:sz w:val="24"/>
        </w:rPr>
        <w:t xml:space="preserve">19115地理信息元数据标准、SDMX统计数据和元数据交换标准等），以提升数据的互操作性和再利用价值。</w:t>
      </w:r>
    </w:p>
    <w:p>
      <w:pPr>
        <w:pStyle w:val="BodyText"/>
        <w:spacing w:line="360" w:lineRule="auto"/>
      </w:pPr>
      <w:r>
        <w:rPr>
          <w:rFonts w:hint="eastAsia" w:ascii="宋体" w:hAnsi="宋体" w:eastAsia="宋体"/>
          <w:color w:val="000000"/>
          <w:sz w:val="24"/>
        </w:rPr>
        <w:t xml:space="preserve">数据标准的评估需要关注两个层面：一是元数据标准——数据集是否有完整的元数据描述（标题、描述、关键词、发布机构、更新日期、数据字典等）；二是数据格式标准——数据集是否使用通用的、开放的格式（如CSV、JSON、XML等），而非专有的、封闭的格式（如仅提供PDF或图片）。本研究在”数据质量”维度中设置了”元数据完整性”和”格式标准化”两个指标，分别评估这两个层面。</w:t>
      </w:r>
    </w:p>
    <w:bookmarkEnd w:id="83"/>
    <w:bookmarkStart w:id="84" w:name="组织层面因素"/>
    <w:p>
      <w:pPr>
        <w:pStyle w:val="Heading4"/>
        <w:spacing w:line="360" w:lineRule="auto"/>
      </w:pPr>
      <w:r>
        <w:rPr>
          <w:rFonts w:ascii="宋体" w:hAnsi="宋体" w:eastAsia="宋体"/>
          <w:color w:val="000000"/>
          <w:sz w:val="24"/>
        </w:rPr>
        <w:t xml:space="preserve">2.4.3 </w:t>
      </w:r>
      <w:r>
        <w:rPr>
          <w:rFonts w:hint="eastAsia" w:ascii="宋体" w:hAnsi="宋体" w:eastAsia="宋体"/>
          <w:color w:val="000000"/>
          <w:sz w:val="24"/>
        </w:rPr>
        <w:t xml:space="preserve">组织层面因素</w:t>
      </w:r>
    </w:p>
    <w:p>
      <w:pPr>
        <w:pStyle w:val="FirstParagraph"/>
        <w:spacing w:line="360" w:lineRule="auto"/>
      </w:pPr>
      <w:r>
        <w:rPr>
          <w:rFonts w:hint="eastAsia" w:ascii="宋体" w:hAnsi="宋体" w:eastAsia="宋体"/>
          <w:color w:val="000000"/>
          <w:sz w:val="24"/>
        </w:rPr>
        <w:t xml:space="preserve">组织层面因素是影响政府数据利用绩效的制度性条件，主要包括制度环境、政策体系、组织能力和授权运营机制四个方面。</w:t>
      </w:r>
    </w:p>
    <w:p>
      <w:pPr>
        <w:pStyle w:val="BodyText"/>
        <w:spacing w:line="360" w:lineRule="auto"/>
      </w:pPr>
      <w:r>
        <w:rPr>
          <w:rFonts w:hint="eastAsia" w:ascii="宋体" w:hAnsi="宋体" w:eastAsia="宋体"/>
          <w:b/>
          <w:bCs/>
          <w:color w:val="000000"/>
          <w:sz w:val="24"/>
        </w:rPr>
        <w:t xml:space="preserve">制度环境。</w:t>
      </w:r>
      <w:r>
        <w:rPr>
          <w:rFonts w:ascii="宋体" w:hAnsi="宋体" w:eastAsia="宋体"/>
          <w:color w:val="000000"/>
          <w:sz w:val="24"/>
        </w:rPr>
        <w:t xml:space="preserve"> </w:t>
      </w:r>
      <w:r>
        <w:rPr>
          <w:rFonts w:hint="eastAsia" w:ascii="宋体" w:hAnsi="宋体" w:eastAsia="宋体"/>
          <w:color w:val="000000"/>
          <w:sz w:val="24"/>
        </w:rPr>
        <w:t xml:space="preserve">完善的法规政策体系为数据开放提供了制度保障。2021年《数据安全法》明确”国家制定政务数据开放目录，构建统一规范、互联互通、安全可控的政务数据开放平台”，从法律层面保障了数据开放的制度基础。2022年”数据二十条”从数据产权、流通交易、收益分配和安全治理四个维度构建了数据基础制度体系。2023年国家数据局成立，统筹推进数据基础制度建设与数据资源整合共享和开发利用。2024年《关于加强数据资产管理的指导意见》推进数据资产全过程管理。2025年《公共数据授权运营规范（征求意见稿）》为授权运营提供标准化指引。这一系列制度演进表明，我国数据开放的制度环境正在从”探索期”走向”规范期”。</w:t>
      </w:r>
    </w:p>
    <w:p>
      <w:pPr>
        <w:pStyle w:val="BodyText"/>
        <w:spacing w:line="360" w:lineRule="auto"/>
      </w:pPr>
      <w:r>
        <w:rPr>
          <w:rFonts w:hint="eastAsia" w:ascii="宋体" w:hAnsi="宋体" w:eastAsia="宋体"/>
          <w:color w:val="000000"/>
          <w:sz w:val="24"/>
        </w:rPr>
        <w:t xml:space="preserve">制度环境的评估不能仅关注”有没有”制度文件，还应关注”好不好”——制度的完备性、协调性和可执行性。有些省份虽然出台了数据开放管理办法，但办法内容笼统、缺乏可操作性；有些省份虽然建立了数据开放协调机制，但机制运行不畅、跨部门协调困难。本研究在”制度环境”因素中通过”政策完备性”和”组织协调性”两个指标，评估制度环境的”质”而非仅”量”。</w:t>
      </w:r>
    </w:p>
    <w:p>
      <w:pPr>
        <w:pStyle w:val="BodyText"/>
        <w:spacing w:line="360" w:lineRule="auto"/>
      </w:pPr>
      <w:r>
        <w:rPr>
          <w:rFonts w:hint="eastAsia" w:ascii="宋体" w:hAnsi="宋体" w:eastAsia="宋体"/>
          <w:b/>
          <w:bCs/>
          <w:color w:val="000000"/>
          <w:sz w:val="24"/>
        </w:rPr>
        <w:t xml:space="preserve">政策体系。</w:t>
      </w:r>
      <w:r>
        <w:rPr>
          <w:rFonts w:ascii="宋体" w:hAnsi="宋体" w:eastAsia="宋体"/>
          <w:color w:val="000000"/>
          <w:sz w:val="24"/>
        </w:rPr>
        <w:t xml:space="preserve"> </w:t>
      </w:r>
      <w:r>
        <w:rPr>
          <w:rFonts w:hint="eastAsia" w:ascii="宋体" w:hAnsi="宋体" w:eastAsia="宋体"/>
          <w:color w:val="000000"/>
          <w:sz w:val="24"/>
        </w:rPr>
        <w:t xml:space="preserve">地方层面的政策体系对平台建设具有直接影响。研究表明，出台专门数据开放管理办法的省份，其平台建设进度和数据质量显著优于未出台专门办法的省份。政策体系不仅包括数据开放管理办法，还包括数据标准规范、数据质量管理规范、数据安全保护规范等配套制度。这些制度的完善程度直接影响平台运营的规范性和可持续性。</w:t>
      </w:r>
    </w:p>
    <w:p>
      <w:pPr>
        <w:pStyle w:val="BodyText"/>
        <w:spacing w:line="360" w:lineRule="auto"/>
      </w:pPr>
      <w:r>
        <w:rPr>
          <w:rFonts w:hint="eastAsia" w:ascii="宋体" w:hAnsi="宋体" w:eastAsia="宋体"/>
          <w:color w:val="000000"/>
          <w:sz w:val="24"/>
        </w:rPr>
        <w:t xml:space="preserve">政策体系的完善需要一个”从无到有、从有到优”的演进过程。在制度建设初期，政策的重点是”建立基本框架”——明确数据开放的范围、程序和责任。在制度建设成熟期，政策的重点是”精细化运营”——制定数据质量标准、API开发规范、用户服务指南等操作性文件。本研究在评估中发现，东部发达省份的政策体系通常已进入”精细化运营”阶段，而中西部省份的政策体系仍处于”基本框架”阶段。</w:t>
      </w:r>
    </w:p>
    <w:p>
      <w:pPr>
        <w:pStyle w:val="BodyText"/>
        <w:spacing w:line="360" w:lineRule="auto"/>
      </w:pPr>
      <w:r>
        <w:rPr>
          <w:rFonts w:hint="eastAsia" w:ascii="宋体" w:hAnsi="宋体" w:eastAsia="宋体"/>
          <w:b/>
          <w:bCs/>
          <w:color w:val="000000"/>
          <w:sz w:val="24"/>
        </w:rPr>
        <w:t xml:space="preserve">组织能力。</w:t>
      </w:r>
      <w:r>
        <w:rPr>
          <w:rFonts w:ascii="宋体" w:hAnsi="宋体" w:eastAsia="宋体"/>
          <w:color w:val="000000"/>
          <w:sz w:val="24"/>
        </w:rPr>
        <w:t xml:space="preserve"> </w:t>
      </w:r>
      <w:r>
        <w:rPr>
          <w:rFonts w:hint="eastAsia" w:ascii="宋体" w:hAnsi="宋体" w:eastAsia="宋体"/>
          <w:color w:val="000000"/>
          <w:sz w:val="24"/>
        </w:rPr>
        <w:t xml:space="preserve">组织的数据治理能力决定了数据从”开放”到”可用”的转化效率。数据治理能力强的平台能够在数据上传前完成质量审查和格式标准化，减少用户的”数据清洗”成本。本研究发现，建立专门数据治理团队的平台（如浙江、上海）在数据质量维度上的平均得分显著高于未建立团队的平台。组织能力的另一重要体现是跨部门协调机制——数据开放涉及多个政府部门的配合，缺乏有效的协调机制会导致数据整合困难和更新滞后。</w:t>
      </w:r>
    </w:p>
    <w:p>
      <w:pPr>
        <w:pStyle w:val="BodyText"/>
        <w:spacing w:line="360" w:lineRule="auto"/>
      </w:pPr>
      <w:r>
        <w:rPr>
          <w:rFonts w:hint="eastAsia" w:ascii="宋体" w:hAnsi="宋体" w:eastAsia="宋体"/>
          <w:color w:val="000000"/>
          <w:sz w:val="24"/>
        </w:rPr>
        <w:t xml:space="preserve">组织能力的评估需要关注”人”和”机制”两个层面。</w:t>
      </w:r>
      <w:r>
        <w:rPr>
          <w:rFonts w:hint="eastAsia" w:ascii="宋体" w:hAnsi="宋体" w:eastAsia="宋体"/>
          <w:color w:val="000000"/>
          <w:sz w:val="24"/>
        </w:rPr>
        <w:t xml:space="preserve">“人”</w:t>
      </w:r>
      <w:r>
        <w:rPr>
          <w:rFonts w:hint="eastAsia" w:ascii="宋体" w:hAnsi="宋体" w:eastAsia="宋体"/>
          <w:color w:val="000000"/>
          <w:sz w:val="24"/>
        </w:rPr>
        <w:t xml:space="preserve">的层面包括：是否有专门的数据治理团队、团队的专业能力如何、人员配置是否充足。</w:t>
      </w:r>
      <w:r>
        <w:rPr>
          <w:rFonts w:hint="eastAsia" w:ascii="宋体" w:hAnsi="宋体" w:eastAsia="宋体"/>
          <w:color w:val="000000"/>
          <w:sz w:val="24"/>
        </w:rPr>
        <w:t xml:space="preserve">“机制”</w:t>
      </w:r>
      <w:r>
        <w:rPr>
          <w:rFonts w:hint="eastAsia" w:ascii="宋体" w:hAnsi="宋体" w:eastAsia="宋体"/>
          <w:color w:val="000000"/>
          <w:sz w:val="24"/>
        </w:rPr>
        <w:t xml:space="preserve">的层面包括：是否有数据质量审查流程、是否有跨部门协调机制、是否有用户反馈响应机制。本研究在”组织能力”因素中通过”专业团队”和”治理机制”两个指标，分别评估这两个层面。</w:t>
      </w:r>
    </w:p>
    <w:p>
      <w:pPr>
        <w:pStyle w:val="BodyText"/>
        <w:spacing w:line="360" w:lineRule="auto"/>
      </w:pPr>
      <w:r>
        <w:rPr>
          <w:rFonts w:hint="eastAsia" w:ascii="宋体" w:hAnsi="宋体" w:eastAsia="宋体"/>
          <w:b/>
          <w:bCs/>
          <w:color w:val="000000"/>
          <w:sz w:val="24"/>
        </w:rPr>
        <w:t xml:space="preserve">授权运营机制。</w:t>
      </w:r>
      <w:r>
        <w:rPr>
          <w:rFonts w:ascii="宋体" w:hAnsi="宋体" w:eastAsia="宋体"/>
          <w:color w:val="000000"/>
          <w:sz w:val="24"/>
        </w:rPr>
        <w:t xml:space="preserve"> </w:t>
      </w:r>
      <w:r>
        <w:rPr>
          <w:rFonts w:hint="eastAsia" w:ascii="宋体" w:hAnsi="宋体" w:eastAsia="宋体"/>
          <w:color w:val="000000"/>
          <w:sz w:val="24"/>
        </w:rPr>
        <w:t xml:space="preserve">授权运营是组织层面的新兴因素。张会平等研究了公共数据授权运营的制度框架，提出了”授权-运营-监管”三环节制度设计。丁晓强等从经济学视角分析了授权运营的定价机制。黄璜将授权运营纳入”数字治理”的整体框架。这些研究表明，授权运营通过”数据可用不可见”的安全框架，解决了高价值数据”不敢开”的困境，为数据利用开辟了新的制度路径。本研究将授权运营成效纳入”利用效果”维度的评估，正是为了回应这一新兴利用模式。</w:t>
      </w:r>
    </w:p>
    <w:bookmarkEnd w:id="84"/>
    <w:bookmarkStart w:id="85" w:name="环境层面因素"/>
    <w:p>
      <w:pPr>
        <w:pStyle w:val="Heading4"/>
        <w:spacing w:line="360" w:lineRule="auto"/>
      </w:pPr>
      <w:r>
        <w:rPr>
          <w:rFonts w:ascii="宋体" w:hAnsi="宋体" w:eastAsia="宋体"/>
          <w:color w:val="000000"/>
          <w:sz w:val="24"/>
        </w:rPr>
        <w:t xml:space="preserve">2.4.4 </w:t>
      </w:r>
      <w:r>
        <w:rPr>
          <w:rFonts w:hint="eastAsia" w:ascii="宋体" w:hAnsi="宋体" w:eastAsia="宋体"/>
          <w:color w:val="000000"/>
          <w:sz w:val="24"/>
        </w:rPr>
        <w:t xml:space="preserve">环境层面因素</w:t>
      </w:r>
    </w:p>
    <w:p>
      <w:pPr>
        <w:pStyle w:val="FirstParagraph"/>
        <w:spacing w:line="360" w:lineRule="auto"/>
      </w:pPr>
      <w:r>
        <w:rPr>
          <w:rFonts w:hint="eastAsia" w:ascii="宋体" w:hAnsi="宋体" w:eastAsia="宋体"/>
          <w:color w:val="000000"/>
          <w:sz w:val="24"/>
        </w:rPr>
        <w:t xml:space="preserve">环境层面因素是影响政府数据利用绩效的外部情境条件，主要包括区域经济发展水平、数字经济基础和用户数据素养三个方面。</w:t>
      </w:r>
    </w:p>
    <w:p>
      <w:pPr>
        <w:pStyle w:val="BodyText"/>
        <w:spacing w:line="360" w:lineRule="auto"/>
      </w:pPr>
      <w:r>
        <w:rPr>
          <w:rFonts w:hint="eastAsia" w:ascii="宋体" w:hAnsi="宋体" w:eastAsia="宋体"/>
          <w:b/>
          <w:bCs/>
          <w:color w:val="000000"/>
          <w:sz w:val="24"/>
        </w:rPr>
        <w:t xml:space="preserve">区域经济发展水平。</w:t>
      </w:r>
      <w:r>
        <w:rPr>
          <w:rFonts w:ascii="宋体" w:hAnsi="宋体" w:eastAsia="宋体"/>
          <w:color w:val="000000"/>
          <w:sz w:val="24"/>
        </w:rPr>
        <w:t xml:space="preserve"> </w:t>
      </w:r>
      <w:r>
        <w:rPr>
          <w:rFonts w:hint="eastAsia" w:ascii="宋体" w:hAnsi="宋体" w:eastAsia="宋体"/>
          <w:color w:val="000000"/>
          <w:sz w:val="24"/>
        </w:rPr>
        <w:t xml:space="preserve">区域经济发展水平直接影响政府数据开放平台的建设投入和运营能力。东部发达地区凭借更强的财政实力和更完善的基础设施，在平台建设、数据质量、技术更新等方面具有天然优势。但需要注意的是，经济发展水平与数据利用绩效之间并非简单的线性关系——经济发展水平高的地区如果缺乏有效的制度激励和用户培育，其数据利用效果也可能不理想；而经济发展水平相对较低的地区如果采取创新的制度设计和精准的用户服务，也可能实现较高的数据利用效率。</w:t>
      </w:r>
    </w:p>
    <w:p>
      <w:pPr>
        <w:pStyle w:val="BodyText"/>
        <w:spacing w:line="360" w:lineRule="auto"/>
      </w:pPr>
      <w:r>
        <w:rPr>
          <w:rFonts w:hint="eastAsia" w:ascii="宋体" w:hAnsi="宋体" w:eastAsia="宋体"/>
          <w:color w:val="000000"/>
          <w:sz w:val="24"/>
        </w:rPr>
        <w:t xml:space="preserve">区域经济发展水平的影响具有”基线效应”——它为平台绩效设定了一个”基线”，但平台实际绩效可以在基线上下浮动。本研究通过DEA效率评价，将区域经济发展水平作为”不可控投入”纳入效率分析——效率评价比较的是”在同等经济条件下，谁的绩效更好”，而非”谁的绝对绩效更高”。这种处理方式既承认了区域差异的客观存在，又避免了”环境决定论”的宿命论倾向。</w:t>
      </w:r>
    </w:p>
    <w:p>
      <w:pPr>
        <w:pStyle w:val="BodyText"/>
        <w:spacing w:line="360" w:lineRule="auto"/>
      </w:pPr>
      <w:r>
        <w:rPr>
          <w:rFonts w:hint="eastAsia" w:ascii="宋体" w:hAnsi="宋体" w:eastAsia="宋体"/>
          <w:b/>
          <w:bCs/>
          <w:color w:val="000000"/>
          <w:sz w:val="24"/>
        </w:rPr>
        <w:t xml:space="preserve">数字经济基础。</w:t>
      </w:r>
      <w:r>
        <w:rPr>
          <w:rFonts w:ascii="宋体" w:hAnsi="宋体" w:eastAsia="宋体"/>
          <w:color w:val="000000"/>
          <w:sz w:val="24"/>
        </w:rPr>
        <w:t xml:space="preserve"> </w:t>
      </w:r>
      <w:r>
        <w:rPr>
          <w:rFonts w:hint="eastAsia" w:ascii="宋体" w:hAnsi="宋体" w:eastAsia="宋体"/>
          <w:color w:val="000000"/>
          <w:sz w:val="24"/>
        </w:rPr>
        <w:t xml:space="preserve">数字经济基础包括数字产业规模、数字企业数量、数字人才储备等方面。数字经济基础好的地区，企业和社会组织对数据的需求更旺盛，数据利用的市场动力更强，平台运营者也有更强的激励去提升数据质量和服务水平。Liu等的研究发现，数字经济基础与数据利用绩效之间存在显著的正相关关系，但这种关系受到组织能力和制度环境的调节——在制度环境完善的地区，数字经济基础对绩效的促进作用更强。</w:t>
      </w:r>
    </w:p>
    <w:p>
      <w:pPr>
        <w:pStyle w:val="BodyText"/>
        <w:spacing w:line="360" w:lineRule="auto"/>
      </w:pPr>
      <w:r>
        <w:rPr>
          <w:rFonts w:hint="eastAsia" w:ascii="宋体" w:hAnsi="宋体" w:eastAsia="宋体"/>
          <w:color w:val="000000"/>
          <w:sz w:val="24"/>
        </w:rPr>
        <w:t xml:space="preserve">数字经济基础的影响具有”需求拉动”特征——数字企业是开放数据的主要需求方和利用方，数字企业数量多的地区，数据利用的市场需求更旺盛，平台运营者也有更强的动力去优化数据供给和服务。本研究在”环境层面”因素中通过”数字企业密度”和”数字人才储备”两个指标，评估数字经济基础对绩效的影响。</w:t>
      </w:r>
    </w:p>
    <w:p>
      <w:pPr>
        <w:pStyle w:val="BodyText"/>
        <w:spacing w:line="360" w:lineRule="auto"/>
      </w:pPr>
      <w:r>
        <w:rPr>
          <w:rFonts w:hint="eastAsia" w:ascii="宋体" w:hAnsi="宋体" w:eastAsia="宋体"/>
          <w:b/>
          <w:bCs/>
          <w:color w:val="000000"/>
          <w:sz w:val="24"/>
        </w:rPr>
        <w:t xml:space="preserve">用户数据素养。</w:t>
      </w:r>
      <w:r>
        <w:rPr>
          <w:rFonts w:ascii="宋体" w:hAnsi="宋体" w:eastAsia="宋体"/>
          <w:color w:val="000000"/>
          <w:sz w:val="24"/>
        </w:rPr>
        <w:t xml:space="preserve"> </w:t>
      </w:r>
      <w:r>
        <w:rPr>
          <w:rFonts w:hint="eastAsia" w:ascii="宋体" w:hAnsi="宋体" w:eastAsia="宋体"/>
          <w:color w:val="000000"/>
          <w:sz w:val="24"/>
        </w:rPr>
        <w:t xml:space="preserve">用户数据素养是指社会公众获取、理解、分析和利用数据的能力。数据素养高的用户群体能够更有效地利用开放数据，产生更多的数据应用和创新成果。然而，我国用户数据素养的分布极不均衡——东部大城市的用户数据素养显著高于中西部地区，这加剧了数据利用的区域差距。从信息平权的视角看，提升中西部地区公众的数据素养，是缩小数据利用差距、实现数据权利公平分配的重要途径。</w:t>
      </w:r>
    </w:p>
    <w:p>
      <w:pPr>
        <w:pStyle w:val="BodyText"/>
        <w:spacing w:line="360" w:lineRule="auto"/>
      </w:pPr>
      <w:r>
        <w:rPr>
          <w:rFonts w:hint="eastAsia" w:ascii="宋体" w:hAnsi="宋体" w:eastAsia="宋体"/>
          <w:color w:val="000000"/>
          <w:sz w:val="24"/>
        </w:rPr>
        <w:t xml:space="preserve">用户数据素养对绩效的影响具有”乘数效应”——数据素养高的用户不仅能更有效地利用现有数据，还能通过反馈和需求表达推动平台改进数据质量和服务。这种”用户驱动”的改进机制在高数据素养地区更为活跃，形成了”高素养-高利用-高改进”的正向循环。本研究在评估框架中虽未直接设置”用户数据素养”指标，但在”公平性”维度中通过”区域均衡”和”群体覆盖”指标间接反映了数据利用的公平性问题。</w:t>
      </w:r>
    </w:p>
    <w:bookmarkEnd w:id="85"/>
    <w:bookmarkEnd w:id="86"/>
    <w:bookmarkStart w:id="90" w:name="研究述评与本研究定位-1"/>
    <w:p>
      <w:pPr>
        <w:pStyle w:val="Heading3"/>
        <w:spacing w:line="360" w:lineRule="auto"/>
      </w:pPr>
      <w:r>
        <w:rPr>
          <w:rFonts w:ascii="黑体" w:hAnsi="黑体" w:eastAsia="黑体"/>
          <w:b/>
          <w:color w:val="000000"/>
          <w:sz w:val="24"/>
        </w:rPr>
        <w:t xml:space="preserve">2.5 </w:t>
      </w:r>
      <w:r>
        <w:rPr>
          <w:rFonts w:hint="eastAsia" w:ascii="黑体" w:hAnsi="黑体" w:eastAsia="黑体"/>
          <w:b/>
          <w:color w:val="000000"/>
          <w:sz w:val="24"/>
        </w:rPr>
        <w:t xml:space="preserve">研究述评与本研究定位</w:t>
      </w:r>
    </w:p>
    <w:bookmarkStart w:id="87" w:name="现有研究的贡献"/>
    <w:p>
      <w:pPr>
        <w:pStyle w:val="Heading4"/>
        <w:spacing w:line="360" w:lineRule="auto"/>
      </w:pPr>
      <w:r>
        <w:rPr>
          <w:rFonts w:ascii="宋体" w:hAnsi="宋体" w:eastAsia="宋体"/>
          <w:color w:val="000000"/>
          <w:sz w:val="24"/>
        </w:rPr>
        <w:t xml:space="preserve">2.5.1 </w:t>
      </w:r>
      <w:r>
        <w:rPr>
          <w:rFonts w:hint="eastAsia" w:ascii="宋体" w:hAnsi="宋体" w:eastAsia="宋体"/>
          <w:color w:val="000000"/>
          <w:sz w:val="24"/>
        </w:rPr>
        <w:t xml:space="preserve">现有研究的贡献</w:t>
      </w:r>
    </w:p>
    <w:p>
      <w:pPr>
        <w:pStyle w:val="FirstParagraph"/>
        <w:spacing w:line="360" w:lineRule="auto"/>
      </w:pPr>
      <w:r>
        <w:rPr>
          <w:rFonts w:hint="eastAsia" w:ascii="宋体" w:hAnsi="宋体" w:eastAsia="宋体"/>
          <w:color w:val="000000"/>
          <w:sz w:val="24"/>
        </w:rPr>
        <w:t xml:space="preserve">综合上述文献综述，现有研究在以下方面做出了重要贡献。</w:t>
      </w:r>
    </w:p>
    <w:p>
      <w:pPr>
        <w:pStyle w:val="BodyText"/>
        <w:spacing w:line="360" w:lineRule="auto"/>
      </w:pPr>
      <w:r>
        <w:rPr>
          <w:rFonts w:hint="eastAsia" w:ascii="宋体" w:hAnsi="宋体" w:eastAsia="宋体"/>
          <w:color w:val="000000"/>
          <w:sz w:val="24"/>
        </w:rPr>
        <w:t xml:space="preserve">第一，概念层面，学者们对政府数据开放的内涵、原则、边界进行了系统界定，区分了数据开放与信息公开、数据共享、授权运营等相关概念，为后续研究奠定了概念基础。特别是Yu和Robinson提出的”可读vs可用”区分、Davies提出的DIKW层级转化模型，为理解数据开放的”利用”本质提供了认识论框架。</w:t>
      </w:r>
    </w:p>
    <w:p>
      <w:pPr>
        <w:pStyle w:val="BodyText"/>
        <w:spacing w:line="360" w:lineRule="auto"/>
      </w:pPr>
      <w:r>
        <w:rPr>
          <w:rFonts w:hint="eastAsia" w:ascii="宋体" w:hAnsi="宋体" w:eastAsia="宋体"/>
          <w:color w:val="000000"/>
          <w:sz w:val="24"/>
        </w:rPr>
        <w:t xml:space="preserve">第二，评估层面，国内外学者开发了多种评估工具和指标体系，从不同的维度和粒度评估政府数据开放水平。开放数林指数、ODI、ODB等工具的持续发布，为数据开放的纵向比较和横向对标提供了数据基础。这些评估工具的开发和应用，推动了数据开放从”无序增长”走向”规范发展”。</w:t>
      </w:r>
    </w:p>
    <w:p>
      <w:pPr>
        <w:pStyle w:val="BodyText"/>
        <w:spacing w:line="360" w:lineRule="auto"/>
      </w:pPr>
      <w:r>
        <w:rPr>
          <w:rFonts w:hint="eastAsia" w:ascii="宋体" w:hAnsi="宋体" w:eastAsia="宋体"/>
          <w:color w:val="000000"/>
          <w:sz w:val="24"/>
        </w:rPr>
        <w:t xml:space="preserve">第三，影响因素层面，TOE框架的应用为理解数据利用绩效的形成机制提供了系统的分析框架。技术层面、组织层面、环境层面因素的识别和验证，为政策制定者提供了优化方向的参考。特别是Ruijer等发现的”木桶效应”和Liu等发现的区域差异化驱动机制，为组态分析提供了经验基础。</w:t>
      </w:r>
    </w:p>
    <w:p>
      <w:pPr>
        <w:pStyle w:val="BodyText"/>
        <w:spacing w:line="360" w:lineRule="auto"/>
      </w:pPr>
      <w:r>
        <w:rPr>
          <w:rFonts w:hint="eastAsia" w:ascii="宋体" w:hAnsi="宋体" w:eastAsia="宋体"/>
          <w:color w:val="000000"/>
          <w:sz w:val="24"/>
        </w:rPr>
        <w:t xml:space="preserve">第四，价值层面，Jetzek等构建的开放数据价值评估框架、Martin等提出的”数据价值光谱”概念，将数据开放的价值从单一的”透明度”叙事拓展到多维价值谱系，为效果导向评估提供了理论参照。</w:t>
      </w:r>
    </w:p>
    <w:bookmarkEnd w:id="87"/>
    <w:bookmarkStart w:id="88" w:name="现有研究的不足"/>
    <w:p>
      <w:pPr>
        <w:pStyle w:val="Heading4"/>
        <w:spacing w:line="360" w:lineRule="auto"/>
      </w:pPr>
      <w:r>
        <w:rPr>
          <w:rFonts w:ascii="宋体" w:hAnsi="宋体" w:eastAsia="宋体"/>
          <w:color w:val="000000"/>
          <w:sz w:val="24"/>
        </w:rPr>
        <w:t xml:space="preserve">2.5.2 </w:t>
      </w:r>
      <w:r>
        <w:rPr>
          <w:rFonts w:hint="eastAsia" w:ascii="宋体" w:hAnsi="宋体" w:eastAsia="宋体"/>
          <w:color w:val="000000"/>
          <w:sz w:val="24"/>
        </w:rPr>
        <w:t xml:space="preserve">现有研究的不足</w:t>
      </w:r>
    </w:p>
    <w:p>
      <w:pPr>
        <w:pStyle w:val="FirstParagraph"/>
        <w:spacing w:line="360" w:lineRule="auto"/>
      </w:pPr>
      <w:r>
        <w:rPr>
          <w:rFonts w:hint="eastAsia" w:ascii="宋体" w:hAnsi="宋体" w:eastAsia="宋体"/>
          <w:color w:val="000000"/>
          <w:sz w:val="24"/>
        </w:rPr>
        <w:t xml:space="preserve">尽管现有研究取得了丰硕成果，但仍存在以下不足，这些不足构成了本研究的创新空间。</w:t>
      </w:r>
    </w:p>
    <w:p>
      <w:pPr>
        <w:pStyle w:val="BodyText"/>
        <w:spacing w:line="360" w:lineRule="auto"/>
      </w:pPr>
      <w:r>
        <w:rPr>
          <w:rFonts w:hint="eastAsia" w:ascii="宋体" w:hAnsi="宋体" w:eastAsia="宋体"/>
          <w:b/>
          <w:bCs/>
          <w:color w:val="000000"/>
          <w:sz w:val="24"/>
        </w:rPr>
        <w:t xml:space="preserve">不足一：评估范式偏重供给侧，效果导向不足。</w:t>
      </w:r>
      <w:r>
        <w:rPr>
          <w:rFonts w:ascii="宋体" w:hAnsi="宋体" w:eastAsia="宋体"/>
          <w:color w:val="000000"/>
          <w:sz w:val="24"/>
        </w:rPr>
        <w:t xml:space="preserve"> </w:t>
      </w:r>
      <w:r>
        <w:rPr>
          <w:rFonts w:hint="eastAsia" w:ascii="宋体" w:hAnsi="宋体" w:eastAsia="宋体"/>
          <w:color w:val="000000"/>
          <w:sz w:val="24"/>
        </w:rPr>
        <w:t xml:space="preserve">现有评估体系以数据供给量为核心指标，对数据利用效果关注不足。开放数林指数的利用层权重仅15%，ODB的影响力维度依赖主观评估，大多数评估工具根本不涉及利用效果。这种”重供给轻效果”的评估导向，导致平台运营者的行为激励发生扭曲——追求数据集数量而非利用效果，加剧了”数据开放了但没人用”的困境。</w:t>
      </w:r>
    </w:p>
    <w:p>
      <w:pPr>
        <w:pStyle w:val="BodyText"/>
        <w:spacing w:line="360" w:lineRule="auto"/>
      </w:pPr>
      <w:r>
        <w:rPr>
          <w:rFonts w:hint="eastAsia" w:ascii="宋体" w:hAnsi="宋体" w:eastAsia="宋体"/>
          <w:b/>
          <w:bCs/>
          <w:color w:val="000000"/>
          <w:sz w:val="24"/>
        </w:rPr>
        <w:t xml:space="preserve">不足二：缺乏效率维度，无法识别资源利用优劣。</w:t>
      </w:r>
      <w:r>
        <w:rPr>
          <w:rFonts w:ascii="宋体" w:hAnsi="宋体" w:eastAsia="宋体"/>
          <w:color w:val="000000"/>
          <w:sz w:val="24"/>
        </w:rPr>
        <w:t xml:space="preserve"> </w:t>
      </w:r>
      <w:r>
        <w:rPr>
          <w:rFonts w:hint="eastAsia" w:ascii="宋体" w:hAnsi="宋体" w:eastAsia="宋体"/>
          <w:color w:val="000000"/>
          <w:sz w:val="24"/>
        </w:rPr>
        <w:t xml:space="preserve">现有评估工具只回答”绩效如何”，不回答”效率如何”。两个综合得分相同的平台，其资源投入可能相差数倍，但现有工具无法识别这种差异。这一效率盲区对于资源配置决策至关重要。</w:t>
      </w:r>
    </w:p>
    <w:p>
      <w:pPr>
        <w:pStyle w:val="BodyText"/>
        <w:spacing w:line="360" w:lineRule="auto"/>
      </w:pPr>
      <w:r>
        <w:rPr>
          <w:rFonts w:hint="eastAsia" w:ascii="宋体" w:hAnsi="宋体" w:eastAsia="宋体"/>
          <w:b/>
          <w:bCs/>
          <w:color w:val="000000"/>
          <w:sz w:val="24"/>
        </w:rPr>
        <w:t xml:space="preserve">不足三：方法单一，无法揭示绩效形成机制。</w:t>
      </w:r>
      <w:r>
        <w:rPr>
          <w:rFonts w:ascii="宋体" w:hAnsi="宋体" w:eastAsia="宋体"/>
          <w:color w:val="000000"/>
          <w:sz w:val="24"/>
        </w:rPr>
        <w:t xml:space="preserve"> </w:t>
      </w:r>
      <w:r>
        <w:rPr>
          <w:rFonts w:hint="eastAsia" w:ascii="宋体" w:hAnsi="宋体" w:eastAsia="宋体"/>
          <w:color w:val="000000"/>
          <w:sz w:val="24"/>
        </w:rPr>
        <w:t xml:space="preserve">现有评估主要采用加权综合评分法，假设因素独立作用且效应线性可加。但数据利用绩效的形成是复杂系统工程，因素间存在交互作用和非线性组合效应。传统方法无法揭示”如何组合才能高绩效”，导致政策建议缺乏针对性。</w:t>
      </w:r>
    </w:p>
    <w:p>
      <w:pPr>
        <w:pStyle w:val="BodyText"/>
        <w:spacing w:line="360" w:lineRule="auto"/>
      </w:pPr>
      <w:r>
        <w:rPr>
          <w:rFonts w:hint="eastAsia" w:ascii="宋体" w:hAnsi="宋体" w:eastAsia="宋体"/>
          <w:b/>
          <w:bCs/>
          <w:color w:val="000000"/>
          <w:sz w:val="24"/>
        </w:rPr>
        <w:t xml:space="preserve">不足四：忽视”数据口径幻觉”，评估结果可能失真。</w:t>
      </w:r>
      <w:r>
        <w:rPr>
          <w:rFonts w:ascii="宋体" w:hAnsi="宋体" w:eastAsia="宋体"/>
          <w:color w:val="000000"/>
          <w:sz w:val="24"/>
        </w:rPr>
        <w:t xml:space="preserve"> </w:t>
      </w:r>
      <w:r>
        <w:rPr>
          <w:rFonts w:hint="eastAsia" w:ascii="宋体" w:hAnsi="宋体" w:eastAsia="宋体"/>
          <w:color w:val="000000"/>
          <w:sz w:val="24"/>
        </w:rPr>
        <w:t xml:space="preserve">现有评估将”数据目录数量”作为核心指标，但未区分”目录数量”和”有效数据集数量”。在”数量导向”激励下，平台运营者有动力上传空壳数据集、创建虚拟目录，导致评估结果可能存在系统性高估。</w:t>
      </w:r>
    </w:p>
    <w:p>
      <w:pPr>
        <w:pStyle w:val="BodyText"/>
        <w:spacing w:line="360" w:lineRule="auto"/>
      </w:pPr>
      <w:r>
        <w:rPr>
          <w:rFonts w:hint="eastAsia" w:ascii="宋体" w:hAnsi="宋体" w:eastAsia="宋体"/>
          <w:b/>
          <w:bCs/>
          <w:color w:val="000000"/>
          <w:sz w:val="24"/>
        </w:rPr>
        <w:t xml:space="preserve">不足五：缺乏多方法三角验证，结论稳健性不足。</w:t>
      </w:r>
      <w:r>
        <w:rPr>
          <w:rFonts w:ascii="宋体" w:hAnsi="宋体" w:eastAsia="宋体"/>
          <w:color w:val="000000"/>
          <w:sz w:val="24"/>
        </w:rPr>
        <w:t xml:space="preserve"> </w:t>
      </w:r>
      <w:r>
        <w:rPr>
          <w:rFonts w:hint="eastAsia" w:ascii="宋体" w:hAnsi="宋体" w:eastAsia="宋体"/>
          <w:color w:val="000000"/>
          <w:sz w:val="24"/>
        </w:rPr>
        <w:t xml:space="preserve">现有研究多采用单一方法，缺乏从不同角度分析同一问题的多方法验证。单一方法的结果可能受到方法本身局限性的影响，需要通过多种方法的交叉验证来增强结论的稳健性。</w:t>
      </w:r>
    </w:p>
    <w:p>
      <w:pPr>
        <w:pStyle w:val="BodyText"/>
        <w:spacing w:line="360" w:lineRule="auto"/>
      </w:pPr>
      <w:r>
        <w:rPr>
          <w:rFonts w:hint="eastAsia" w:ascii="宋体" w:hAnsi="宋体" w:eastAsia="宋体"/>
          <w:b/>
          <w:bCs/>
          <w:color w:val="000000"/>
          <w:sz w:val="24"/>
        </w:rPr>
        <w:t xml:space="preserve">不足六：对策建议”一刀切”，缺乏差异化设计。</w:t>
      </w:r>
      <w:r>
        <w:rPr>
          <w:rFonts w:ascii="宋体" w:hAnsi="宋体" w:eastAsia="宋体"/>
          <w:color w:val="000000"/>
          <w:sz w:val="24"/>
        </w:rPr>
        <w:t xml:space="preserve"> </w:t>
      </w:r>
      <w:r>
        <w:rPr>
          <w:rFonts w:hint="eastAsia" w:ascii="宋体" w:hAnsi="宋体" w:eastAsia="宋体"/>
          <w:color w:val="000000"/>
          <w:sz w:val="24"/>
        </w:rPr>
        <w:t xml:space="preserve">现有研究多采用”加强数据质量管理”</w:t>
      </w:r>
      <w:r>
        <w:rPr>
          <w:rFonts w:hint="eastAsia" w:ascii="宋体" w:hAnsi="宋体" w:eastAsia="宋体"/>
          <w:color w:val="000000"/>
          <w:sz w:val="24"/>
        </w:rPr>
        <w:t xml:space="preserve">“完善法规政策”</w:t>
      </w:r>
      <w:r>
        <w:rPr>
          <w:rFonts w:hint="eastAsia" w:ascii="宋体" w:hAnsi="宋体" w:eastAsia="宋体"/>
          <w:color w:val="000000"/>
          <w:sz w:val="24"/>
        </w:rPr>
        <w:t xml:space="preserve">等宏观建议，缺乏针对不同类型平台的差异化策略。不同平台的绩效短板和优化路径可能截然不同，</w:t>
      </w:r>
      <w:r>
        <w:rPr>
          <w:rFonts w:hint="eastAsia" w:ascii="宋体" w:hAnsi="宋体" w:eastAsia="宋体"/>
          <w:color w:val="000000"/>
          <w:sz w:val="24"/>
        </w:rPr>
        <w:t xml:space="preserve">“一刀切”</w:t>
      </w:r>
      <w:r>
        <w:rPr>
          <w:rFonts w:hint="eastAsia" w:ascii="宋体" w:hAnsi="宋体" w:eastAsia="宋体"/>
          <w:color w:val="000000"/>
          <w:sz w:val="24"/>
        </w:rPr>
        <w:t xml:space="preserve">的建议无法提供具体的优化方向。</w:t>
      </w:r>
    </w:p>
    <w:bookmarkEnd w:id="88"/>
    <w:bookmarkStart w:id="89" w:name="本研究的定位与创新空间"/>
    <w:p>
      <w:pPr>
        <w:pStyle w:val="Heading4"/>
        <w:spacing w:line="360" w:lineRule="auto"/>
      </w:pPr>
      <w:r>
        <w:rPr>
          <w:rFonts w:ascii="宋体" w:hAnsi="宋体" w:eastAsia="宋体"/>
          <w:color w:val="000000"/>
          <w:sz w:val="24"/>
        </w:rPr>
        <w:t xml:space="preserve">2.5.3 </w:t>
      </w:r>
      <w:r>
        <w:rPr>
          <w:rFonts w:hint="eastAsia" w:ascii="宋体" w:hAnsi="宋体" w:eastAsia="宋体"/>
          <w:color w:val="000000"/>
          <w:sz w:val="24"/>
        </w:rPr>
        <w:t xml:space="preserve">本研究的定位与创新空间</w:t>
      </w:r>
    </w:p>
    <w:p>
      <w:pPr>
        <w:pStyle w:val="FirstParagraph"/>
        <w:spacing w:line="360" w:lineRule="auto"/>
      </w:pPr>
      <w:r>
        <w:rPr>
          <w:rFonts w:hint="eastAsia" w:ascii="宋体" w:hAnsi="宋体" w:eastAsia="宋体"/>
          <w:color w:val="000000"/>
          <w:sz w:val="24"/>
        </w:rPr>
        <w:t xml:space="preserve">基于上述研究述评，本研究定位于：在批判性反思现有”供给导向”评估范式的基础上，构建”效果导向”的4E全链条评估框架，采用多方法三角验证揭示绩效差异的形成机制，基于组态分析设计差异化对策，为政府数据开放平台的绩效评估和优化提升提供系统化的理论框架和实证依据。</w:t>
      </w:r>
    </w:p>
    <w:p>
      <w:pPr>
        <w:pStyle w:val="BodyText"/>
        <w:spacing w:line="360" w:lineRule="auto"/>
      </w:pPr>
      <w:r>
        <w:rPr>
          <w:rFonts w:hint="eastAsia" w:ascii="宋体" w:hAnsi="宋体" w:eastAsia="宋体"/>
          <w:color w:val="000000"/>
          <w:sz w:val="24"/>
        </w:rPr>
        <w:t xml:space="preserve">本研究拟在以下六个方面实现突破：（1）构建效果导向的4E评估框架，将利用效果从辅助维度提升为核心维度；（2）提出并操作化”数据口径幻觉”概念，将”口径一致性系数”纳入评估体系；（3）引入DEA效率评价，弥补现有工具对资源配置效率的忽视；（4）引入fsQCA组态分析，揭示高绩效的多重等效路径；（5）引入DEMATEL因素关联分析，识别影响绩效的传导中枢；（6）基于组态路径设计差异化对策，超越”一刀切”的政策建议。</w:t>
      </w:r>
    </w:p>
    <w:p>
      <w:pPr>
        <w:pStyle w:val="BodyText"/>
        <w:spacing w:line="360" w:lineRule="auto"/>
      </w:pPr>
      <w:r>
        <w:rPr>
          <w:rFonts w:hint="eastAsia" w:ascii="宋体" w:hAnsi="宋体" w:eastAsia="宋体"/>
          <w:color w:val="000000"/>
          <w:sz w:val="24"/>
        </w:rPr>
        <w:t xml:space="preserve">这些突破不是孤立的，而是相互支撑——效果导向的评估提供了正确的绩效画像，效率评价揭示了资源配置的优化空间，组态分析提供了差异化的优化路径，</w:t>
      </w:r>
      <w:r>
        <w:rPr>
          <w:rFonts w:hint="eastAsia" w:ascii="宋体" w:hAnsi="宋体" w:eastAsia="宋体"/>
          <w:color w:val="000000"/>
          <w:sz w:val="24"/>
        </w:rPr>
        <w:t xml:space="preserve">“口径一致性系数”</w:t>
      </w:r>
      <w:r>
        <w:rPr>
          <w:rFonts w:hint="eastAsia" w:ascii="宋体" w:hAnsi="宋体" w:eastAsia="宋体"/>
          <w:color w:val="000000"/>
          <w:sz w:val="24"/>
        </w:rPr>
        <w:t xml:space="preserve">纠正了指标扭曲的行为偏差。四者共同构成了本研究的系统性贡献。</w:t>
      </w:r>
    </w:p>
    <w:p>
      <w:pPr>
        <w:spacing w:line="360" w:lineRule="auto"/>
      </w:pPr>
      <w:r>
        <w:rPr>
          <w:rFonts w:ascii="宋体" w:hAnsi="宋体" w:eastAsia="宋体"/>
          <w:color w:val="000000"/>
          <w:sz w:val="24"/>
        </w:rPr>
        <w:pict>
          <v:rect style="width:0;height:1.5pt" o:hralign="center" o:hrstd="t" o:hr="t"/>
        </w:pict>
      </w:r>
    </w:p>
    <w:p>
      <w:pPr>
        <w:pStyle w:val="BlockText"/>
        <w:spacing w:line="360" w:lineRule="auto"/>
      </w:pPr>
      <w:r>
        <w:rPr>
          <w:rFonts w:hint="eastAsia" w:ascii="宋体" w:hAnsi="宋体" w:eastAsia="宋体"/>
          <w:b/>
          <w:bCs/>
          <w:color w:val="000000"/>
          <w:sz w:val="24"/>
        </w:rPr>
        <w:t xml:space="preserve">数据更新说明</w:t>
      </w:r>
      <w:r>
        <w:rPr>
          <w:rFonts w:hint="eastAsia" w:ascii="宋体" w:hAnsi="宋体" w:eastAsia="宋体"/>
          <w:color w:val="000000"/>
          <w:sz w:val="24"/>
        </w:rPr>
        <w:t xml:space="preserve">：以下为本章实证数据的最新统计结果。</w:t>
      </w:r>
    </w:p>
    <w:bookmarkEnd w:id="89"/>
    <w:bookmarkEnd w:id="90"/>
    <w:bookmarkStart w:id="95" w:name="第二章-数据引用更新说明"/>
    <w:p>
      <w:pPr>
        <w:pStyle w:val="Heading2"/>
        <w:spacing w:line="360" w:lineRule="auto"/>
      </w:pPr>
      <w:r>
        <w:rPr>
          <w:rFonts w:hint="eastAsia" w:ascii="黑体" w:hAnsi="黑体" w:eastAsia="黑体"/>
          <w:b/>
          <w:color w:val="000000"/>
          <w:sz w:val="28"/>
        </w:rPr>
        <w:t xml:space="preserve">第二章</w:t>
      </w:r>
      <w:r>
        <w:rPr>
          <w:rFonts w:ascii="黑体" w:hAnsi="黑体" w:eastAsia="黑体"/>
          <w:b/>
          <w:color w:val="000000"/>
          <w:sz w:val="28"/>
        </w:rPr>
        <w:t xml:space="preserve"> </w:t>
      </w:r>
      <w:r>
        <w:rPr>
          <w:rFonts w:hint="eastAsia" w:ascii="黑体" w:hAnsi="黑体" w:eastAsia="黑体"/>
          <w:b/>
          <w:color w:val="000000"/>
          <w:sz w:val="28"/>
        </w:rPr>
        <w:t xml:space="preserve">数据引用更新说明</w:t>
      </w:r>
    </w:p>
    <w:bookmarkStart w:id="94" w:name="需要更新的关键数据点-1"/>
    <w:p>
      <w:pPr>
        <w:pStyle w:val="Heading3"/>
        <w:spacing w:line="360" w:lineRule="auto"/>
      </w:pPr>
      <w:r>
        <w:rPr>
          <w:rFonts w:hint="eastAsia" w:ascii="黑体" w:hAnsi="黑体" w:eastAsia="黑体"/>
          <w:b/>
          <w:color w:val="000000"/>
          <w:sz w:val="24"/>
        </w:rPr>
        <w:t xml:space="preserve">需要更新的关键数据点</w:t>
      </w:r>
    </w:p>
    <w:bookmarkStart w:id="91" w:name="国内评估工具综述---开放数林指数"/>
    <w:p>
      <w:pPr>
        <w:pStyle w:val="Heading4"/>
        <w:spacing w:line="360" w:lineRule="auto"/>
      </w:pPr>
      <w:r>
        <w:rPr>
          <w:rFonts w:ascii="宋体" w:hAnsi="宋体" w:eastAsia="宋体"/>
          <w:color w:val="000000"/>
          <w:sz w:val="24"/>
        </w:rPr>
        <w:t xml:space="preserve">2.2.2 </w:t>
      </w:r>
      <w:r>
        <w:rPr>
          <w:rFonts w:hint="eastAsia" w:ascii="宋体" w:hAnsi="宋体" w:eastAsia="宋体"/>
          <w:color w:val="000000"/>
          <w:sz w:val="24"/>
        </w:rPr>
        <w:t xml:space="preserve">国内评估工具综述</w:t>
      </w:r>
      <w:r>
        <w:rPr>
          <w:rFonts w:ascii="宋体" w:hAnsi="宋体" w:eastAsia="宋体"/>
          <w:color w:val="000000"/>
          <w:sz w:val="24"/>
        </w:rPr>
        <w:t xml:space="preserve"> - </w:t>
      </w:r>
      <w:r>
        <w:rPr>
          <w:rFonts w:hint="eastAsia" w:ascii="宋体" w:hAnsi="宋体" w:eastAsia="宋体"/>
          <w:color w:val="000000"/>
          <w:sz w:val="24"/>
        </w:rPr>
        <w:t xml:space="preserve">开放数林指数</w:t>
      </w:r>
    </w:p>
    <w:p>
      <w:pPr>
        <w:pStyle w:val="FirstParagraph"/>
        <w:spacing w:line="360" w:lineRule="auto"/>
      </w:pPr>
      <w:r>
        <w:rPr>
          <w:rFonts w:hint="eastAsia" w:ascii="宋体" w:hAnsi="宋体" w:eastAsia="宋体"/>
          <w:b/>
          <w:bCs/>
          <w:color w:val="000000"/>
          <w:sz w:val="24"/>
        </w:rPr>
        <w:t xml:space="preserve">原文：</w:t>
      </w:r>
      <w:r>
        <w:rPr>
          <w:rFonts w:ascii="宋体" w:hAnsi="宋体" w:eastAsia="宋体"/>
          <w:color w:val="000000"/>
          <w:sz w:val="24"/>
        </w:rPr>
        <w:t xml:space="preserve"> </w:t>
      </w:r>
      <w:r>
        <w:rPr>
          <w:rFonts w:ascii="宋体" w:hAnsi="宋体" w:eastAsia="宋体"/>
          <w:color w:val="000000"/>
          <w:sz w:val="24"/>
        </w:rPr>
        <w:t xml:space="preserve">&gt;</w:t>
      </w:r>
      <w:r>
        <w:rPr>
          <w:rFonts w:ascii="宋体" w:hAnsi="宋体" w:eastAsia="宋体"/>
          <w:color w:val="000000"/>
          <w:sz w:val="24"/>
        </w:rPr>
        <w:t xml:space="preserve"> </w:t>
      </w:r>
      <w:r>
        <w:rPr>
          <w:rFonts w:hint="eastAsia" w:ascii="宋体" w:hAnsi="宋体" w:eastAsia="宋体"/>
          <w:color w:val="000000"/>
          <w:sz w:val="24"/>
        </w:rPr>
        <w:t xml:space="preserve">“覆盖了省级、副省级和地市级平台”</w:t>
      </w:r>
    </w:p>
    <w:p>
      <w:pPr>
        <w:pStyle w:val="BodyText"/>
        <w:spacing w:line="360" w:lineRule="auto"/>
      </w:pPr>
      <w:r>
        <w:rPr>
          <w:rFonts w:hint="eastAsia" w:ascii="宋体" w:hAnsi="宋体" w:eastAsia="宋体"/>
          <w:b/>
          <w:bCs/>
          <w:color w:val="000000"/>
          <w:sz w:val="24"/>
        </w:rPr>
        <w:t xml:space="preserve">补充说明：</w:t>
      </w:r>
      <w:r>
        <w:rPr>
          <w:rFonts w:ascii="宋体" w:hAnsi="宋体" w:eastAsia="宋体"/>
          <w:color w:val="000000"/>
          <w:sz w:val="24"/>
        </w:rPr>
        <w:t xml:space="preserve"> </w:t>
      </w:r>
      <w:r>
        <w:rPr>
          <w:rFonts w:ascii="宋体" w:hAnsi="宋体" w:eastAsia="宋体"/>
          <w:color w:val="000000"/>
          <w:sz w:val="24"/>
        </w:rPr>
        <w:t xml:space="preserve">&gt;</w:t>
      </w:r>
      <w:r>
        <w:rPr>
          <w:rFonts w:ascii="宋体" w:hAnsi="宋体" w:eastAsia="宋体"/>
          <w:color w:val="000000"/>
          <w:sz w:val="24"/>
        </w:rPr>
        <w:t xml:space="preserve"> </w:t>
      </w:r>
      <w:r>
        <w:rPr>
          <w:rFonts w:hint="eastAsia" w:ascii="宋体" w:hAnsi="宋体" w:eastAsia="宋体"/>
          <w:color w:val="000000"/>
          <w:sz w:val="24"/>
        </w:rPr>
        <w:t xml:space="preserve">“本研究将开放数林指数作为外部效标，与本研究TOPSIS排名进行Spearman相关分析，相关系数为0.67（p&lt;0.01），具有中等偏高的正相关性，表明两种评估工具对平台绩效的判定具有较高的一致性。”</w:t>
      </w:r>
    </w:p>
    <w:bookmarkEnd w:id="91"/>
    <w:bookmarkStart w:id="92" w:name="现有评估工具的结构性局限"/>
    <w:p>
      <w:pPr>
        <w:pStyle w:val="Heading4"/>
        <w:spacing w:line="360" w:lineRule="auto"/>
      </w:pPr>
      <w:r>
        <w:rPr>
          <w:rFonts w:ascii="宋体" w:hAnsi="宋体" w:eastAsia="宋体"/>
          <w:color w:val="000000"/>
          <w:sz w:val="24"/>
        </w:rPr>
        <w:t xml:space="preserve">2.3 </w:t>
      </w:r>
      <w:r>
        <w:rPr>
          <w:rFonts w:hint="eastAsia" w:ascii="宋体" w:hAnsi="宋体" w:eastAsia="宋体"/>
          <w:color w:val="000000"/>
          <w:sz w:val="24"/>
        </w:rPr>
        <w:t xml:space="preserve">现有评估工具的结构性局限</w:t>
      </w:r>
    </w:p>
    <w:p>
      <w:pPr>
        <w:pStyle w:val="FirstParagraph"/>
        <w:spacing w:line="360" w:lineRule="auto"/>
      </w:pPr>
      <w:r>
        <w:rPr>
          <w:rFonts w:hint="eastAsia" w:ascii="宋体" w:hAnsi="宋体" w:eastAsia="宋体"/>
          <w:b/>
          <w:bCs/>
          <w:color w:val="000000"/>
          <w:sz w:val="24"/>
        </w:rPr>
        <w:t xml:space="preserve">新增第四局限：</w:t>
      </w:r>
    </w:p>
    <w:p>
      <w:pPr>
        <w:pStyle w:val="BlockText"/>
        <w:spacing w:line="360" w:lineRule="auto"/>
      </w:pPr>
      <w:r>
        <w:rPr>
          <w:rFonts w:hint="eastAsia" w:ascii="宋体" w:hAnsi="宋体" w:eastAsia="宋体"/>
          <w:b/>
          <w:bCs/>
          <w:color w:val="000000"/>
          <w:sz w:val="24"/>
        </w:rPr>
        <w:t xml:space="preserve">局限四：忽视”数据口径幻觉”。</w:t>
      </w:r>
      <w:r>
        <w:rPr>
          <w:rFonts w:ascii="宋体" w:hAnsi="宋体" w:eastAsia="宋体"/>
          <w:color w:val="000000"/>
          <w:sz w:val="24"/>
        </w:rPr>
        <w:t xml:space="preserve"> </w:t>
      </w:r>
      <w:r>
        <w:rPr>
          <w:rFonts w:hint="eastAsia" w:ascii="宋体" w:hAnsi="宋体" w:eastAsia="宋体"/>
          <w:color w:val="000000"/>
          <w:sz w:val="24"/>
        </w:rPr>
        <w:t xml:space="preserve">现有评估工具将”数据目录数量”作为供给层的核心指标，但未区分”目录数量”和”有效数据集数量”的差异。本研究对22个平台的调研发现，各平台对”数据集”的统计口径存在显著差异——有的平台统计的是”原始数据集”，有的统计的是”数据目录条目”，有的统计的是”数据产品”或”登记数据”。在”数量导向”的激励下，平台运营者有动力最大化目录数量，导致评估结果可能存在系统性高估。本研究建立了五类口径的转换系数体系，为纠正这一偏差提供了方法。</w:t>
      </w:r>
    </w:p>
    <w:bookmarkEnd w:id="92"/>
    <w:bookmarkStart w:id="93" w:name="研究述评"/>
    <w:p>
      <w:pPr>
        <w:pStyle w:val="Heading4"/>
        <w:spacing w:line="360" w:lineRule="auto"/>
      </w:pPr>
      <w:r>
        <w:rPr>
          <w:rFonts w:ascii="宋体" w:hAnsi="宋体" w:eastAsia="宋体"/>
          <w:color w:val="000000"/>
          <w:sz w:val="24"/>
        </w:rPr>
        <w:t xml:space="preserve">2.3.3 </w:t>
      </w:r>
      <w:r>
        <w:rPr>
          <w:rFonts w:hint="eastAsia" w:ascii="宋体" w:hAnsi="宋体" w:eastAsia="宋体"/>
          <w:color w:val="000000"/>
          <w:sz w:val="24"/>
        </w:rPr>
        <w:t xml:space="preserve">研究述评</w:t>
      </w:r>
    </w:p>
    <w:p>
      <w:pPr>
        <w:pStyle w:val="FirstParagraph"/>
        <w:spacing w:line="360" w:lineRule="auto"/>
      </w:pPr>
      <w:r>
        <w:rPr>
          <w:rFonts w:hint="eastAsia" w:ascii="宋体" w:hAnsi="宋体" w:eastAsia="宋体"/>
          <w:b/>
          <w:bCs/>
          <w:color w:val="000000"/>
          <w:sz w:val="24"/>
        </w:rPr>
        <w:t xml:space="preserve">新增段落：</w:t>
      </w:r>
    </w:p>
    <w:p>
      <w:pPr>
        <w:pStyle w:val="BlockText"/>
        <w:spacing w:line="360" w:lineRule="auto"/>
      </w:pPr>
      <w:r>
        <w:rPr>
          <w:rFonts w:hint="eastAsia" w:ascii="宋体" w:hAnsi="宋体" w:eastAsia="宋体"/>
          <w:color w:val="000000"/>
          <w:sz w:val="24"/>
        </w:rPr>
        <w:t xml:space="preserve">“综上所述，现有评估研究存在四个结构性局限：重供给轻效果、缺乏效率维度、方法单一、忽视口径幻觉。本研究针对这些局限，构建了基于4E框架的效果导向评估体系，引入DEA效率评价和fsQCA组态分析，建立了数据口径标准化体系，旨在从’评估-归因-对策’三个层面系统推进政府数据开放评估研究。”</w:t>
      </w:r>
    </w:p>
    <w:p>
      <w:pPr>
        <w:spacing w:line="360" w:lineRule="auto"/>
      </w:pPr>
      <w:r>
        <w:rPr>
          <w:rFonts w:ascii="宋体" w:hAnsi="宋体" w:eastAsia="宋体"/>
          <w:color w:val="000000"/>
          <w:sz w:val="24"/>
        </w:rPr>
        <w:pict>
          <v:rect style="width:0;height:1.5pt" o:hralign="center" o:hrstd="t" o:hr="t"/>
        </w:pict>
      </w:r>
    </w:p>
    <w:bookmarkEnd w:id="93"/>
    <w:bookmarkEnd w:id="94"/>
    <w:bookmarkEnd w:id="95"/>
    <w:bookmarkEnd w:id="96"/>
    <w:bookmarkStart w:id="126" w:name="第3章-第三章-4e评估框架构建"/>
    <w:p>
      <w:pPr>
        <w:pStyle w:val="Heading1"/>
        <w:spacing w:line="360" w:lineRule="auto"/>
        <w:jc w:val="center"/>
      </w:pPr>
      <w:r>
        <w:rPr>
          <w:rFonts w:hint="eastAsia" w:ascii="黑体" w:hAnsi="黑体" w:eastAsia="黑体"/>
          <w:b/>
          <w:color w:val="000000"/>
          <w:sz w:val="32"/>
        </w:rPr>
        <w:t xml:space="preserve">第3章</w:t>
      </w:r>
      <w:r>
        <w:rPr>
          <w:rFonts w:ascii="黑体" w:hAnsi="黑体" w:eastAsia="黑体"/>
          <w:b/>
          <w:color w:val="000000"/>
          <w:sz w:val="32"/>
        </w:rPr>
        <w:t xml:space="preserve"> </w:t>
      </w:r>
      <w:r>
        <w:rPr>
          <w:rFonts w:hint="eastAsia" w:ascii="黑体" w:hAnsi="黑体" w:eastAsia="黑体"/>
          <w:b/>
          <w:color w:val="000000"/>
          <w:sz w:val="32"/>
        </w:rPr>
        <w:t xml:space="preserve">第三章</w:t>
      </w:r>
      <w:r>
        <w:rPr>
          <w:rFonts w:ascii="黑体" w:hAnsi="黑体" w:eastAsia="黑体"/>
          <w:b/>
          <w:color w:val="000000"/>
          <w:sz w:val="32"/>
        </w:rPr>
        <w:t xml:space="preserve"> </w:t>
      </w:r>
      <w:r>
        <w:rPr>
          <w:rFonts w:hint="eastAsia" w:ascii="黑体" w:hAnsi="黑体" w:eastAsia="黑体"/>
          <w:b/>
          <w:color w:val="000000"/>
          <w:sz w:val="32"/>
        </w:rPr>
        <w:t xml:space="preserve">4E评估框架构建</w:t>
      </w:r>
    </w:p>
    <w:bookmarkStart w:id="103" w:name="公共价值理论"/>
    <w:p>
      <w:pPr>
        <w:pStyle w:val="Heading3"/>
        <w:spacing w:line="360" w:lineRule="auto"/>
      </w:pPr>
      <w:r>
        <w:rPr>
          <w:rFonts w:ascii="黑体" w:hAnsi="黑体" w:eastAsia="黑体"/>
          <w:b/>
          <w:color w:val="000000"/>
          <w:sz w:val="24"/>
        </w:rPr>
        <w:t xml:space="preserve">3.1 </w:t>
      </w:r>
      <w:r>
        <w:rPr>
          <w:rFonts w:hint="eastAsia" w:ascii="黑体" w:hAnsi="黑体" w:eastAsia="黑体"/>
          <w:b/>
          <w:color w:val="000000"/>
          <w:sz w:val="24"/>
        </w:rPr>
        <w:t xml:space="preserve">公共价值理论</w:t>
      </w:r>
    </w:p>
    <w:bookmarkStart w:id="97" w:name="公共价值的概念与内涵"/>
    <w:p>
      <w:pPr>
        <w:pStyle w:val="Heading4"/>
        <w:spacing w:line="360" w:lineRule="auto"/>
      </w:pPr>
      <w:r>
        <w:rPr>
          <w:rFonts w:ascii="宋体" w:hAnsi="宋体" w:eastAsia="宋体"/>
          <w:color w:val="000000"/>
          <w:sz w:val="24"/>
        </w:rPr>
        <w:t xml:space="preserve">3.1.1 </w:t>
      </w:r>
      <w:r>
        <w:rPr>
          <w:rFonts w:hint="eastAsia" w:ascii="宋体" w:hAnsi="宋体" w:eastAsia="宋体"/>
          <w:color w:val="000000"/>
          <w:sz w:val="24"/>
        </w:rPr>
        <w:t xml:space="preserve">公共价值的概念与内涵</w:t>
      </w:r>
    </w:p>
    <w:p>
      <w:pPr>
        <w:pStyle w:val="FirstParagraph"/>
        <w:spacing w:line="360" w:lineRule="auto"/>
      </w:pPr>
      <w:r>
        <w:rPr>
          <w:rFonts w:hint="eastAsia" w:ascii="宋体" w:hAnsi="宋体" w:eastAsia="宋体"/>
          <w:color w:val="000000"/>
          <w:sz w:val="24"/>
        </w:rPr>
        <w:t xml:space="preserve">公共价值（Public</w:t>
      </w:r>
      <w:r>
        <w:rPr>
          <w:rFonts w:ascii="宋体" w:hAnsi="宋体" w:eastAsia="宋体"/>
          <w:color w:val="000000"/>
          <w:sz w:val="24"/>
        </w:rPr>
        <w:t xml:space="preserve"> </w:t>
      </w:r>
      <w:r>
        <w:rPr>
          <w:rFonts w:hint="eastAsia" w:ascii="宋体" w:hAnsi="宋体" w:eastAsia="宋体"/>
          <w:color w:val="000000"/>
          <w:sz w:val="24"/>
        </w:rPr>
        <w:t xml:space="preserve">Value）是公共管理领域的核心理论概念，由Mark</w:t>
      </w:r>
      <w:r>
        <w:rPr>
          <w:rFonts w:ascii="宋体" w:hAnsi="宋体" w:eastAsia="宋体"/>
          <w:color w:val="000000"/>
          <w:sz w:val="24"/>
        </w:rPr>
        <w:t xml:space="preserve"> </w:t>
      </w:r>
      <w:r>
        <w:rPr>
          <w:rFonts w:hint="eastAsia" w:ascii="宋体" w:hAnsi="宋体" w:eastAsia="宋体"/>
          <w:color w:val="000000"/>
          <w:sz w:val="24"/>
        </w:rPr>
        <w:t xml:space="preserve">Moore于1995年在《创造公共价值：政府战略管理》一书中系统提出。Moore将公共价值定义为”公民从公共服务中获得的效用总和”，强调公共价值不仅包括服务产出的直接效用，还包括服务过程对公民信任、社会凝聚力和民主参与的促进作用。公共价值理论的核心主张是：公共管理者的使命不是简单地执行既定政策，而是通过战略管理创造公共价值——这要求管理者在”授权环境”（legitimacy</w:t>
      </w:r>
      <w:r>
        <w:rPr>
          <w:rFonts w:ascii="宋体" w:hAnsi="宋体" w:eastAsia="宋体"/>
          <w:color w:val="000000"/>
          <w:sz w:val="24"/>
        </w:rPr>
        <w:t xml:space="preserve"> and </w:t>
      </w:r>
      <w:r>
        <w:rPr>
          <w:rFonts w:hint="eastAsia" w:ascii="宋体" w:hAnsi="宋体" w:eastAsia="宋体"/>
          <w:color w:val="000000"/>
          <w:sz w:val="24"/>
        </w:rPr>
        <w:t xml:space="preserve">support）和”运作能力”（operational</w:t>
      </w:r>
      <w:r>
        <w:rPr>
          <w:rFonts w:ascii="宋体" w:hAnsi="宋体" w:eastAsia="宋体"/>
          <w:color w:val="000000"/>
          <w:sz w:val="24"/>
        </w:rPr>
        <w:t xml:space="preserve"> </w:t>
      </w:r>
      <w:r>
        <w:rPr>
          <w:rFonts w:hint="eastAsia" w:ascii="宋体" w:hAnsi="宋体" w:eastAsia="宋体"/>
          <w:color w:val="000000"/>
          <w:sz w:val="24"/>
        </w:rPr>
        <w:t xml:space="preserve">capacity）的约束下，追求”战略目标”（strategic</w:t>
      </w:r>
      <w:r>
        <w:rPr>
          <w:rFonts w:ascii="宋体" w:hAnsi="宋体" w:eastAsia="宋体"/>
          <w:color w:val="000000"/>
          <w:sz w:val="24"/>
        </w:rPr>
        <w:t xml:space="preserve"> </w:t>
      </w:r>
      <w:r>
        <w:rPr>
          <w:rFonts w:hint="eastAsia" w:ascii="宋体" w:hAnsi="宋体" w:eastAsia="宋体"/>
          <w:color w:val="000000"/>
          <w:sz w:val="24"/>
        </w:rPr>
        <w:t xml:space="preserve">goals）的实现。</w:t>
      </w:r>
    </w:p>
    <w:p>
      <w:pPr>
        <w:pStyle w:val="BodyText"/>
        <w:spacing w:line="360" w:lineRule="auto"/>
      </w:pPr>
      <w:r>
        <w:rPr>
          <w:rFonts w:hint="eastAsia" w:ascii="宋体" w:hAnsi="宋体" w:eastAsia="宋体"/>
          <w:color w:val="000000"/>
          <w:sz w:val="24"/>
        </w:rPr>
        <w:t xml:space="preserve">公共价值理论与新公共管理理论存在根本差异。新公共管理理论以”3E”（经济性、效率性、效果性）为核心，强调公共部门应借鉴私营部门的管理方法，以最低成本获取最大产出。公共价值理论则批判性地指出，公共部门与私营部门存在本质差异——公共部门的服务对象是社会公众而非付费顾客，公共部门的目标是社会价值而非利润最大化，公共部门的绩效标准是社会正义而非股东回报。因此，公共部门绩效评估不能简单地套用私营部门的效率标准，而应关注公共价值的创造和分配。Stoker进一步指出，新公共管理将公民视为”消费者”，强调公共服务的市场化供给和竞争机制；而公共价值理论将公民视为”共同创造者”，强调公共服务中的公民参与和协作治理。这一”消费者vs共同创造者”的区分，对于理解政府数据开放中的公众角色具有重要启示——在数据开放中，公众不仅是数据的使用者，更是数据价值的共同创造者（通过数据应用开发、数据质量反馈、数据需求表达等方式）。</w:t>
      </w:r>
    </w:p>
    <w:p>
      <w:pPr>
        <w:pStyle w:val="BodyText"/>
        <w:spacing w:line="360" w:lineRule="auto"/>
      </w:pPr>
      <w:r>
        <w:rPr>
          <w:rFonts w:hint="eastAsia" w:ascii="宋体" w:hAnsi="宋体" w:eastAsia="宋体"/>
          <w:color w:val="000000"/>
          <w:sz w:val="24"/>
        </w:rPr>
        <w:t xml:space="preserve">公共价值理论对政府数据开放评估的启示在于三个方面。第一，评估标准不应仅限于”效率”（投入产出比），还应关注”效果”（是否产生了社会价值）和”公平”（价值是否在社会中公平分配）。一个”高效但不公平”的数据开放体系——例如，数据红利仅被少数大企业获取而中小企业被排斥在外——不能被认为是”高绩效”的。第二，评估视角应从”供给者”转向”公众”——数据开放的绩效不应由平台运营者自我评判，而应由数据用户和社会公众来评判。第三，评估应关注”过程价值”与”结果价值”的统一——数据开放不仅要在结果上产生应用成果，还要在过程中促进政府透明、增强公众信任、培育数字公民素养。</w:t>
      </w:r>
    </w:p>
    <w:p>
      <w:pPr>
        <w:pStyle w:val="BodyText"/>
        <w:spacing w:line="360" w:lineRule="auto"/>
      </w:pPr>
      <w:r>
        <w:rPr>
          <w:rFonts w:hint="eastAsia" w:ascii="宋体" w:hAnsi="宋体" w:eastAsia="宋体"/>
          <w:color w:val="000000"/>
          <w:sz w:val="24"/>
        </w:rPr>
        <w:t xml:space="preserve">在公共价值理论的发展脉络中，多位学者对其进行了拓展和深化。Bryson等提出了”公共价值战略”的概念，强调公共价值的创造需要系统性的战略规划，而非碎片化的政策举措。他们将公共价值战略分解为价值识别（识别公众真正需要什么样的价值）、价值创造（通过政策和服务创造这些价值）和价值交付（确保价值能够有效传递到目标群体）三个环节。这一”识别-创造-交付”的链条对本研究评估框架的设计具有直接启示——评估应覆盖公共价值的全链条，而非仅关注最终交付的结果。O’Flynn提出了”协作性公共价值创造”理论，强调公共价值的创造不是政府的独角戏，而是政府、市场、社会多元主体协作的结果。在政府数据开放领域，这一理论意味着数据开放的价值不仅取决于政府的供给行为，还取决于企业的开发行为、研究机构的研究行为、公众的使用行为——评估体系需要覆盖多元主体的价值共创过程。</w:t>
      </w:r>
    </w:p>
    <w:bookmarkEnd w:id="97"/>
    <w:bookmarkStart w:id="98" w:name="mark-moore的公共价值三角框架"/>
    <w:p>
      <w:pPr>
        <w:pStyle w:val="Heading4"/>
        <w:spacing w:line="360" w:lineRule="auto"/>
      </w:pPr>
      <w:r>
        <w:rPr>
          <w:rFonts w:ascii="宋体" w:hAnsi="宋体" w:eastAsia="宋体"/>
          <w:color w:val="000000"/>
          <w:sz w:val="24"/>
        </w:rPr>
        <w:t xml:space="preserve">3.1.2 Mark </w:t>
      </w:r>
      <w:r>
        <w:rPr>
          <w:rFonts w:hint="eastAsia" w:ascii="宋体" w:hAnsi="宋体" w:eastAsia="宋体"/>
          <w:color w:val="000000"/>
          <w:sz w:val="24"/>
        </w:rPr>
        <w:t xml:space="preserve">Moore的公共价值三角框架</w:t>
      </w:r>
    </w:p>
    <w:p>
      <w:pPr>
        <w:pStyle w:val="FirstParagraph"/>
        <w:spacing w:line="360" w:lineRule="auto"/>
      </w:pPr>
      <w:r>
        <w:rPr>
          <w:rFonts w:ascii="宋体" w:hAnsi="宋体" w:eastAsia="宋体"/>
          <w:color w:val="000000"/>
          <w:sz w:val="24"/>
        </w:rPr>
        <w:t xml:space="preserve">Mark </w:t>
      </w:r>
      <w:r>
        <w:rPr>
          <w:rFonts w:hint="eastAsia" w:ascii="宋体" w:hAnsi="宋体" w:eastAsia="宋体"/>
          <w:color w:val="000000"/>
          <w:sz w:val="24"/>
        </w:rPr>
        <w:t xml:space="preserve">Moore提出的”公共价值三角”（Public</w:t>
      </w:r>
      <w:r>
        <w:rPr>
          <w:rFonts w:ascii="宋体" w:hAnsi="宋体" w:eastAsia="宋体"/>
          <w:color w:val="000000"/>
          <w:sz w:val="24"/>
        </w:rPr>
        <w:t xml:space="preserve"> Value </w:t>
      </w:r>
      <w:r>
        <w:rPr>
          <w:rFonts w:hint="eastAsia" w:ascii="宋体" w:hAnsi="宋体" w:eastAsia="宋体"/>
          <w:color w:val="000000"/>
          <w:sz w:val="24"/>
        </w:rPr>
        <w:t xml:space="preserve">Triangle）是公共价值理论的核心分析工具，将公共价值创造分解为三个相互关联的维度：战略目标（Strategic</w:t>
      </w:r>
      <w:r>
        <w:rPr>
          <w:rFonts w:ascii="宋体" w:hAnsi="宋体" w:eastAsia="宋体"/>
          <w:color w:val="000000"/>
          <w:sz w:val="24"/>
        </w:rPr>
        <w:t xml:space="preserve"> </w:t>
      </w:r>
      <w:r>
        <w:rPr>
          <w:rFonts w:hint="eastAsia" w:ascii="宋体" w:hAnsi="宋体" w:eastAsia="宋体"/>
          <w:color w:val="000000"/>
          <w:sz w:val="24"/>
        </w:rPr>
        <w:t xml:space="preserve">Goals）、授权环境（Legitimacy</w:t>
      </w:r>
      <w:r>
        <w:rPr>
          <w:rFonts w:ascii="宋体" w:hAnsi="宋体" w:eastAsia="宋体"/>
          <w:color w:val="000000"/>
          <w:sz w:val="24"/>
        </w:rPr>
        <w:t xml:space="preserve"> and </w:t>
      </w:r>
      <w:r>
        <w:rPr>
          <w:rFonts w:hint="eastAsia" w:ascii="宋体" w:hAnsi="宋体" w:eastAsia="宋体"/>
          <w:color w:val="000000"/>
          <w:sz w:val="24"/>
        </w:rPr>
        <w:t xml:space="preserve">Support）和运作能力（Operational</w:t>
      </w:r>
      <w:r>
        <w:rPr>
          <w:rFonts w:ascii="宋体" w:hAnsi="宋体" w:eastAsia="宋体"/>
          <w:color w:val="000000"/>
          <w:sz w:val="24"/>
        </w:rPr>
        <w:t xml:space="preserve"> </w:t>
      </w:r>
      <w:r>
        <w:rPr>
          <w:rFonts w:hint="eastAsia" w:ascii="宋体" w:hAnsi="宋体" w:eastAsia="宋体"/>
          <w:color w:val="000000"/>
          <w:sz w:val="24"/>
        </w:rPr>
        <w:t xml:space="preserve">Capacity）。</w:t>
      </w:r>
    </w:p>
    <w:p>
      <w:pPr>
        <w:pStyle w:val="BodyText"/>
        <w:spacing w:line="360" w:lineRule="auto"/>
      </w:pPr>
      <w:r>
        <w:rPr>
          <w:rFonts w:hint="eastAsia" w:ascii="宋体" w:hAnsi="宋体" w:eastAsia="宋体"/>
          <w:b/>
          <w:bCs/>
          <w:color w:val="000000"/>
          <w:sz w:val="24"/>
        </w:rPr>
        <w:t xml:space="preserve">战略目标</w:t>
      </w:r>
      <w:r>
        <w:rPr>
          <w:rFonts w:hint="eastAsia" w:ascii="宋体" w:hAnsi="宋体" w:eastAsia="宋体"/>
          <w:color w:val="000000"/>
          <w:sz w:val="24"/>
        </w:rPr>
        <w:t xml:space="preserve">回答”我们要创造什么价值”的问题。在政府数据开放领域，战略目标体现为数据利用的社会经济价值——包括效率价值（降低信息获取成本、减少重复采集）、创新价值（催生新应用和新服务）和社会价值（提升透明度和问责能力）。战略目标的设定需要回应社会公众的关切，而非仅仅是平台运营者的自我期许。例如，如果一个平台的战略目标是”开放尽可能多的数据集”，那么它可能会忽视数据质量和利用效果；而如果战略目标是”让数据产生最大的社会价值”，那么它就会关注数据的有效供给、质量保障和利用生态培育。</w:t>
      </w:r>
    </w:p>
    <w:p>
      <w:pPr>
        <w:pStyle w:val="BodyText"/>
        <w:spacing w:line="360" w:lineRule="auto"/>
      </w:pPr>
      <w:r>
        <w:rPr>
          <w:rFonts w:hint="eastAsia" w:ascii="宋体" w:hAnsi="宋体" w:eastAsia="宋体"/>
          <w:color w:val="000000"/>
          <w:sz w:val="24"/>
        </w:rPr>
        <w:t xml:space="preserve">战略目标的设定还需要考虑”价值冲突”问题。数据开放可能同时追求多种价值，但这些价值之间可能存在冲突——例如，</w:t>
      </w:r>
      <w:r>
        <w:rPr>
          <w:rFonts w:hint="eastAsia" w:ascii="宋体" w:hAnsi="宋体" w:eastAsia="宋体"/>
          <w:color w:val="000000"/>
          <w:sz w:val="24"/>
        </w:rPr>
        <w:t xml:space="preserve">“透明度”</w:t>
      </w:r>
      <w:r>
        <w:rPr>
          <w:rFonts w:hint="eastAsia" w:ascii="宋体" w:hAnsi="宋体" w:eastAsia="宋体"/>
          <w:color w:val="000000"/>
          <w:sz w:val="24"/>
        </w:rPr>
        <w:t xml:space="preserve">价值要求开放尽可能详细的数据，而”隐私保护”价值要求对敏感数据进行脱敏处理。在价值冲突中，公共管理者需要进行权衡和选择，而非简单地追求”价值最大化”。本研究在评估框架中通过”数据安全”指标和”授权运营”指标，回应了数据开放中的价值冲突问题——评估不仅关注”开放了多少”，还关注”开放是否安全”</w:t>
      </w:r>
      <w:r>
        <w:rPr>
          <w:rFonts w:hint="eastAsia" w:ascii="宋体" w:hAnsi="宋体" w:eastAsia="宋体"/>
          <w:color w:val="000000"/>
          <w:sz w:val="24"/>
        </w:rPr>
        <w:t xml:space="preserve">“开放是否可持续”</w:t>
      </w:r>
      <w:r>
        <w:rPr>
          <w:rFonts w:ascii="宋体" w:hAnsi="宋体" w:eastAsia="宋体"/>
          <w:color w:val="000000"/>
          <w:sz w:val="24"/>
        </w:rPr>
        <w:t xml:space="preserve">。</w:t>
      </w:r>
    </w:p>
    <w:p>
      <w:pPr>
        <w:pStyle w:val="BodyText"/>
        <w:spacing w:line="360" w:lineRule="auto"/>
      </w:pPr>
      <w:r>
        <w:rPr>
          <w:rFonts w:hint="eastAsia" w:ascii="宋体" w:hAnsi="宋体" w:eastAsia="宋体"/>
          <w:b/>
          <w:bCs/>
          <w:color w:val="000000"/>
          <w:sz w:val="24"/>
        </w:rPr>
        <w:t xml:space="preserve">授权环境</w:t>
      </w:r>
      <w:r>
        <w:rPr>
          <w:rFonts w:hint="eastAsia" w:ascii="宋体" w:hAnsi="宋体" w:eastAsia="宋体"/>
          <w:color w:val="000000"/>
          <w:sz w:val="24"/>
        </w:rPr>
        <w:t xml:space="preserve">回答”谁授权我们做这件事”的问题。在政府数据开放领域，授权环境体现为政策法规支持、组织资源投入、社会期望压力等制度条件。授权环境决定了平台能够获得多少资源、承担多大责任、面临何种约束。一个获得充分授权的平台（如浙江、上海），通常拥有更充足的财政投入、更专业的运营团队、更完善的制度保障；而一个授权不足的平台（如部分中西部省份），则可能面临资金短缺、人才匮乏、制度缺失的困境。授权环境的差异是解释平台绩效差异的重要制度因素。</w:t>
      </w:r>
    </w:p>
    <w:p>
      <w:pPr>
        <w:pStyle w:val="BodyText"/>
        <w:spacing w:line="360" w:lineRule="auto"/>
      </w:pPr>
      <w:r>
        <w:rPr>
          <w:rFonts w:hint="eastAsia" w:ascii="宋体" w:hAnsi="宋体" w:eastAsia="宋体"/>
          <w:color w:val="000000"/>
          <w:sz w:val="24"/>
        </w:rPr>
        <w:t xml:space="preserve">授权环境的评估需要区分”正式授权”和”非正式授权”。正式授权包括法律法规、政策文件、行政命令等制度化的授权形式；非正式授权包括上级领导的重视程度、社会舆论的期望压力、同侪竞争的外部压力等非制度化的授权形式。在政府数据开放领域，非正式授权往往比正式授权更重要——一个获得省级主要领导”批示支持”的平台，即使尚未出台专门的数据开放管理办法，也可能获得比已出台办法但缺乏领导重视的平台更多的资源和关注。本研究在”组织层面”因素中通过”领导力”指标，捕捉了非正式授权的影响。</w:t>
      </w:r>
    </w:p>
    <w:p>
      <w:pPr>
        <w:pStyle w:val="BodyText"/>
        <w:spacing w:line="360" w:lineRule="auto"/>
      </w:pPr>
      <w:r>
        <w:rPr>
          <w:rFonts w:hint="eastAsia" w:ascii="宋体" w:hAnsi="宋体" w:eastAsia="宋体"/>
          <w:b/>
          <w:bCs/>
          <w:color w:val="000000"/>
          <w:sz w:val="24"/>
        </w:rPr>
        <w:t xml:space="preserve">运作能力</w:t>
      </w:r>
      <w:r>
        <w:rPr>
          <w:rFonts w:hint="eastAsia" w:ascii="宋体" w:hAnsi="宋体" w:eastAsia="宋体"/>
          <w:color w:val="000000"/>
          <w:sz w:val="24"/>
        </w:rPr>
        <w:t xml:space="preserve">回答”我们有没有能力做好这件事”的问题。在政府数据开放领域，运作能力体现为平台技术架构、数据治理能力、用户服务能力等技术-组织条件。运作能力决定了平台能否将战略目标和授权资源转化为实际的绩效产出。一个运作能力强的平台，能够在数据上传前完成质量审查和格式标准化，能够提供完善的API文档和开发者支持，能够及时响应用户反馈和需求；而一个运作能力弱的平台，即使拥有充足的资金和政策支持，也可能因为技术能力不足、组织流程不畅而无法产生预期的绩效。</w:t>
      </w:r>
    </w:p>
    <w:p>
      <w:pPr>
        <w:pStyle w:val="BodyText"/>
        <w:spacing w:line="360" w:lineRule="auto"/>
      </w:pPr>
      <w:r>
        <w:rPr>
          <w:rFonts w:hint="eastAsia" w:ascii="宋体" w:hAnsi="宋体" w:eastAsia="宋体"/>
          <w:color w:val="000000"/>
          <w:sz w:val="24"/>
        </w:rPr>
        <w:t xml:space="preserve">运作能力的评估需要关注”硬能力”和”软能力”两个层面。</w:t>
      </w:r>
      <w:r>
        <w:rPr>
          <w:rFonts w:hint="eastAsia" w:ascii="宋体" w:hAnsi="宋体" w:eastAsia="宋体"/>
          <w:color w:val="000000"/>
          <w:sz w:val="24"/>
        </w:rPr>
        <w:t xml:space="preserve">“硬能力”</w:t>
      </w:r>
      <w:r>
        <w:rPr>
          <w:rFonts w:hint="eastAsia" w:ascii="宋体" w:hAnsi="宋体" w:eastAsia="宋体"/>
          <w:color w:val="000000"/>
          <w:sz w:val="24"/>
        </w:rPr>
        <w:t xml:space="preserve">包括技术基础设施、数据处理能力、平台开发能力等可量化的技术条件；</w:t>
      </w:r>
      <w:r>
        <w:rPr>
          <w:rFonts w:hint="eastAsia" w:ascii="宋体" w:hAnsi="宋体" w:eastAsia="宋体"/>
          <w:color w:val="000000"/>
          <w:sz w:val="24"/>
        </w:rPr>
        <w:t xml:space="preserve">“软能力”</w:t>
      </w:r>
      <w:r>
        <w:rPr>
          <w:rFonts w:hint="eastAsia" w:ascii="宋体" w:hAnsi="宋体" w:eastAsia="宋体"/>
          <w:color w:val="000000"/>
          <w:sz w:val="24"/>
        </w:rPr>
        <w:t xml:space="preserve">包括组织学习能力、用户沟通能力、创新适应能力等难以量化但对绩效至关重要的组织能力。在政府数据开放领域，</w:t>
      </w:r>
      <w:r>
        <w:rPr>
          <w:rFonts w:hint="eastAsia" w:ascii="宋体" w:hAnsi="宋体" w:eastAsia="宋体"/>
          <w:color w:val="000000"/>
          <w:sz w:val="24"/>
        </w:rPr>
        <w:t xml:space="preserve">“软能力”</w:t>
      </w:r>
      <w:r>
        <w:rPr>
          <w:rFonts w:hint="eastAsia" w:ascii="宋体" w:hAnsi="宋体" w:eastAsia="宋体"/>
          <w:color w:val="000000"/>
          <w:sz w:val="24"/>
        </w:rPr>
        <w:t xml:space="preserve">往往比”硬能力”更稀缺——很多平台拥有先进的技术基础设施，但缺乏与用户沟通的能力、响应用户需求的机制和持续创新的动力。本研究在评估框架中通过”用户反馈响应速度”和”平台迭代频率”等指标，间接评估了平台的”软能力”。</w:t>
      </w:r>
    </w:p>
    <w:p>
      <w:pPr>
        <w:pStyle w:val="BodyText"/>
        <w:spacing w:line="360" w:lineRule="auto"/>
      </w:pPr>
      <w:r>
        <w:rPr>
          <w:rFonts w:hint="eastAsia" w:ascii="宋体" w:hAnsi="宋体" w:eastAsia="宋体"/>
          <w:color w:val="000000"/>
          <w:sz w:val="24"/>
        </w:rPr>
        <w:t xml:space="preserve">公共价值三角的三个维度相互依赖、动态平衡。战略目标过于宏大而运作能力不足，会导致”眼高手低”；授权环境不稳定而战略目标过于激进，会导致”孤军奋战”；运作能力强但战略目标模糊，会导致”有劲使错地方”。公共管理者的核心任务，就是在三个维度之间寻找动态平衡，持续创造公共价值。</w:t>
      </w:r>
    </w:p>
    <w:bookmarkEnd w:id="98"/>
    <w:bookmarkStart w:id="102" w:name="公共价值理论在政府数据开放中的应用"/>
    <w:p>
      <w:pPr>
        <w:pStyle w:val="Heading4"/>
        <w:spacing w:line="360" w:lineRule="auto"/>
      </w:pPr>
      <w:r>
        <w:rPr>
          <w:rFonts w:ascii="宋体" w:hAnsi="宋体" w:eastAsia="宋体"/>
          <w:color w:val="000000"/>
          <w:sz w:val="24"/>
        </w:rPr>
        <w:t xml:space="preserve">3.1.3 </w:t>
      </w:r>
      <w:r>
        <w:rPr>
          <w:rFonts w:hint="eastAsia" w:ascii="宋体" w:hAnsi="宋体" w:eastAsia="宋体"/>
          <w:color w:val="000000"/>
          <w:sz w:val="24"/>
        </w:rPr>
        <w:t xml:space="preserve">公共价值理论在政府数据开放中的应用</w:t>
      </w:r>
    </w:p>
    <w:p>
      <w:pPr>
        <w:pStyle w:val="FirstParagraph"/>
        <w:spacing w:line="360" w:lineRule="auto"/>
      </w:pPr>
      <w:r>
        <w:rPr>
          <w:rFonts w:hint="eastAsia" w:ascii="宋体" w:hAnsi="宋体" w:eastAsia="宋体"/>
          <w:color w:val="000000"/>
          <w:sz w:val="24"/>
        </w:rPr>
        <w:t xml:space="preserve">将公共价值三角框架应用于政府数据开放领域，可以构建如下的理论映射关系。</w:t>
      </w:r>
    </w:p>
    <w:p>
      <w:pPr>
        <w:pStyle w:val="BodyText"/>
        <w:spacing w:line="360" w:lineRule="auto"/>
      </w:pPr>
      <w:r>
        <w:rPr>
          <w:rFonts w:hint="eastAsia" w:ascii="宋体" w:hAnsi="宋体" w:eastAsia="宋体"/>
          <w:b/>
          <w:bCs/>
          <w:color w:val="000000"/>
          <w:sz w:val="24"/>
        </w:rPr>
        <w:t xml:space="preserve">战略目标</w:t>
      </w:r>
      <w:r>
        <w:rPr>
          <w:rFonts w:ascii="宋体" w:hAnsi="宋体" w:eastAsia="宋体"/>
          <w:b/>
          <w:bCs/>
          <w:color w:val="000000"/>
          <w:sz w:val="24"/>
        </w:rPr>
        <w:t xml:space="preserve"> ↔ </w:t>
      </w:r>
      <w:r>
        <w:rPr>
          <w:rFonts w:hint="eastAsia" w:ascii="宋体" w:hAnsi="宋体" w:eastAsia="宋体"/>
          <w:b/>
          <w:bCs/>
          <w:color w:val="000000"/>
          <w:sz w:val="24"/>
        </w:rPr>
        <w:t xml:space="preserve">利用效果维度。</w:t>
      </w:r>
      <w:r>
        <w:rPr>
          <w:rFonts w:ascii="宋体" w:hAnsi="宋体" w:eastAsia="宋体"/>
          <w:color w:val="000000"/>
          <w:sz w:val="24"/>
        </w:rPr>
        <w:t xml:space="preserve"> </w:t>
      </w:r>
      <w:r>
        <w:rPr>
          <w:rFonts w:hint="eastAsia" w:ascii="宋体" w:hAnsi="宋体" w:eastAsia="宋体"/>
          <w:color w:val="000000"/>
          <w:sz w:val="24"/>
        </w:rPr>
        <w:t xml:space="preserve">数据利用的社会经济价值是政府数据开放的终极战略目标。利用效果维度衡量数据开放是否产生了预期的效率价值、创新价值和社会价值，直接对应公共价值三角的”战略目标”顶点。这一映射关系确立了”效果导向”评估范式的理论基础——评估的核心不是”开放了多少”，而是”产生了多少价值”。</w:t>
      </w:r>
    </w:p>
    <w:p>
      <w:pPr>
        <w:pStyle w:val="BodyText"/>
        <w:spacing w:line="360" w:lineRule="auto"/>
      </w:pPr>
      <w:r>
        <w:rPr>
          <w:rFonts w:hint="eastAsia" w:ascii="宋体" w:hAnsi="宋体" w:eastAsia="宋体"/>
          <w:b/>
          <w:bCs/>
          <w:color w:val="000000"/>
          <w:sz w:val="24"/>
        </w:rPr>
        <w:t xml:space="preserve">授权环境</w:t>
      </w:r>
      <w:r>
        <w:rPr>
          <w:rFonts w:ascii="宋体" w:hAnsi="宋体" w:eastAsia="宋体"/>
          <w:b/>
          <w:bCs/>
          <w:color w:val="000000"/>
          <w:sz w:val="24"/>
        </w:rPr>
        <w:t xml:space="preserve"> ↔ </w:t>
      </w:r>
      <w:r>
        <w:rPr>
          <w:rFonts w:hint="eastAsia" w:ascii="宋体" w:hAnsi="宋体" w:eastAsia="宋体"/>
          <w:b/>
          <w:bCs/>
          <w:color w:val="000000"/>
          <w:sz w:val="24"/>
        </w:rPr>
        <w:t xml:space="preserve">供给保障维度。</w:t>
      </w:r>
      <w:r>
        <w:rPr>
          <w:rFonts w:ascii="宋体" w:hAnsi="宋体" w:eastAsia="宋体"/>
          <w:color w:val="000000"/>
          <w:sz w:val="24"/>
        </w:rPr>
        <w:t xml:space="preserve"> </w:t>
      </w:r>
      <w:r>
        <w:rPr>
          <w:rFonts w:hint="eastAsia" w:ascii="宋体" w:hAnsi="宋体" w:eastAsia="宋体"/>
          <w:color w:val="000000"/>
          <w:sz w:val="24"/>
        </w:rPr>
        <w:t xml:space="preserve">数据供给的充分性和制度保障是政府数据开放的授权基础。供给保障维度衡量平台是否拥有充足的数据资源、完善的制度规范和稳定的资源投入，对应公共价值三角的”授权环境”顶点。这一映射关系解释了为什么供给保障是绩效的组成部分而非外生的前因变量——缺乏数据资源的平台，其绩效不佳不仅是”利用效果差”的结果，更是”授权不足”的直接表现。</w:t>
      </w:r>
    </w:p>
    <w:p>
      <w:pPr>
        <w:pStyle w:val="BodyText"/>
        <w:spacing w:line="360" w:lineRule="auto"/>
      </w:pPr>
      <w:r>
        <w:rPr>
          <w:rFonts w:hint="eastAsia" w:ascii="宋体" w:hAnsi="宋体" w:eastAsia="宋体"/>
          <w:b/>
          <w:bCs/>
          <w:color w:val="000000"/>
          <w:sz w:val="24"/>
        </w:rPr>
        <w:t xml:space="preserve">运作能力</w:t>
      </w:r>
      <w:r>
        <w:rPr>
          <w:rFonts w:ascii="宋体" w:hAnsi="宋体" w:eastAsia="宋体"/>
          <w:b/>
          <w:bCs/>
          <w:color w:val="000000"/>
          <w:sz w:val="24"/>
        </w:rPr>
        <w:t xml:space="preserve"> ↔ </w:t>
      </w:r>
      <w:r>
        <w:rPr>
          <w:rFonts w:hint="eastAsia" w:ascii="宋体" w:hAnsi="宋体" w:eastAsia="宋体"/>
          <w:b/>
          <w:bCs/>
          <w:color w:val="000000"/>
          <w:sz w:val="24"/>
        </w:rPr>
        <w:t xml:space="preserve">平台服务+数据质量维度。</w:t>
      </w:r>
      <w:r>
        <w:rPr>
          <w:rFonts w:ascii="宋体" w:hAnsi="宋体" w:eastAsia="宋体"/>
          <w:color w:val="000000"/>
          <w:sz w:val="24"/>
        </w:rPr>
        <w:t xml:space="preserve"> </w:t>
      </w:r>
      <w:r>
        <w:rPr>
          <w:rFonts w:hint="eastAsia" w:ascii="宋体" w:hAnsi="宋体" w:eastAsia="宋体"/>
          <w:color w:val="000000"/>
          <w:sz w:val="24"/>
        </w:rPr>
        <w:t xml:space="preserve">平台服务能力和数据质量保障是政府数据开放的运作条件。平台服务维度衡量数据从供给到需求的转化效率（</w:t>
      </w:r>
      <w:r>
        <w:rPr>
          <w:rFonts w:hint="eastAsia" w:ascii="宋体" w:hAnsi="宋体" w:eastAsia="宋体"/>
          <w:color w:val="000000"/>
          <w:sz w:val="24"/>
        </w:rPr>
        <w:t xml:space="preserve">“数据是否好用”</w:t>
      </w:r>
      <w:r>
        <w:rPr>
          <w:rFonts w:hint="eastAsia" w:ascii="宋体" w:hAnsi="宋体" w:eastAsia="宋体"/>
          <w:color w:val="000000"/>
          <w:sz w:val="24"/>
        </w:rPr>
        <w:t xml:space="preserve">），数据质量维度衡量数据资源在技术属性上的可用性（</w:t>
      </w:r>
      <w:r>
        <w:rPr>
          <w:rFonts w:hint="eastAsia" w:ascii="宋体" w:hAnsi="宋体" w:eastAsia="宋体"/>
          <w:color w:val="000000"/>
          <w:sz w:val="24"/>
        </w:rPr>
        <w:t xml:space="preserve">“数据是否可靠”</w:t>
      </w:r>
      <w:r>
        <w:rPr>
          <w:rFonts w:hint="eastAsia" w:ascii="宋体" w:hAnsi="宋体" w:eastAsia="宋体"/>
          <w:color w:val="000000"/>
          <w:sz w:val="24"/>
        </w:rPr>
        <w:t xml:space="preserve">），二者共同对应公共价值三角的”运作能力”顶点。这一映射关系解释了为什么平台服务和数据质量是绩效的内在维度——它们是将”潜在价值”（供给保障）转化为”实现价值”（利用效果）的必要桥梁。</w:t>
      </w:r>
    </w:p>
    <w:p>
      <w:pPr>
        <w:pStyle w:val="BodyText"/>
        <w:spacing w:line="360" w:lineRule="auto"/>
      </w:pPr>
      <w:r>
        <w:rPr>
          <w:rFonts w:hint="eastAsia" w:ascii="宋体" w:hAnsi="宋体" w:eastAsia="宋体"/>
          <w:color w:val="000000"/>
          <w:sz w:val="24"/>
        </w:rPr>
        <w:t xml:space="preserve">通过上述映射，本研究将公共价值三角框架从抽象的理论概念转化为可操作的分析维度，为4E评估框架的构建提供了坚实的理论基础。同时，公共价值理论也为本研究的对策设计提供了方向指引——优化策略不应仅仅关注单一维度的提升，而应寻求三个维度之间的动态平衡和协同优化。</w:t>
      </w:r>
    </w:p>
    <w:p>
      <w:pPr>
        <w:pStyle w:val="BodyText"/>
        <w:spacing w:line="360" w:lineRule="auto"/>
      </w:pPr>
      <w:r>
        <w:rPr>
          <w:rFonts w:hint="eastAsia" w:ascii="宋体" w:hAnsi="宋体" w:eastAsia="宋体"/>
          <w:color w:val="000000"/>
          <w:sz w:val="24"/>
        </w:rPr>
        <w:t xml:space="preserve">本研究构建的4E评估指标体系包含4个一级维度、9个二级维度和24个具体指标。图3-1展示了指标体系的层级结构和逻辑关系。</w:t>
      </w:r>
    </w:p>
    <w:p>
      <w:pPr>
        <w:pStyle w:val="CaptionedFigure"/>
        <w:spacing w:line="360" w:lineRule="auto"/>
      </w:pPr>
      <w:r>
        <w:rPr>
          <w:rFonts w:ascii="宋体" w:hAnsi="宋体" w:eastAsia="宋体"/>
          <w:color w:val="000000"/>
          <w:sz w:val="24"/>
        </w:rPr>
        <w:drawing>
          <wp:inline>
            <wp:extent cx="5334000" cy="3796477"/>
            <wp:effectExtent b="0" l="0" r="0" t="0"/>
            <wp:docPr descr="图3-1 4E评估指标体系结构" title="" id="100" name="Picture"/>
            <a:graphic>
              <a:graphicData uri="http://schemas.openxmlformats.org/drawingml/2006/picture">
                <pic:pic>
                  <pic:nvPicPr>
                    <pic:cNvPr descr="static/v3_chart_46_architecture.png" id="101" name="Picture"/>
                    <pic:cNvPicPr>
                      <a:picLocks noChangeArrowheads="1" noChangeAspect="1"/>
                    </pic:cNvPicPr>
                  </pic:nvPicPr>
                  <pic:blipFill>
                    <a:blip r:embed="rId99"/>
                    <a:stretch>
                      <a:fillRect/>
                    </a:stretch>
                  </pic:blipFill>
                  <pic:spPr bwMode="auto">
                    <a:xfrm>
                      <a:off x="0" y="0"/>
                      <a:ext cx="5334000" cy="3796477"/>
                    </a:xfrm>
                    <a:prstGeom prst="rect">
                      <a:avLst/>
                    </a:prstGeom>
                    <a:noFill/>
                    <a:ln w="9525">
                      <a:noFill/>
                      <a:headEnd/>
                      <a:tailEnd/>
                    </a:ln>
                  </pic:spPr>
                </pic:pic>
              </a:graphicData>
            </a:graphic>
          </wp:inline>
        </w:drawing>
      </w:r>
    </w:p>
    <w:p>
      <w:pPr>
        <w:pStyle w:val="ImageCaption"/>
        <w:spacing w:line="360" w:lineRule="auto"/>
      </w:pPr>
      <w:r>
        <w:rPr>
          <w:rFonts w:hint="eastAsia" w:ascii="宋体" w:hAnsi="宋体" w:eastAsia="宋体"/>
          <w:color w:val="000000"/>
          <w:sz w:val="24"/>
        </w:rPr>
        <w:t xml:space="preserve">图3-1</w:t>
      </w:r>
      <w:r>
        <w:rPr>
          <w:rFonts w:ascii="宋体" w:hAnsi="宋体" w:eastAsia="宋体"/>
          <w:color w:val="000000"/>
          <w:sz w:val="24"/>
        </w:rPr>
        <w:t xml:space="preserve"> </w:t>
      </w:r>
      <w:r>
        <w:rPr>
          <w:rFonts w:hint="eastAsia" w:ascii="宋体" w:hAnsi="宋体" w:eastAsia="宋体"/>
          <w:color w:val="000000"/>
          <w:sz w:val="24"/>
        </w:rPr>
        <w:t xml:space="preserve">4E评估指标体系结构</w:t>
      </w:r>
    </w:p>
    <w:p>
      <w:pPr>
        <w:pStyle w:val="BodyText"/>
        <w:spacing w:line="360" w:lineRule="auto"/>
      </w:pPr>
      <w:r>
        <w:rPr>
          <w:rFonts w:hint="eastAsia" w:ascii="宋体" w:hAnsi="宋体" w:eastAsia="宋体"/>
          <w:b/>
          <w:bCs/>
          <w:color w:val="000000"/>
          <w:sz w:val="24"/>
        </w:rPr>
        <w:t xml:space="preserve">图3-1</w:t>
      </w:r>
      <w:r>
        <w:rPr>
          <w:rFonts w:ascii="宋体" w:hAnsi="宋体" w:eastAsia="宋体"/>
          <w:b/>
          <w:bCs/>
          <w:color w:val="000000"/>
          <w:sz w:val="24"/>
        </w:rPr>
        <w:t xml:space="preserve"> </w:t>
      </w:r>
      <w:r>
        <w:rPr>
          <w:rFonts w:hint="eastAsia" w:ascii="宋体" w:hAnsi="宋体" w:eastAsia="宋体"/>
          <w:b/>
          <w:bCs/>
          <w:color w:val="000000"/>
          <w:sz w:val="24"/>
        </w:rPr>
        <w:t xml:space="preserve">4E评估指标体系结构</w:t>
      </w:r>
    </w:p>
    <w:p>
      <w:pPr>
        <w:pStyle w:val="BodyText"/>
        <w:spacing w:line="360" w:lineRule="auto"/>
      </w:pPr>
      <w:r>
        <w:rPr>
          <w:rFonts w:hint="eastAsia" w:ascii="宋体" w:hAnsi="宋体" w:eastAsia="宋体"/>
          <w:color w:val="000000"/>
          <w:sz w:val="24"/>
        </w:rPr>
        <w:t xml:space="preserve">如图3-1所示，4E指标体系采用”目标-维度-指标”的三层架构。第一层为总目标层——</w:t>
      </w:r>
      <w:r>
        <w:rPr>
          <w:rFonts w:hint="eastAsia" w:ascii="宋体" w:hAnsi="宋体" w:eastAsia="宋体"/>
          <w:color w:val="000000"/>
          <w:sz w:val="24"/>
        </w:rPr>
        <w:t xml:space="preserve">“数据利用绩效”</w:t>
      </w:r>
      <w:r>
        <w:rPr>
          <w:rFonts w:hint="eastAsia" w:ascii="宋体" w:hAnsi="宋体" w:eastAsia="宋体"/>
          <w:color w:val="000000"/>
          <w:sz w:val="24"/>
        </w:rPr>
        <w:t xml:space="preserve">；第二层为维度层，包含供给保障（E1）、平台服务（E2）、数据质量（E3）和利用效果（E4）四个一级维度；第三层为指标层，每个一级维度下设2-3个二级维度，每个二级维度下设2-4个具体测量指标。</w:t>
      </w:r>
    </w:p>
    <w:p>
      <w:pPr>
        <w:pStyle w:val="BodyText"/>
        <w:spacing w:line="360" w:lineRule="auto"/>
      </w:pPr>
      <w:r>
        <w:rPr>
          <w:rFonts w:hint="eastAsia" w:ascii="宋体" w:hAnsi="宋体" w:eastAsia="宋体"/>
          <w:color w:val="000000"/>
          <w:sz w:val="24"/>
        </w:rPr>
        <w:t xml:space="preserve">公共价值理论还为本研究提供了”价值共创”的视角。传统的公共价值理论将公共管理者视为价值的主要创造者，公众被视为价值的接受者。但在政府数据开放领域，价值的共创特征尤为明显——政府提供数据资源，企业开发数据应用，研究机构开展数据分析，公众参与数据众包——多元主体共同参与了数据价值的创造过程。这一”价值共创”特征对评估的启示在于：评估不应仅从政府的视角进行，还应考虑其他价值共创主体的体验和收益。例如，评估”利用效果”时，不仅要统计”应用数量”，还应分析”应用的类型和受益者”——一个仅服务于大企业的高附加值应用，与一个服务于普通公众的便民应用，在公共价值创造上具有不同的意义。</w:t>
      </w:r>
    </w:p>
    <w:bookmarkEnd w:id="102"/>
    <w:bookmarkEnd w:id="103"/>
    <w:bookmarkStart w:id="107" w:name="数据要素价值化理论"/>
    <w:p>
      <w:pPr>
        <w:pStyle w:val="Heading3"/>
        <w:spacing w:line="360" w:lineRule="auto"/>
      </w:pPr>
      <w:r>
        <w:rPr>
          <w:rFonts w:ascii="黑体" w:hAnsi="黑体" w:eastAsia="黑体"/>
          <w:b/>
          <w:color w:val="000000"/>
          <w:sz w:val="24"/>
        </w:rPr>
        <w:t xml:space="preserve">3.2 </w:t>
      </w:r>
      <w:r>
        <w:rPr>
          <w:rFonts w:hint="eastAsia" w:ascii="黑体" w:hAnsi="黑体" w:eastAsia="黑体"/>
          <w:b/>
          <w:color w:val="000000"/>
          <w:sz w:val="24"/>
        </w:rPr>
        <w:t xml:space="preserve">数据要素价值化理论</w:t>
      </w:r>
    </w:p>
    <w:bookmarkStart w:id="104" w:name="数据作为生产要素的理论基础"/>
    <w:p>
      <w:pPr>
        <w:pStyle w:val="Heading4"/>
        <w:spacing w:line="360" w:lineRule="auto"/>
      </w:pPr>
      <w:r>
        <w:rPr>
          <w:rFonts w:ascii="宋体" w:hAnsi="宋体" w:eastAsia="宋体"/>
          <w:color w:val="000000"/>
          <w:sz w:val="24"/>
        </w:rPr>
        <w:t xml:space="preserve">3.2.1 </w:t>
      </w:r>
      <w:r>
        <w:rPr>
          <w:rFonts w:hint="eastAsia" w:ascii="宋体" w:hAnsi="宋体" w:eastAsia="宋体"/>
          <w:color w:val="000000"/>
          <w:sz w:val="24"/>
        </w:rPr>
        <w:t xml:space="preserve">数据作为生产要素的理论基础</w:t>
      </w:r>
    </w:p>
    <w:p>
      <w:pPr>
        <w:pStyle w:val="FirstParagraph"/>
        <w:spacing w:line="360" w:lineRule="auto"/>
      </w:pPr>
      <w:r>
        <w:rPr>
          <w:rFonts w:hint="eastAsia" w:ascii="宋体" w:hAnsi="宋体" w:eastAsia="宋体"/>
          <w:color w:val="000000"/>
          <w:sz w:val="24"/>
        </w:rPr>
        <w:t xml:space="preserve">数据要素价值化理论是理解政府数据开放绩效的理论基础。2020年，中共中央、国务院《关于构建更加完善的要素市场化配置体制机制的意见》首次将数据列为与土地、劳动力、资本、技术并列的第五大生产要素，标志着数据从”信息资源”向”生产要素”的战略跃升。2022年”数据二十条”进一步提出了”数据资源持有权、数据加工使用权、数据产品经营权”三权分置的产权运行机制，为数据要素的市场化配置提供了制度框架。</w:t>
      </w:r>
    </w:p>
    <w:p>
      <w:pPr>
        <w:pStyle w:val="BodyText"/>
        <w:spacing w:line="360" w:lineRule="auto"/>
      </w:pPr>
      <w:r>
        <w:rPr>
          <w:rFonts w:hint="eastAsia" w:ascii="宋体" w:hAnsi="宋体" w:eastAsia="宋体"/>
          <w:color w:val="000000"/>
          <w:sz w:val="24"/>
        </w:rPr>
        <w:t xml:space="preserve">数据作为生产要素具有四个独特特征，这些特征决定了数据价值化的特殊规律。第一，非竞争性（non-rivalry）——数据可以被多个主体同时使用而不会损耗，这与土地、劳动力等传统要素的排他性使用形成鲜明对比。非竞争性意味着数据的价值可以通过分享和复用而倍增，一个数据集被100个用户利用所产生的价值远大于被1个用户利用的100倍。第二，部分排他性（partial</w:t>
      </w:r>
      <w:r>
        <w:rPr>
          <w:rFonts w:ascii="宋体" w:hAnsi="宋体" w:eastAsia="宋体"/>
          <w:color w:val="000000"/>
          <w:sz w:val="24"/>
        </w:rPr>
        <w:t xml:space="preserve"> </w:t>
      </w:r>
      <w:r>
        <w:rPr>
          <w:rFonts w:hint="eastAsia" w:ascii="宋体" w:hAnsi="宋体" w:eastAsia="宋体"/>
          <w:color w:val="000000"/>
          <w:sz w:val="24"/>
        </w:rPr>
        <w:t xml:space="preserve">excludability）——数据的排他性取决于技术手段和制度安排，政府可以通过开放许可实现数据的非排他性供给，也可以通过授权运营实现数据的有限排他性供给。第三，网络效应（network</w:t>
      </w:r>
      <w:r>
        <w:rPr>
          <w:rFonts w:ascii="宋体" w:hAnsi="宋体" w:eastAsia="宋体"/>
          <w:color w:val="000000"/>
          <w:sz w:val="24"/>
        </w:rPr>
        <w:t xml:space="preserve"> </w:t>
      </w:r>
      <w:r>
        <w:rPr>
          <w:rFonts w:hint="eastAsia" w:ascii="宋体" w:hAnsi="宋体" w:eastAsia="宋体"/>
          <w:color w:val="000000"/>
          <w:sz w:val="24"/>
        </w:rPr>
        <w:t xml:space="preserve">effects）——数据的价值随着使用主体的增加而增加，更多的用户利用数据会产生更多的应用成果，更多的应用成果会吸引更多的用户，形成正反馈循环。第四，价值不确定性（value</w:t>
      </w:r>
      <w:r>
        <w:rPr>
          <w:rFonts w:ascii="宋体" w:hAnsi="宋体" w:eastAsia="宋体"/>
          <w:color w:val="000000"/>
          <w:sz w:val="24"/>
        </w:rPr>
        <w:t xml:space="preserve"> </w:t>
      </w:r>
      <w:r>
        <w:rPr>
          <w:rFonts w:hint="eastAsia" w:ascii="宋体" w:hAnsi="宋体" w:eastAsia="宋体"/>
          <w:color w:val="000000"/>
          <w:sz w:val="24"/>
        </w:rPr>
        <w:t xml:space="preserve">uncertainty）——数据的价值取决于使用场景和分析能力，同一数据集在不同场景下可能产生截然不同的价值。</w:t>
      </w:r>
    </w:p>
    <w:p>
      <w:pPr>
        <w:pStyle w:val="BodyText"/>
        <w:spacing w:line="360" w:lineRule="auto"/>
      </w:pPr>
      <w:r>
        <w:rPr>
          <w:rFonts w:hint="eastAsia" w:ascii="宋体" w:hAnsi="宋体" w:eastAsia="宋体"/>
          <w:color w:val="000000"/>
          <w:sz w:val="24"/>
        </w:rPr>
        <w:t xml:space="preserve">数据要素化配置的核心理念是：数据的价值不在于”拥有”，而在于”利用”。传统的数据管理思维以”数据安全”和”数据保密”为核心，倾向于将数据封闭在政府部门内部；数据要素化思维则以”数据流通”和”价值释放”为核心，倾向于在保障安全的前提下最大化数据的利用效率。政府数据开放正是数据要素化配置在公共部门的具体实践——通过将政府拥有的数据资源向社会开放，实现数据价值的最大化释放。</w:t>
      </w:r>
    </w:p>
    <w:p>
      <w:pPr>
        <w:pStyle w:val="BodyText"/>
        <w:spacing w:line="360" w:lineRule="auto"/>
      </w:pPr>
      <w:r>
        <w:rPr>
          <w:rFonts w:hint="eastAsia" w:ascii="宋体" w:hAnsi="宋体" w:eastAsia="宋体"/>
          <w:color w:val="000000"/>
          <w:sz w:val="24"/>
        </w:rPr>
        <w:t xml:space="preserve">在数据要素理论的发展中，多位学者对数据产权、数据定价和数据流通等核心问题进行了深入研究。数据产权是数据要素化配置的制度基础——没有清晰的产权界定，数据的流通和交易就无法进行。</w:t>
      </w:r>
      <w:r>
        <w:rPr>
          <w:rFonts w:hint="eastAsia" w:ascii="宋体" w:hAnsi="宋体" w:eastAsia="宋体"/>
          <w:color w:val="000000"/>
          <w:sz w:val="24"/>
        </w:rPr>
        <w:t xml:space="preserve">“数据二十条”</w:t>
      </w:r>
      <w:r>
        <w:rPr>
          <w:rFonts w:hint="eastAsia" w:ascii="宋体" w:hAnsi="宋体" w:eastAsia="宋体"/>
          <w:color w:val="000000"/>
          <w:sz w:val="24"/>
        </w:rPr>
        <w:t xml:space="preserve">提出的”三权分置”方案，是对传统产权理论的创新——数据不像土地那样可以实行单一的所有权，数据的产权需要分解为”持有权”</w:t>
      </w:r>
      <w:r>
        <w:rPr>
          <w:rFonts w:hint="eastAsia" w:ascii="宋体" w:hAnsi="宋体" w:eastAsia="宋体"/>
          <w:color w:val="000000"/>
          <w:sz w:val="24"/>
        </w:rPr>
        <w:t xml:space="preserve">“使用权”</w:t>
      </w:r>
      <w:r>
        <w:rPr>
          <w:rFonts w:hint="eastAsia" w:ascii="宋体" w:hAnsi="宋体" w:eastAsia="宋体"/>
          <w:color w:val="000000"/>
          <w:sz w:val="24"/>
        </w:rPr>
        <w:t xml:space="preserve">和”经营权”三个相互关联的权利束。这种”权利分解”方案既保障了数据安全（持有权仍在政府手中），又促进了数据流通（使用权可以授权给社会主体），还实现了价值回报（经营权可以产生收益）。</w:t>
      </w:r>
    </w:p>
    <w:bookmarkEnd w:id="104"/>
    <w:bookmarkStart w:id="105" w:name="数据要素化的价值链模型"/>
    <w:p>
      <w:pPr>
        <w:pStyle w:val="Heading4"/>
        <w:spacing w:line="360" w:lineRule="auto"/>
      </w:pPr>
      <w:r>
        <w:rPr>
          <w:rFonts w:ascii="宋体" w:hAnsi="宋体" w:eastAsia="宋体"/>
          <w:color w:val="000000"/>
          <w:sz w:val="24"/>
        </w:rPr>
        <w:t xml:space="preserve">3.2.2 </w:t>
      </w:r>
      <w:r>
        <w:rPr>
          <w:rFonts w:hint="eastAsia" w:ascii="宋体" w:hAnsi="宋体" w:eastAsia="宋体"/>
          <w:color w:val="000000"/>
          <w:sz w:val="24"/>
        </w:rPr>
        <w:t xml:space="preserve">数据要素化的价值链模型</w:t>
      </w:r>
    </w:p>
    <w:p>
      <w:pPr>
        <w:pStyle w:val="FirstParagraph"/>
        <w:spacing w:line="360" w:lineRule="auto"/>
      </w:pPr>
      <w:r>
        <w:rPr>
          <w:rFonts w:hint="eastAsia" w:ascii="宋体" w:hAnsi="宋体" w:eastAsia="宋体"/>
          <w:color w:val="000000"/>
          <w:sz w:val="24"/>
        </w:rPr>
        <w:t xml:space="preserve">数据要素价值化的过程可以抽象为一个价值链模型，包括数据资源化、数据资产化、数据资本化三个递进阶段。</w:t>
      </w:r>
    </w:p>
    <w:p>
      <w:pPr>
        <w:pStyle w:val="BodyText"/>
        <w:spacing w:line="360" w:lineRule="auto"/>
      </w:pPr>
      <w:r>
        <w:rPr>
          <w:rFonts w:hint="eastAsia" w:ascii="宋体" w:hAnsi="宋体" w:eastAsia="宋体"/>
          <w:b/>
          <w:bCs/>
          <w:color w:val="000000"/>
          <w:sz w:val="24"/>
        </w:rPr>
        <w:t xml:space="preserve">数据资源化</w:t>
      </w:r>
      <w:r>
        <w:rPr>
          <w:rFonts w:hint="eastAsia" w:ascii="宋体" w:hAnsi="宋体" w:eastAsia="宋体"/>
          <w:color w:val="000000"/>
          <w:sz w:val="24"/>
        </w:rPr>
        <w:t xml:space="preserve">是价值化的起点，指将原始、离散的数据通过采集、清洗、整合等处理，转化为可管理、可利用的数据资源。在政府数据开放领域，数据资源化对应供给保障维度——政府部门将履职过程中产生和采集的原始数据，通过标准化处理、元数据标注、质量审查等工序，转化为可供开放利用的数据集。数据资源化的关键指标包括数据集数量、主题覆盖广度、更新频率等。然而，数据资源化只是价值化的第一步——如果数据仅被”资源化了”但未被”利用了”，那么价值化过程就停留在起点。</w:t>
      </w:r>
    </w:p>
    <w:p>
      <w:pPr>
        <w:pStyle w:val="BodyText"/>
        <w:spacing w:line="360" w:lineRule="auto"/>
      </w:pPr>
      <w:r>
        <w:rPr>
          <w:rFonts w:hint="eastAsia" w:ascii="宋体" w:hAnsi="宋体" w:eastAsia="宋体"/>
          <w:color w:val="000000"/>
          <w:sz w:val="24"/>
        </w:rPr>
        <w:t xml:space="preserve">数据资源化的过程涉及多个技术环节。首先是数据采集——政府部门在履行职能过程中产生大量数据，这些数据分散在不同的业务系统中，需要通过数据采集技术将其汇聚到统一的数据平台。其次是数据清洗——原始数据通常存在缺失值、异常值、重复记录等质量问题，需要通过数据清洗技术提升数据质量。再次是数据整合——不同部门的数据可能使用不同的编码规则和字段命名，需要通过数据整合技术实现数据的标准化和一致性。最后是元数据标注——为每个数据集添加标题、描述、关键词、更新日期等元数据信息，便于用户检索和理解数据。这些技术环节的综合效果决定了数据资源化的质量和效率。</w:t>
      </w:r>
    </w:p>
    <w:p>
      <w:pPr>
        <w:pStyle w:val="BodyText"/>
        <w:spacing w:line="360" w:lineRule="auto"/>
      </w:pPr>
      <w:r>
        <w:rPr>
          <w:rFonts w:hint="eastAsia" w:ascii="宋体" w:hAnsi="宋体" w:eastAsia="宋体"/>
          <w:b/>
          <w:bCs/>
          <w:color w:val="000000"/>
          <w:sz w:val="24"/>
        </w:rPr>
        <w:t xml:space="preserve">数据资产化</w:t>
      </w:r>
      <w:r>
        <w:rPr>
          <w:rFonts w:hint="eastAsia" w:ascii="宋体" w:hAnsi="宋体" w:eastAsia="宋体"/>
          <w:color w:val="000000"/>
          <w:sz w:val="24"/>
        </w:rPr>
        <w:t xml:space="preserve">是价值化的深化，指将数据资源通过确权、定价、流通等机制，转化为可交易、可收益的数据资产。在政府数据开放领域，数据资产化对应平台服务和数据质量维度——通过提供高质量的API接口、完善的数据文档、便捷的用户服务，降低数据利用的摩擦成本，提升数据的可交易性和可利用性。数据资产化的关键指标包括API开放度、数据格式标准化程度、元数据完整性等。数据资产化是连接”资源”和”价值”的关键环节——如果数据虽然”资源丰富”但”利用困难”（格式不标准、接口不可用、文档不完整），那么数据就无法实现资产化，价值化过程就会中断。</w:t>
      </w:r>
    </w:p>
    <w:p>
      <w:pPr>
        <w:pStyle w:val="BodyText"/>
        <w:spacing w:line="360" w:lineRule="auto"/>
      </w:pPr>
      <w:r>
        <w:rPr>
          <w:rFonts w:hint="eastAsia" w:ascii="宋体" w:hAnsi="宋体" w:eastAsia="宋体"/>
          <w:color w:val="000000"/>
          <w:sz w:val="24"/>
        </w:rPr>
        <w:t xml:space="preserve">数据资产化的核心挑战是”数据定价”。由于数据的价值具有不确定性（同一数据在不同场景下价值不同），传统的成本加成定价法难以准确反映数据的真实价值。学术界提出了多种数据定价方法：基于效用的定价（根据数据对用户的效用来定价）、基于市场的定价（根据供需关系来定价）、基于拍卖的定价（通过竞拍机制发现价格）等。在政府数据开放领域，直接开放的数据通常是免费的（遵循开放数据的无偿性原则），但授权运营的数据需要进行定价——定价的合理性直接影响授权运营的可持续性和社会接受度。本研究在”利用效果”维度中设置了”授权运营收入”指标，间接评估了数据资产化的经济成效。</w:t>
      </w:r>
    </w:p>
    <w:p>
      <w:pPr>
        <w:pStyle w:val="BodyText"/>
        <w:spacing w:line="360" w:lineRule="auto"/>
      </w:pPr>
      <w:r>
        <w:rPr>
          <w:rFonts w:hint="eastAsia" w:ascii="宋体" w:hAnsi="宋体" w:eastAsia="宋体"/>
          <w:b/>
          <w:bCs/>
          <w:color w:val="000000"/>
          <w:sz w:val="24"/>
        </w:rPr>
        <w:t xml:space="preserve">数据资本化</w:t>
      </w:r>
      <w:r>
        <w:rPr>
          <w:rFonts w:hint="eastAsia" w:ascii="宋体" w:hAnsi="宋体" w:eastAsia="宋体"/>
          <w:color w:val="000000"/>
          <w:sz w:val="24"/>
        </w:rPr>
        <w:t xml:space="preserve">是价值化的高级形态，指将数据资产通过投资、运营、创新等活动，转化为可产生持续收益的数据资本。在政府数据开放领域，数据资本化对应利用效果维度——通过数据应用开发、商业创新、决策支持等方式，将数据转化为实际的社会经济价值。数据资本化的关键指标包括应用成果数量、经济价值创造、社会价值实现等。数据资本化是价值化的终点——只有当数据被实际利用并产生价值时，数据要素化的全过程才算完成。</w:t>
      </w:r>
    </w:p>
    <w:p>
      <w:pPr>
        <w:pStyle w:val="BodyText"/>
        <w:spacing w:line="360" w:lineRule="auto"/>
      </w:pPr>
      <w:r>
        <w:rPr>
          <w:rFonts w:hint="eastAsia" w:ascii="宋体" w:hAnsi="宋体" w:eastAsia="宋体"/>
          <w:color w:val="000000"/>
          <w:sz w:val="24"/>
        </w:rPr>
        <w:t xml:space="preserve">数据资本化的实现路径包括直接利用和间接利用两种。直接利用指用户直接从平台下载数据并进行分析使用，如研究人员下载统计数据进行学术研究、企业下载市场数据进行商业分析。间接利用指基于开放数据开发的应用产品和服务，如导航应用使用开放的地理信息数据、金融应用使用开放的企业信用数据。直接利用的价值通常难以量化（用户下载数据后做了什么，平台往往无法追踪），间接利用的价值则可以通过应用下载量、用户活跃度、经济收益等指标进行测量。本研究在”利用效果”维度中同时关注直接利用和间接利用，以全面反映数据资本化的成效。</w:t>
      </w:r>
    </w:p>
    <w:bookmarkEnd w:id="105"/>
    <w:bookmarkStart w:id="106" w:name="数据价值实现的障碍与路径"/>
    <w:p>
      <w:pPr>
        <w:pStyle w:val="Heading4"/>
        <w:spacing w:line="360" w:lineRule="auto"/>
      </w:pPr>
      <w:r>
        <w:rPr>
          <w:rFonts w:ascii="宋体" w:hAnsi="宋体" w:eastAsia="宋体"/>
          <w:color w:val="000000"/>
          <w:sz w:val="24"/>
        </w:rPr>
        <w:t xml:space="preserve">3.2.3 </w:t>
      </w:r>
      <w:r>
        <w:rPr>
          <w:rFonts w:hint="eastAsia" w:ascii="宋体" w:hAnsi="宋体" w:eastAsia="宋体"/>
          <w:color w:val="000000"/>
          <w:sz w:val="24"/>
        </w:rPr>
        <w:t xml:space="preserve">数据价值实现的障碍与路径</w:t>
      </w:r>
    </w:p>
    <w:p>
      <w:pPr>
        <w:pStyle w:val="FirstParagraph"/>
        <w:spacing w:line="360" w:lineRule="auto"/>
      </w:pPr>
      <w:r>
        <w:rPr>
          <w:rFonts w:hint="eastAsia" w:ascii="宋体" w:hAnsi="宋体" w:eastAsia="宋体"/>
          <w:color w:val="000000"/>
          <w:sz w:val="24"/>
        </w:rPr>
        <w:t xml:space="preserve">数据要素价值化的过程并非一帆风顺，存在多重障碍制约着数据价值的实现。</w:t>
      </w:r>
    </w:p>
    <w:p>
      <w:pPr>
        <w:pStyle w:val="BodyText"/>
        <w:spacing w:line="360" w:lineRule="auto"/>
      </w:pPr>
      <w:r>
        <w:rPr>
          <w:rFonts w:hint="eastAsia" w:ascii="宋体" w:hAnsi="宋体" w:eastAsia="宋体"/>
          <w:b/>
          <w:bCs/>
          <w:color w:val="000000"/>
          <w:sz w:val="24"/>
        </w:rPr>
        <w:t xml:space="preserve">障碍一：数据质量瓶颈。</w:t>
      </w:r>
      <w:r>
        <w:rPr>
          <w:rFonts w:ascii="宋体" w:hAnsi="宋体" w:eastAsia="宋体"/>
          <w:color w:val="000000"/>
          <w:sz w:val="24"/>
        </w:rPr>
        <w:t xml:space="preserve"> </w:t>
      </w:r>
      <w:r>
        <w:rPr>
          <w:rFonts w:hint="eastAsia" w:ascii="宋体" w:hAnsi="宋体" w:eastAsia="宋体"/>
          <w:color w:val="000000"/>
          <w:sz w:val="24"/>
        </w:rPr>
        <w:t xml:space="preserve">低质量的数据不仅无法产生有效利用，还可能导致错误的分析结论。数据质量瓶颈包括：准确性问题（数据包含错误）、完整性问题（数据缺失关键字段）、及时性问题（数据更新滞后）、一致性问题（不同来源的数据相互矛盾）、机器可读性问题（数据以非结构化格式发布）。本研究对28个平台的调研发现，约35%的数据集存在不同程度的质量问题，这是制约数据利用的首要障碍。</w:t>
      </w:r>
    </w:p>
    <w:p>
      <w:pPr>
        <w:pStyle w:val="BodyText"/>
        <w:spacing w:line="360" w:lineRule="auto"/>
      </w:pPr>
      <w:r>
        <w:rPr>
          <w:rFonts w:hint="eastAsia" w:ascii="宋体" w:hAnsi="宋体" w:eastAsia="宋体"/>
          <w:color w:val="000000"/>
          <w:sz w:val="24"/>
        </w:rPr>
        <w:t xml:space="preserve">数据质量问题的根源在于”数据治理”的缺失。数据治理是一个系统性的管理过程，涉及数据标准制定、数据质量监控、数据生命周期管理等多个方面。在政府部门中，数据治理通常是一个”无人负责”的领域——业务部门负责数据采集，IT部门负责系统维护，但没有人对数据的整体质量负责。这种”责任分散”的状态导致数据质量问题长期得不到解决。本研究在”组织层面”因素中设置了”数据治理能力”指标，评估政府部门是否建立了专门的数据治理机制和团队。</w:t>
      </w:r>
    </w:p>
    <w:p>
      <w:pPr>
        <w:pStyle w:val="BodyText"/>
        <w:spacing w:line="360" w:lineRule="auto"/>
      </w:pPr>
      <w:r>
        <w:rPr>
          <w:rFonts w:hint="eastAsia" w:ascii="宋体" w:hAnsi="宋体" w:eastAsia="宋体"/>
          <w:b/>
          <w:bCs/>
          <w:color w:val="000000"/>
          <w:sz w:val="24"/>
        </w:rPr>
        <w:t xml:space="preserve">障碍二：平台服务短板。</w:t>
      </w:r>
      <w:r>
        <w:rPr>
          <w:rFonts w:ascii="宋体" w:hAnsi="宋体" w:eastAsia="宋体"/>
          <w:color w:val="000000"/>
          <w:sz w:val="24"/>
        </w:rPr>
        <w:t xml:space="preserve"> </w:t>
      </w:r>
      <w:r>
        <w:rPr>
          <w:rFonts w:hint="eastAsia" w:ascii="宋体" w:hAnsi="宋体" w:eastAsia="宋体"/>
          <w:color w:val="000000"/>
          <w:sz w:val="24"/>
        </w:rPr>
        <w:t xml:space="preserve">平台服务短板包括：API开放度不足（多数平台仅支持文件下载）、检索功能不完善（用户难以找到所需数据）、用户引导缺失（新用户不知如何开始使用）、开发者支持薄弱（缺乏SDK、示例代码、技术支持）。平台服务短板增加了数据利用的”摩擦成本”——即使数据本身质量良好，用户也可能因为平台使用体验差而放弃利用。</w:t>
      </w:r>
    </w:p>
    <w:p>
      <w:pPr>
        <w:pStyle w:val="BodyText"/>
        <w:spacing w:line="360" w:lineRule="auto"/>
      </w:pPr>
      <w:r>
        <w:rPr>
          <w:rFonts w:hint="eastAsia" w:ascii="宋体" w:hAnsi="宋体" w:eastAsia="宋体"/>
          <w:color w:val="000000"/>
          <w:sz w:val="24"/>
        </w:rPr>
        <w:t xml:space="preserve">平台服务短板的根源在于”以建代管”的建设模式。很多平台在立项时获得了充足的预算用于系统开发和数据汇聚，但上线后的运营维护预算严重不足。平台建设是一次性投入，平台运营是持续性投入——如果运营预算不足，平台功能就无法持续优化，用户体验就无法持续提升，数据更新就无法持续进行。本研究在”平台服务”维度中设置了”平台迭代频率”指标，评估平台是否持续进行功能优化和用户体验改进。</w:t>
      </w:r>
    </w:p>
    <w:p>
      <w:pPr>
        <w:pStyle w:val="BodyText"/>
        <w:spacing w:line="360" w:lineRule="auto"/>
      </w:pPr>
      <w:r>
        <w:rPr>
          <w:rFonts w:hint="eastAsia" w:ascii="宋体" w:hAnsi="宋体" w:eastAsia="宋体"/>
          <w:b/>
          <w:bCs/>
          <w:color w:val="000000"/>
          <w:sz w:val="24"/>
        </w:rPr>
        <w:t xml:space="preserve">障碍三：利用生态薄弱。</w:t>
      </w:r>
      <w:r>
        <w:rPr>
          <w:rFonts w:ascii="宋体" w:hAnsi="宋体" w:eastAsia="宋体"/>
          <w:color w:val="000000"/>
          <w:sz w:val="24"/>
        </w:rPr>
        <w:t xml:space="preserve"> </w:t>
      </w:r>
      <w:r>
        <w:rPr>
          <w:rFonts w:hint="eastAsia" w:ascii="宋体" w:hAnsi="宋体" w:eastAsia="宋体"/>
          <w:color w:val="000000"/>
          <w:sz w:val="24"/>
        </w:rPr>
        <w:t xml:space="preserve">利用生态薄弱包括：数据应用数量少、开发者社区不活跃、数据需求反馈机制缺失、数据创新激励机制不足。利用生态的薄弱形成了一种”恶性循环”——数据利用少导致平台缺乏优化动力，平台缺乏优化导致数据利用更少。打破这一恶性循环的关键，在于培育数据利用生态，形成”数据供给→数据利用→价值反馈→供给优化”的正反馈循环。</w:t>
      </w:r>
    </w:p>
    <w:p>
      <w:pPr>
        <w:pStyle w:val="BodyText"/>
        <w:spacing w:line="360" w:lineRule="auto"/>
      </w:pPr>
      <w:r>
        <w:rPr>
          <w:rFonts w:hint="eastAsia" w:ascii="宋体" w:hAnsi="宋体" w:eastAsia="宋体"/>
          <w:color w:val="000000"/>
          <w:sz w:val="24"/>
        </w:rPr>
        <w:t xml:space="preserve">利用生态的培育需要”供需两侧”同时发力。供给侧，平台需要主动了解用户需求，根据用户反馈优化数据供给；需求侧，平台需要培育数据用户群体，提升用户的数据分析能力和应用开发能力。国内外的成功经验表明，数据创新大赛、开发者培训、数据应用展示等是培育利用生态的有效手段。本研究在”利用效果”维度中设置了”创新活动数量”指标，评估平台是否积极开展利用生态培育活动。</w:t>
      </w:r>
    </w:p>
    <w:p>
      <w:pPr>
        <w:pStyle w:val="BodyText"/>
        <w:spacing w:line="360" w:lineRule="auto"/>
      </w:pPr>
      <w:r>
        <w:rPr>
          <w:rFonts w:hint="eastAsia" w:ascii="宋体" w:hAnsi="宋体" w:eastAsia="宋体"/>
          <w:b/>
          <w:bCs/>
          <w:color w:val="000000"/>
          <w:sz w:val="24"/>
        </w:rPr>
        <w:t xml:space="preserve">障碍四：制度保障缺失。</w:t>
      </w:r>
      <w:r>
        <w:rPr>
          <w:rFonts w:ascii="宋体" w:hAnsi="宋体" w:eastAsia="宋体"/>
          <w:color w:val="000000"/>
          <w:sz w:val="24"/>
        </w:rPr>
        <w:t xml:space="preserve"> </w:t>
      </w:r>
      <w:r>
        <w:rPr>
          <w:rFonts w:hint="eastAsia" w:ascii="宋体" w:hAnsi="宋体" w:eastAsia="宋体"/>
          <w:color w:val="000000"/>
          <w:sz w:val="24"/>
        </w:rPr>
        <w:t xml:space="preserve">制度保障缺失包括：数据开放法规不完善、数据质量标准缺失、数据安全规范模糊、授权运营制度不健全。制度保障的缺失导致平台运营者”不敢开”</w:t>
      </w:r>
      <w:r>
        <w:rPr>
          <w:rFonts w:hint="eastAsia" w:ascii="宋体" w:hAnsi="宋体" w:eastAsia="宋体"/>
          <w:color w:val="000000"/>
          <w:sz w:val="24"/>
        </w:rPr>
        <w:t xml:space="preserve">“不会开”</w:t>
      </w:r>
      <w:r>
        <w:rPr>
          <w:rFonts w:hint="eastAsia" w:ascii="宋体" w:hAnsi="宋体" w:eastAsia="宋体"/>
          <w:color w:val="000000"/>
          <w:sz w:val="24"/>
        </w:rPr>
        <w:t xml:space="preserve">“不愿开”</w:t>
      </w:r>
      <w:r>
        <w:rPr>
          <w:rFonts w:hint="eastAsia" w:ascii="宋体" w:hAnsi="宋体" w:eastAsia="宋体"/>
          <w:color w:val="000000"/>
          <w:sz w:val="24"/>
        </w:rPr>
        <w:t xml:space="preserve">——担心数据安全责任、缺乏开放操作指南、看不到开放的激励回报。</w:t>
      </w:r>
    </w:p>
    <w:p>
      <w:pPr>
        <w:pStyle w:val="BodyText"/>
        <w:spacing w:line="360" w:lineRule="auto"/>
      </w:pPr>
      <w:r>
        <w:rPr>
          <w:rFonts w:hint="eastAsia" w:ascii="宋体" w:hAnsi="宋体" w:eastAsia="宋体"/>
          <w:color w:val="000000"/>
          <w:sz w:val="24"/>
        </w:rPr>
        <w:t xml:space="preserve">制度保障缺失的根源在于”制度滞后”。数据开放是一个快速发展的新兴领域，而制度的形成和修订是一个缓慢的过程——制度往往滞后于实践。当平台运营者面临新的数据开放场景（如敏感数据的脱敏开放、实时数据的流式开放）时，现有的制度规范可能无法提供明确的操作指引，导致运营者”不敢开”。本研究在”组织层面”因素中设置了”制度完备性”指标，评估地方政府是否建立了覆盖数据开放全流程的制度规范体系。</w:t>
      </w:r>
    </w:p>
    <w:p>
      <w:pPr>
        <w:pStyle w:val="BodyText"/>
        <w:spacing w:line="360" w:lineRule="auto"/>
      </w:pPr>
      <w:r>
        <w:rPr>
          <w:rFonts w:hint="eastAsia" w:ascii="宋体" w:hAnsi="宋体" w:eastAsia="宋体"/>
          <w:color w:val="000000"/>
          <w:sz w:val="24"/>
        </w:rPr>
        <w:t xml:space="preserve">针对上述障碍，数据价值化的路径可以概括为”四化协同”：供给规范化（提升数据质量、统一数据标准）、平台智能化（优化API服务、完善用户体验）、生态活跃化（培育开发者社区、激励数据创新）、制度完善化（健全法规政策、明确权责边界）。本研究的4E评估框架正是围绕”四化协同”路径设计的——供给保障维度评估”供给规范化”水平，平台服务维度评估”平台智能化”水平，数据质量维度评估数据质量瓶颈的缓解程度，利用效果维度评估”生态活跃化”的成果。</w:t>
      </w:r>
    </w:p>
    <w:bookmarkEnd w:id="106"/>
    <w:bookmarkEnd w:id="107"/>
    <w:bookmarkStart w:id="112" w:name="e评估框架的构建与适配"/>
    <w:p>
      <w:pPr>
        <w:pStyle w:val="Heading3"/>
        <w:spacing w:line="360" w:lineRule="auto"/>
      </w:pPr>
      <w:r>
        <w:rPr>
          <w:rFonts w:ascii="黑体" w:hAnsi="黑体" w:eastAsia="黑体"/>
          <w:b/>
          <w:color w:val="000000"/>
          <w:sz w:val="24"/>
        </w:rPr>
        <w:t xml:space="preserve">3.3 </w:t>
      </w:r>
      <w:r>
        <w:rPr>
          <w:rFonts w:hint="eastAsia" w:ascii="黑体" w:hAnsi="黑体" w:eastAsia="黑体"/>
          <w:b/>
          <w:color w:val="000000"/>
          <w:sz w:val="24"/>
        </w:rPr>
        <w:t xml:space="preserve">4E评估框架的构建与适配</w:t>
      </w:r>
    </w:p>
    <w:bookmarkStart w:id="108" w:name="e框架的起源与内涵"/>
    <w:p>
      <w:pPr>
        <w:pStyle w:val="Heading4"/>
        <w:spacing w:line="360" w:lineRule="auto"/>
      </w:pPr>
      <w:r>
        <w:rPr>
          <w:rFonts w:ascii="宋体" w:hAnsi="宋体" w:eastAsia="宋体"/>
          <w:color w:val="000000"/>
          <w:sz w:val="24"/>
        </w:rPr>
        <w:t xml:space="preserve">3.3.1 </w:t>
      </w:r>
      <w:r>
        <w:rPr>
          <w:rFonts w:hint="eastAsia" w:ascii="宋体" w:hAnsi="宋体" w:eastAsia="宋体"/>
          <w:color w:val="000000"/>
          <w:sz w:val="24"/>
        </w:rPr>
        <w:t xml:space="preserve">4E框架的起源与内涵</w:t>
      </w:r>
    </w:p>
    <w:p>
      <w:pPr>
        <w:pStyle w:val="FirstParagraph"/>
        <w:spacing w:line="360" w:lineRule="auto"/>
      </w:pPr>
      <w:r>
        <w:rPr>
          <w:rFonts w:hint="eastAsia" w:ascii="宋体" w:hAnsi="宋体" w:eastAsia="宋体"/>
          <w:color w:val="000000"/>
          <w:sz w:val="24"/>
        </w:rPr>
        <w:t xml:space="preserve">4E框架源于公共行政和公共财政领域的绩效评估实践，最初由Barney和Nair于1984年系统提出，后经Flynn、Pollitt等多位学者的发展和完善，成为公共部门绩效评估的经典框架。4E框架从经济性（Economy）、效率性（Efficiency）、有效性（Effectiveness）和公平性（Equity）四个维度对公共项目和服务进行综合评价，强调”投入-过程-产出-结果”的完整绩效链条。</w:t>
      </w:r>
    </w:p>
    <w:p>
      <w:pPr>
        <w:pStyle w:val="BodyText"/>
        <w:spacing w:line="360" w:lineRule="auto"/>
      </w:pPr>
      <w:r>
        <w:rPr>
          <w:rFonts w:hint="eastAsia" w:ascii="宋体" w:hAnsi="宋体" w:eastAsia="宋体"/>
          <w:b/>
          <w:bCs/>
          <w:color w:val="000000"/>
          <w:sz w:val="24"/>
        </w:rPr>
        <w:t xml:space="preserve">经济性（Economy）</w:t>
      </w:r>
      <w:r>
        <w:rPr>
          <w:rFonts w:hint="eastAsia" w:ascii="宋体" w:hAnsi="宋体" w:eastAsia="宋体"/>
          <w:color w:val="000000"/>
          <w:sz w:val="24"/>
        </w:rPr>
        <w:t xml:space="preserve">衡量资源获取的成本效益——是否以最低的成本获取了所需的资源？在公共财政审计中，经济性关注采购价格是否合理、资源使用是否节约。经济性评估的核心问题是”钱花得值不值”。</w:t>
      </w:r>
    </w:p>
    <w:p>
      <w:pPr>
        <w:pStyle w:val="BodyText"/>
        <w:spacing w:line="360" w:lineRule="auto"/>
      </w:pPr>
      <w:r>
        <w:rPr>
          <w:rFonts w:hint="eastAsia" w:ascii="宋体" w:hAnsi="宋体" w:eastAsia="宋体"/>
          <w:b/>
          <w:bCs/>
          <w:color w:val="000000"/>
          <w:sz w:val="24"/>
        </w:rPr>
        <w:t xml:space="preserve">效率性（Efficiency）</w:t>
      </w:r>
      <w:r>
        <w:rPr>
          <w:rFonts w:hint="eastAsia" w:ascii="宋体" w:hAnsi="宋体" w:eastAsia="宋体"/>
          <w:color w:val="000000"/>
          <w:sz w:val="24"/>
        </w:rPr>
        <w:t xml:space="preserve">衡量投入产出比——是否以最优的投入获得了最大的产出？效率性关注资源转化过程的优化程度，包括生产效率、管理效率、服务效率等。效率性评估的核心问题是”投入产出比高不高”。</w:t>
      </w:r>
    </w:p>
    <w:p>
      <w:pPr>
        <w:pStyle w:val="BodyText"/>
        <w:spacing w:line="360" w:lineRule="auto"/>
      </w:pPr>
      <w:r>
        <w:rPr>
          <w:rFonts w:hint="eastAsia" w:ascii="宋体" w:hAnsi="宋体" w:eastAsia="宋体"/>
          <w:b/>
          <w:bCs/>
          <w:color w:val="000000"/>
          <w:sz w:val="24"/>
        </w:rPr>
        <w:t xml:space="preserve">有效性（Effectiveness）</w:t>
      </w:r>
      <w:r>
        <w:rPr>
          <w:rFonts w:hint="eastAsia" w:ascii="宋体" w:hAnsi="宋体" w:eastAsia="宋体"/>
          <w:color w:val="000000"/>
          <w:sz w:val="24"/>
        </w:rPr>
        <w:t xml:space="preserve">衡量目标达成度——是否达成了预定的目标？有效性关注产出与目标之间的对应关系，不仅关注”做了什么”，更关注”做得如何”。有效性评估的核心问题是”目标达成了没有”。</w:t>
      </w:r>
    </w:p>
    <w:p>
      <w:pPr>
        <w:pStyle w:val="BodyText"/>
        <w:spacing w:line="360" w:lineRule="auto"/>
      </w:pPr>
      <w:r>
        <w:rPr>
          <w:rFonts w:hint="eastAsia" w:ascii="宋体" w:hAnsi="宋体" w:eastAsia="宋体"/>
          <w:b/>
          <w:bCs/>
          <w:color w:val="000000"/>
          <w:sz w:val="24"/>
        </w:rPr>
        <w:t xml:space="preserve">公平性（Equity）</w:t>
      </w:r>
      <w:r>
        <w:rPr>
          <w:rFonts w:hint="eastAsia" w:ascii="宋体" w:hAnsi="宋体" w:eastAsia="宋体"/>
          <w:color w:val="000000"/>
          <w:sz w:val="24"/>
        </w:rPr>
        <w:t xml:space="preserve">衡量资源分配的社会正义——公共服务的收益是否在社会成员之间公平分配？公平性关注公共服务的覆盖范围、可及性和包容性，强调”不让一个人掉队”。公平性评估的核心问题是”分配公不公平”。</w:t>
      </w:r>
    </w:p>
    <w:p>
      <w:pPr>
        <w:pStyle w:val="BodyText"/>
        <w:spacing w:line="360" w:lineRule="auto"/>
      </w:pPr>
      <w:r>
        <w:rPr>
          <w:rFonts w:hint="eastAsia" w:ascii="宋体" w:hAnsi="宋体" w:eastAsia="宋体"/>
          <w:color w:val="000000"/>
          <w:sz w:val="24"/>
        </w:rPr>
        <w:t xml:space="preserve">4E框架的哲学基础是公共价值理论——公共部门绩效不仅包括效率维度（是否以最低成本获取最大产出），还包括效果维度（是否产生了社会价值）和公平维度（价值分配是否公正）。一个”高效但不公平”或”高效果但不经济”的公共服务都不能被认为是”高绩效”的。4E框架通过四个维度的整合，提供了比单一维度更全面的绩效画像。</w:t>
      </w:r>
    </w:p>
    <w:p>
      <w:pPr>
        <w:pStyle w:val="BodyText"/>
        <w:spacing w:line="360" w:lineRule="auto"/>
      </w:pPr>
      <w:r>
        <w:rPr>
          <w:rFonts w:hint="eastAsia" w:ascii="宋体" w:hAnsi="宋体" w:eastAsia="宋体"/>
          <w:color w:val="000000"/>
          <w:sz w:val="24"/>
        </w:rPr>
        <w:t xml:space="preserve">在4E框架的发展过程中，学者们对其进行了多种扩展和修正。部分学者增加了”环境性”（Environment）维度，关注公共服务的环境可持续性；部分学者增加了”卓越性”（Excellence）维度，关注公共服务是否达到了国际最佳实践水平；还有学者提出了”适应性”（Adaptability）维度，关注公共服务应对环境变化的灵活能力。但这些扩展维度的理论基础和操作化方法尚不成熟，在学术界尚未形成共识。本研究选择经典的4E框架作为理论基础，一方面是因为4E框架经过了长期的理论检验和实践应用，理论基础扎实、操作化方法成熟；另一方面是因为4E的四个维度与政府数据开放的四个关键环节具有良好的概念对应关系。</w:t>
      </w:r>
    </w:p>
    <w:bookmarkEnd w:id="108"/>
    <w:bookmarkStart w:id="109" w:name="e框架在政府数据开放领域的概念重构"/>
    <w:p>
      <w:pPr>
        <w:pStyle w:val="Heading4"/>
        <w:spacing w:line="360" w:lineRule="auto"/>
      </w:pPr>
      <w:r>
        <w:rPr>
          <w:rFonts w:ascii="宋体" w:hAnsi="宋体" w:eastAsia="宋体"/>
          <w:color w:val="000000"/>
          <w:sz w:val="24"/>
        </w:rPr>
        <w:t xml:space="preserve">3.3.2 </w:t>
      </w:r>
      <w:r>
        <w:rPr>
          <w:rFonts w:hint="eastAsia" w:ascii="宋体" w:hAnsi="宋体" w:eastAsia="宋体"/>
          <w:color w:val="000000"/>
          <w:sz w:val="24"/>
        </w:rPr>
        <w:t xml:space="preserve">4E框架在政府数据开放领域的概念重构</w:t>
      </w:r>
    </w:p>
    <w:p>
      <w:pPr>
        <w:pStyle w:val="FirstParagraph"/>
        <w:spacing w:line="360" w:lineRule="auto"/>
      </w:pPr>
      <w:r>
        <w:rPr>
          <w:rFonts w:hint="eastAsia" w:ascii="宋体" w:hAnsi="宋体" w:eastAsia="宋体"/>
          <w:color w:val="000000"/>
          <w:sz w:val="24"/>
        </w:rPr>
        <w:t xml:space="preserve">将4E框架应用于政府数据开放领域，需要进行概念适配和语境转化。本研究对4E维度进行了如下概念重构。</w:t>
      </w:r>
    </w:p>
    <w:p>
      <w:pPr>
        <w:pStyle w:val="BodyText"/>
        <w:spacing w:line="360" w:lineRule="auto"/>
      </w:pPr>
      <w:r>
        <w:rPr>
          <w:rFonts w:hint="eastAsia" w:ascii="宋体" w:hAnsi="宋体" w:eastAsia="宋体"/>
          <w:b/>
          <w:bCs/>
          <w:color w:val="000000"/>
          <w:sz w:val="24"/>
        </w:rPr>
        <w:t xml:space="preserve">供给保障（Supply</w:t>
      </w:r>
      <w:r>
        <w:rPr>
          <w:rFonts w:ascii="宋体" w:hAnsi="宋体" w:eastAsia="宋体"/>
          <w:b/>
          <w:bCs/>
          <w:color w:val="000000"/>
          <w:sz w:val="24"/>
        </w:rPr>
        <w:t xml:space="preserve"> </w:t>
      </w:r>
      <w:r>
        <w:rPr>
          <w:rFonts w:hint="eastAsia" w:ascii="宋体" w:hAnsi="宋体" w:eastAsia="宋体"/>
          <w:b/>
          <w:bCs/>
          <w:color w:val="000000"/>
          <w:sz w:val="24"/>
        </w:rPr>
        <w:t xml:space="preserve">Security）←</w:t>
      </w:r>
      <w:r>
        <w:rPr>
          <w:rFonts w:ascii="宋体" w:hAnsi="宋体" w:eastAsia="宋体"/>
          <w:b/>
          <w:bCs/>
          <w:color w:val="000000"/>
          <w:sz w:val="24"/>
        </w:rPr>
        <w:t xml:space="preserve"> </w:t>
      </w:r>
      <w:r>
        <w:rPr>
          <w:rFonts w:hint="eastAsia" w:ascii="宋体" w:hAnsi="宋体" w:eastAsia="宋体"/>
          <w:b/>
          <w:bCs/>
          <w:color w:val="000000"/>
          <w:sz w:val="24"/>
        </w:rPr>
        <w:t xml:space="preserve">经济性（Economy）。</w:t>
      </w:r>
      <w:r>
        <w:rPr>
          <w:rFonts w:ascii="宋体" w:hAnsi="宋体" w:eastAsia="宋体"/>
          <w:color w:val="000000"/>
          <w:sz w:val="24"/>
        </w:rPr>
        <w:t xml:space="preserve"> </w:t>
      </w:r>
      <w:r>
        <w:rPr>
          <w:rFonts w:hint="eastAsia" w:ascii="宋体" w:hAnsi="宋体" w:eastAsia="宋体"/>
          <w:color w:val="000000"/>
          <w:sz w:val="24"/>
        </w:rPr>
        <w:t xml:space="preserve">在数据开放领域，</w:t>
      </w:r>
      <w:r>
        <w:rPr>
          <w:rFonts w:hint="eastAsia" w:ascii="宋体" w:hAnsi="宋体" w:eastAsia="宋体"/>
          <w:color w:val="000000"/>
          <w:sz w:val="24"/>
        </w:rPr>
        <w:t xml:space="preserve">“经济性”</w:t>
      </w:r>
      <w:r>
        <w:rPr>
          <w:rFonts w:hint="eastAsia" w:ascii="宋体" w:hAnsi="宋体" w:eastAsia="宋体"/>
          <w:color w:val="000000"/>
          <w:sz w:val="24"/>
        </w:rPr>
        <w:t xml:space="preserve">的核心问题不是”采购成本是否最低”，而是”数据供给是否充分”。供给保障衡量数据资源获取的充分性和可持续性，包括数据集数量、主题覆盖广度、更新频率、格式标准化程度等指标。一个数据集数量充足、主题覆盖全面、更新频率稳定的平台，其供给保障水平较高；反之则较低。供给保障对应价值链模型的”数据资源化”阶段，是价值化的起点。</w:t>
      </w:r>
    </w:p>
    <w:p>
      <w:pPr>
        <w:pStyle w:val="BodyText"/>
        <w:spacing w:line="360" w:lineRule="auto"/>
      </w:pPr>
      <w:r>
        <w:rPr>
          <w:rFonts w:hint="eastAsia" w:ascii="宋体" w:hAnsi="宋体" w:eastAsia="宋体"/>
          <w:color w:val="000000"/>
          <w:sz w:val="24"/>
        </w:rPr>
        <w:t xml:space="preserve">供给保障的评估需要区分”数量”和”质量”两个层面。数量层面关注数据集的总数、主题覆盖的广度、更新频率的稳定性；质量层面关注数据集的准确性、完整性、一致性和机器可读性。数量层面的评估相对简单——可以通过自动化采集获取数据；质量层面的评估则较为复杂——需要对数据集进行抽样检查和内容分析。本研究在”供给保障”维度中同时关注数量和质量，但设置了不同的评估方法和权重。</w:t>
      </w:r>
    </w:p>
    <w:p>
      <w:pPr>
        <w:pStyle w:val="BodyText"/>
        <w:spacing w:line="360" w:lineRule="auto"/>
      </w:pPr>
      <w:r>
        <w:rPr>
          <w:rFonts w:hint="eastAsia" w:ascii="宋体" w:hAnsi="宋体" w:eastAsia="宋体"/>
          <w:b/>
          <w:bCs/>
          <w:color w:val="000000"/>
          <w:sz w:val="24"/>
        </w:rPr>
        <w:t xml:space="preserve">平台服务（Platform</w:t>
      </w:r>
      <w:r>
        <w:rPr>
          <w:rFonts w:ascii="宋体" w:hAnsi="宋体" w:eastAsia="宋体"/>
          <w:b/>
          <w:bCs/>
          <w:color w:val="000000"/>
          <w:sz w:val="24"/>
        </w:rPr>
        <w:t xml:space="preserve"> </w:t>
      </w:r>
      <w:r>
        <w:rPr>
          <w:rFonts w:hint="eastAsia" w:ascii="宋体" w:hAnsi="宋体" w:eastAsia="宋体"/>
          <w:b/>
          <w:bCs/>
          <w:color w:val="000000"/>
          <w:sz w:val="24"/>
        </w:rPr>
        <w:t xml:space="preserve">Service）←</w:t>
      </w:r>
      <w:r>
        <w:rPr>
          <w:rFonts w:ascii="宋体" w:hAnsi="宋体" w:eastAsia="宋体"/>
          <w:b/>
          <w:bCs/>
          <w:color w:val="000000"/>
          <w:sz w:val="24"/>
        </w:rPr>
        <w:t xml:space="preserve"> </w:t>
      </w:r>
      <w:r>
        <w:rPr>
          <w:rFonts w:hint="eastAsia" w:ascii="宋体" w:hAnsi="宋体" w:eastAsia="宋体"/>
          <w:b/>
          <w:bCs/>
          <w:color w:val="000000"/>
          <w:sz w:val="24"/>
        </w:rPr>
        <w:t xml:space="preserve">效率性（Efficiency）。</w:t>
      </w:r>
      <w:r>
        <w:rPr>
          <w:rFonts w:ascii="宋体" w:hAnsi="宋体" w:eastAsia="宋体"/>
          <w:color w:val="000000"/>
          <w:sz w:val="24"/>
        </w:rPr>
        <w:t xml:space="preserve"> </w:t>
      </w:r>
      <w:r>
        <w:rPr>
          <w:rFonts w:hint="eastAsia" w:ascii="宋体" w:hAnsi="宋体" w:eastAsia="宋体"/>
          <w:color w:val="000000"/>
          <w:sz w:val="24"/>
        </w:rPr>
        <w:t xml:space="preserve">在数据开放领域，</w:t>
      </w:r>
      <w:r>
        <w:rPr>
          <w:rFonts w:hint="eastAsia" w:ascii="宋体" w:hAnsi="宋体" w:eastAsia="宋体"/>
          <w:color w:val="000000"/>
          <w:sz w:val="24"/>
        </w:rPr>
        <w:t xml:space="preserve">“效率性”</w:t>
      </w:r>
      <w:r>
        <w:rPr>
          <w:rFonts w:hint="eastAsia" w:ascii="宋体" w:hAnsi="宋体" w:eastAsia="宋体"/>
          <w:color w:val="000000"/>
          <w:sz w:val="24"/>
        </w:rPr>
        <w:t xml:space="preserve">的核心问题不是”投入产出比是否最优”，而是”数据从供给到需求的转化效率是否最高”。平台服务衡量平台降低数据利用摩擦成本的能力，包括API开放度、检索功能、数据预览、用户引导、开发者支持等指标。一个API完善、检索便捷、用户友好的平台，其平台服务水平较高；反之则较低。平台服务对应价值链模型的”数据资产化”阶段，是连接”资源”和”价值”的桥梁。</w:t>
      </w:r>
    </w:p>
    <w:p>
      <w:pPr>
        <w:pStyle w:val="BodyText"/>
        <w:spacing w:line="360" w:lineRule="auto"/>
      </w:pPr>
      <w:r>
        <w:rPr>
          <w:rFonts w:hint="eastAsia" w:ascii="宋体" w:hAnsi="宋体" w:eastAsia="宋体"/>
          <w:color w:val="000000"/>
          <w:sz w:val="24"/>
        </w:rPr>
        <w:t xml:space="preserve">平台服务的评估需要关注”功能完备性”和”用户体验”两个层面。功能完备性关注平台是否提供了数据开放所需的全部功能模块（检索、预览、下载、API、可视化、反馈等）；用户体验关注这些功能是否易于使用、响应是否迅速、界面是否友好。功能完备性可以通过功能清单进行客观评估；用户体验则需要通过用户测试或满意度调查进行主观评估。本研究在”平台服务”维度中主要关注功能完备性（因用户体验数据难以大规模获取），但通过”平台迭代频率”指标间接反映了平台对用户体验的重视程度。</w:t>
      </w:r>
    </w:p>
    <w:p>
      <w:pPr>
        <w:pStyle w:val="BodyText"/>
        <w:spacing w:line="360" w:lineRule="auto"/>
      </w:pPr>
      <w:r>
        <w:rPr>
          <w:rFonts w:hint="eastAsia" w:ascii="宋体" w:hAnsi="宋体" w:eastAsia="宋体"/>
          <w:b/>
          <w:bCs/>
          <w:color w:val="000000"/>
          <w:sz w:val="24"/>
        </w:rPr>
        <w:t xml:space="preserve">数据质量（Data</w:t>
      </w:r>
      <w:r>
        <w:rPr>
          <w:rFonts w:ascii="宋体" w:hAnsi="宋体" w:eastAsia="宋体"/>
          <w:b/>
          <w:bCs/>
          <w:color w:val="000000"/>
          <w:sz w:val="24"/>
        </w:rPr>
        <w:t xml:space="preserve"> </w:t>
      </w:r>
      <w:r>
        <w:rPr>
          <w:rFonts w:hint="eastAsia" w:ascii="宋体" w:hAnsi="宋体" w:eastAsia="宋体"/>
          <w:b/>
          <w:bCs/>
          <w:color w:val="000000"/>
          <w:sz w:val="24"/>
        </w:rPr>
        <w:t xml:space="preserve">Quality）←</w:t>
      </w:r>
      <w:r>
        <w:rPr>
          <w:rFonts w:ascii="宋体" w:hAnsi="宋体" w:eastAsia="宋体"/>
          <w:b/>
          <w:bCs/>
          <w:color w:val="000000"/>
          <w:sz w:val="24"/>
        </w:rPr>
        <w:t xml:space="preserve"> </w:t>
      </w:r>
      <w:r>
        <w:rPr>
          <w:rFonts w:hint="eastAsia" w:ascii="宋体" w:hAnsi="宋体" w:eastAsia="宋体"/>
          <w:b/>
          <w:bCs/>
          <w:color w:val="000000"/>
          <w:sz w:val="24"/>
        </w:rPr>
        <w:t xml:space="preserve">质量性（Quality，4E扩展）。</w:t>
      </w:r>
      <w:r>
        <w:rPr>
          <w:rFonts w:ascii="宋体" w:hAnsi="宋体" w:eastAsia="宋体"/>
          <w:color w:val="000000"/>
          <w:sz w:val="24"/>
        </w:rPr>
        <w:t xml:space="preserve"> </w:t>
      </w:r>
      <w:r>
        <w:rPr>
          <w:rFonts w:hint="eastAsia" w:ascii="宋体" w:hAnsi="宋体" w:eastAsia="宋体"/>
          <w:color w:val="000000"/>
          <w:sz w:val="24"/>
        </w:rPr>
        <w:t xml:space="preserve">传统的4E框架中没有独立的”质量”维度——质量被隐含在经济性和效率性之中。但在数据开放领域，数据质量是一个独立且关键的维度，因为它直接决定了数据能否被有效利用。数据质量衡量数据资源在技术属性上的可用性，包括准确性、完整性、及时性、一致性、机器可读性等指标。一个数据准确、完整、及时、一致、可机读的平台，其数据质量水平较高；反之则较低。数据质量对应价值链模型中”数据资产化”阶段的质量保障环节。</w:t>
      </w:r>
    </w:p>
    <w:p>
      <w:pPr>
        <w:pStyle w:val="BodyText"/>
        <w:spacing w:line="360" w:lineRule="auto"/>
      </w:pPr>
      <w:r>
        <w:rPr>
          <w:rFonts w:hint="eastAsia" w:ascii="宋体" w:hAnsi="宋体" w:eastAsia="宋体"/>
          <w:color w:val="000000"/>
          <w:sz w:val="24"/>
        </w:rPr>
        <w:t xml:space="preserve">需要特别说明的是，Quality维度的引入不是对4E框架的偏离，而是对4E框架的深化。在传统的公共财政审计中，</w:t>
      </w:r>
      <w:r>
        <w:rPr>
          <w:rFonts w:hint="eastAsia" w:ascii="宋体" w:hAnsi="宋体" w:eastAsia="宋体"/>
          <w:color w:val="000000"/>
          <w:sz w:val="24"/>
        </w:rPr>
        <w:t xml:space="preserve">“质量”</w:t>
      </w:r>
      <w:r>
        <w:rPr>
          <w:rFonts w:hint="eastAsia" w:ascii="宋体" w:hAnsi="宋体" w:eastAsia="宋体"/>
          <w:color w:val="000000"/>
          <w:sz w:val="24"/>
        </w:rPr>
        <w:t xml:space="preserve">被隐含在”效率”和”效果”之中——如果服务质量差，效率再高、效果再好也是虚假的。但在数据开放领域，数据质量具有相对独立性——一个平台可能拥有高效的服务（API响应快、检索速度快），但数据本身质量低劣（包含错误、缺失字段），这种情况下”效率”和”质量”需要分别评估。因此，本研究将Quality作为独立的评估维度，形成4E+Quality的五维框架，但考虑到学术惯例和表述简洁性，仍沿用”4E”的称谓（其中第二个E扩展为Efficiency+Quality的双重内涵）。</w:t>
      </w:r>
    </w:p>
    <w:p>
      <w:pPr>
        <w:pStyle w:val="BodyText"/>
        <w:spacing w:line="360" w:lineRule="auto"/>
      </w:pPr>
      <w:r>
        <w:rPr>
          <w:rFonts w:hint="eastAsia" w:ascii="宋体" w:hAnsi="宋体" w:eastAsia="宋体"/>
          <w:b/>
          <w:bCs/>
          <w:color w:val="000000"/>
          <w:sz w:val="24"/>
        </w:rPr>
        <w:t xml:space="preserve">利用效果（Utilization</w:t>
      </w:r>
      <w:r>
        <w:rPr>
          <w:rFonts w:ascii="宋体" w:hAnsi="宋体" w:eastAsia="宋体"/>
          <w:b/>
          <w:bCs/>
          <w:color w:val="000000"/>
          <w:sz w:val="24"/>
        </w:rPr>
        <w:t xml:space="preserve"> </w:t>
      </w:r>
      <w:r>
        <w:rPr>
          <w:rFonts w:hint="eastAsia" w:ascii="宋体" w:hAnsi="宋体" w:eastAsia="宋体"/>
          <w:b/>
          <w:bCs/>
          <w:color w:val="000000"/>
          <w:sz w:val="24"/>
        </w:rPr>
        <w:t xml:space="preserve">Effect）←</w:t>
      </w:r>
      <w:r>
        <w:rPr>
          <w:rFonts w:ascii="宋体" w:hAnsi="宋体" w:eastAsia="宋体"/>
          <w:b/>
          <w:bCs/>
          <w:color w:val="000000"/>
          <w:sz w:val="24"/>
        </w:rPr>
        <w:t xml:space="preserve"> </w:t>
      </w:r>
      <w:r>
        <w:rPr>
          <w:rFonts w:hint="eastAsia" w:ascii="宋体" w:hAnsi="宋体" w:eastAsia="宋体"/>
          <w:b/>
          <w:bCs/>
          <w:color w:val="000000"/>
          <w:sz w:val="24"/>
        </w:rPr>
        <w:t xml:space="preserve">有效性（Effectiveness）。</w:t>
      </w:r>
      <w:r>
        <w:rPr>
          <w:rFonts w:ascii="宋体" w:hAnsi="宋体" w:eastAsia="宋体"/>
          <w:color w:val="000000"/>
          <w:sz w:val="24"/>
        </w:rPr>
        <w:t xml:space="preserve"> </w:t>
      </w:r>
      <w:r>
        <w:rPr>
          <w:rFonts w:hint="eastAsia" w:ascii="宋体" w:hAnsi="宋体" w:eastAsia="宋体"/>
          <w:color w:val="000000"/>
          <w:sz w:val="24"/>
        </w:rPr>
        <w:t xml:space="preserve">在数据开放领域，</w:t>
      </w:r>
      <w:r>
        <w:rPr>
          <w:rFonts w:hint="eastAsia" w:ascii="宋体" w:hAnsi="宋体" w:eastAsia="宋体"/>
          <w:color w:val="000000"/>
          <w:sz w:val="24"/>
        </w:rPr>
        <w:t xml:space="preserve">“有效性”</w:t>
      </w:r>
      <w:r>
        <w:rPr>
          <w:rFonts w:hint="eastAsia" w:ascii="宋体" w:hAnsi="宋体" w:eastAsia="宋体"/>
          <w:color w:val="000000"/>
          <w:sz w:val="24"/>
        </w:rPr>
        <w:t xml:space="preserve">的核心问题是”数据开放是否产生了预期的社会经济价值”。利用效果衡量数据价值实现的程度，包括直接利用（下载量、API调用量）、创新利用（应用成果数量、经济价值创造）和授权运营成效（授权运营项目数量、运营收入）三个层面。一个数据被大量下载、催生了丰富的应用成果、产生了显著经济价值的平台，其利用效果水平较高；反之则较低。利用效果对应价值链模型的”数据资本化”阶段，是价值化的终点。</w:t>
      </w:r>
    </w:p>
    <w:p>
      <w:pPr>
        <w:pStyle w:val="BodyText"/>
        <w:spacing w:line="360" w:lineRule="auto"/>
      </w:pPr>
      <w:r>
        <w:rPr>
          <w:rFonts w:hint="eastAsia" w:ascii="宋体" w:hAnsi="宋体" w:eastAsia="宋体"/>
          <w:color w:val="000000"/>
          <w:sz w:val="24"/>
        </w:rPr>
        <w:t xml:space="preserve">利用效果的评估面临一个核心挑战：</w:t>
      </w:r>
      <w:r>
        <w:rPr>
          <w:rFonts w:hint="eastAsia" w:ascii="宋体" w:hAnsi="宋体" w:eastAsia="宋体"/>
          <w:color w:val="000000"/>
          <w:sz w:val="24"/>
        </w:rPr>
        <w:t xml:space="preserve">“效果”</w:t>
      </w:r>
      <w:r>
        <w:rPr>
          <w:rFonts w:hint="eastAsia" w:ascii="宋体" w:hAnsi="宋体" w:eastAsia="宋体"/>
          <w:color w:val="000000"/>
          <w:sz w:val="24"/>
        </w:rPr>
        <w:t xml:space="preserve">的滞后性。数据开放的效果往往需要较长时间才能显现——一个数据集今天被开放，可能需要数月甚至数年才能产生应用成果。这种滞后性使得利用效果的评估难以采用”即时测量”的方式，而需要采用”趋势分析”和”案例追踪”的方法。本研究在评估中通过”平台历史累计应用数量”和”近期新增应用数量”两个指标，兼顾了效果的累积性和趋势性。</w:t>
      </w:r>
    </w:p>
    <w:p>
      <w:pPr>
        <w:pStyle w:val="BodyText"/>
        <w:spacing w:line="360" w:lineRule="auto"/>
      </w:pPr>
      <w:r>
        <w:rPr>
          <w:rFonts w:hint="eastAsia" w:ascii="宋体" w:hAnsi="宋体" w:eastAsia="宋体"/>
          <w:b/>
          <w:bCs/>
          <w:color w:val="000000"/>
          <w:sz w:val="24"/>
        </w:rPr>
        <w:t xml:space="preserve">公平性（Equity）←</w:t>
      </w:r>
      <w:r>
        <w:rPr>
          <w:rFonts w:ascii="宋体" w:hAnsi="宋体" w:eastAsia="宋体"/>
          <w:b/>
          <w:bCs/>
          <w:color w:val="000000"/>
          <w:sz w:val="24"/>
        </w:rPr>
        <w:t xml:space="preserve"> </w:t>
      </w:r>
      <w:r>
        <w:rPr>
          <w:rFonts w:hint="eastAsia" w:ascii="宋体" w:hAnsi="宋体" w:eastAsia="宋体"/>
          <w:b/>
          <w:bCs/>
          <w:color w:val="000000"/>
          <w:sz w:val="24"/>
        </w:rPr>
        <w:t xml:space="preserve">公平性（Equity）。</w:t>
      </w:r>
      <w:r>
        <w:rPr>
          <w:rFonts w:ascii="宋体" w:hAnsi="宋体" w:eastAsia="宋体"/>
          <w:color w:val="000000"/>
          <w:sz w:val="24"/>
        </w:rPr>
        <w:t xml:space="preserve"> </w:t>
      </w:r>
      <w:r>
        <w:rPr>
          <w:rFonts w:hint="eastAsia" w:ascii="宋体" w:hAnsi="宋体" w:eastAsia="宋体"/>
          <w:color w:val="000000"/>
          <w:sz w:val="24"/>
        </w:rPr>
        <w:t xml:space="preserve">在数据开放领域，</w:t>
      </w:r>
      <w:r>
        <w:rPr>
          <w:rFonts w:hint="eastAsia" w:ascii="宋体" w:hAnsi="宋体" w:eastAsia="宋体"/>
          <w:color w:val="000000"/>
          <w:sz w:val="24"/>
        </w:rPr>
        <w:t xml:space="preserve">“公平性”</w:t>
      </w:r>
      <w:r>
        <w:rPr>
          <w:rFonts w:hint="eastAsia" w:ascii="宋体" w:hAnsi="宋体" w:eastAsia="宋体"/>
          <w:color w:val="000000"/>
          <w:sz w:val="24"/>
        </w:rPr>
        <w:t xml:space="preserve">的核心问题是”数据开放的红利是否在不同区域、不同群体之间公平分配”。公平性衡量数据开放收益分配的均衡程度，包括区域差距（东中西部绩效差异）、群体差距（大企业vs中小企业、高素养用户vs低素养用户）、可及性差距（城市vs农村、发达地区vs欠发达地区）等指标。公平性评估不仅关注”开放了多少”，更关注”谁在使用”</w:t>
      </w:r>
      <w:r>
        <w:rPr>
          <w:rFonts w:hint="eastAsia" w:ascii="宋体" w:hAnsi="宋体" w:eastAsia="宋体"/>
          <w:color w:val="000000"/>
          <w:sz w:val="24"/>
        </w:rPr>
        <w:t xml:space="preserve">“谁从中受益”</w:t>
      </w:r>
      <w:r>
        <w:rPr>
          <w:rFonts w:hint="eastAsia" w:ascii="宋体" w:hAnsi="宋体" w:eastAsia="宋体"/>
          <w:color w:val="000000"/>
          <w:sz w:val="24"/>
        </w:rPr>
        <w:t xml:space="preserve">——如果数据开放只惠及东部发达地区的企业，而中西部地区的公众和中小企业被排斥在外，那么即使数据的”开放效果”在总量上很高，其”公平性”仍然是不合格的。</w:t>
      </w:r>
    </w:p>
    <w:p>
      <w:pPr>
        <w:pStyle w:val="BodyText"/>
        <w:spacing w:line="360" w:lineRule="auto"/>
      </w:pPr>
      <w:r>
        <w:rPr>
          <w:rFonts w:hint="eastAsia" w:ascii="宋体" w:hAnsi="宋体" w:eastAsia="宋体"/>
          <w:color w:val="000000"/>
          <w:sz w:val="24"/>
        </w:rPr>
        <w:t xml:space="preserve">公平性的评估需要区分”过程公平”和”结果公平”。过程公平关注数据开放的机会是否平等——所有地区和群体是否有同等的机会获取和使用数据；结果公平关注数据开放的收益是否均衡——不同地区和群体从数据开放中获得的收益是否相当。本研究在”公平性”维度中同时关注过程公平和结果公平，但侧重于结果公平的评估（因过程公平的数据难以直接测量）。</w:t>
      </w:r>
    </w:p>
    <w:bookmarkEnd w:id="109"/>
    <w:bookmarkStart w:id="110" w:name="指标选取的理论依据与操作化"/>
    <w:p>
      <w:pPr>
        <w:pStyle w:val="Heading4"/>
        <w:spacing w:line="360" w:lineRule="auto"/>
      </w:pPr>
      <w:r>
        <w:rPr>
          <w:rFonts w:ascii="宋体" w:hAnsi="宋体" w:eastAsia="宋体"/>
          <w:color w:val="000000"/>
          <w:sz w:val="24"/>
        </w:rPr>
        <w:t xml:space="preserve">3.3.3 </w:t>
      </w:r>
      <w:r>
        <w:rPr>
          <w:rFonts w:hint="eastAsia" w:ascii="宋体" w:hAnsi="宋体" w:eastAsia="宋体"/>
          <w:color w:val="000000"/>
          <w:sz w:val="24"/>
        </w:rPr>
        <w:t xml:space="preserve">指标选取的理论依据与操作化</w:t>
      </w:r>
    </w:p>
    <w:p>
      <w:pPr>
        <w:pStyle w:val="FirstParagraph"/>
        <w:spacing w:line="360" w:lineRule="auto"/>
      </w:pPr>
      <w:r>
        <w:rPr>
          <w:rFonts w:hint="eastAsia" w:ascii="宋体" w:hAnsi="宋体" w:eastAsia="宋体"/>
          <w:color w:val="000000"/>
          <w:sz w:val="24"/>
        </w:rPr>
        <w:t xml:space="preserve">4E评估框架的操作化需要解决一个核心问题：每个维度应选取哪些指标？指标选取需要遵循”理论相关性”</w:t>
      </w:r>
      <w:r>
        <w:rPr>
          <w:rFonts w:hint="eastAsia" w:ascii="宋体" w:hAnsi="宋体" w:eastAsia="宋体"/>
          <w:color w:val="000000"/>
          <w:sz w:val="24"/>
        </w:rPr>
        <w:t xml:space="preserve">“数据可得性”</w:t>
      </w:r>
      <w:r>
        <w:rPr>
          <w:rFonts w:hint="eastAsia" w:ascii="宋体" w:hAnsi="宋体" w:eastAsia="宋体"/>
          <w:color w:val="000000"/>
          <w:sz w:val="24"/>
        </w:rPr>
        <w:t xml:space="preserve">“指标独立性”</w:t>
      </w:r>
      <w:r>
        <w:rPr>
          <w:rFonts w:hint="eastAsia" w:ascii="宋体" w:hAnsi="宋体" w:eastAsia="宋体"/>
          <w:color w:val="000000"/>
          <w:sz w:val="24"/>
        </w:rPr>
        <w:t xml:space="preserve">“评估全面性”</w:t>
      </w:r>
      <w:r>
        <w:rPr>
          <w:rFonts w:hint="eastAsia" w:ascii="宋体" w:hAnsi="宋体" w:eastAsia="宋体"/>
          <w:color w:val="000000"/>
          <w:sz w:val="24"/>
        </w:rPr>
        <w:t xml:space="preserve">四项原则。</w:t>
      </w:r>
    </w:p>
    <w:p>
      <w:pPr>
        <w:pStyle w:val="BodyText"/>
        <w:spacing w:line="360" w:lineRule="auto"/>
      </w:pPr>
      <w:r>
        <w:rPr>
          <w:rFonts w:hint="eastAsia" w:ascii="宋体" w:hAnsi="宋体" w:eastAsia="宋体"/>
          <w:b/>
          <w:bCs/>
          <w:color w:val="000000"/>
          <w:sz w:val="24"/>
        </w:rPr>
        <w:t xml:space="preserve">理论相关性原则</w:t>
      </w:r>
      <w:r>
        <w:rPr>
          <w:rFonts w:hint="eastAsia" w:ascii="宋体" w:hAnsi="宋体" w:eastAsia="宋体"/>
          <w:color w:val="000000"/>
          <w:sz w:val="24"/>
        </w:rPr>
        <w:t xml:space="preserve">要求每个指标都应与评估维度有明确的理论关联。例如，</w:t>
      </w:r>
      <w:r>
        <w:rPr>
          <w:rFonts w:hint="eastAsia" w:ascii="宋体" w:hAnsi="宋体" w:eastAsia="宋体"/>
          <w:color w:val="000000"/>
          <w:sz w:val="24"/>
        </w:rPr>
        <w:t xml:space="preserve">“数据集数量”</w:t>
      </w:r>
      <w:r>
        <w:rPr>
          <w:rFonts w:hint="eastAsia" w:ascii="宋体" w:hAnsi="宋体" w:eastAsia="宋体"/>
          <w:color w:val="000000"/>
          <w:sz w:val="24"/>
        </w:rPr>
        <w:t xml:space="preserve">与”供给保障”维度有明确的理论关联（数据集数量是供给充分性的直接体现），而”平台美观度”与”平台服务”维度的理论关联则较为薄弱（美观度虽然影响用户体验，但不是平台服务的核心功能）。本研究在指标选取时，优先选取与维度有强理论关联的指标，避免因追求”指标数量”而牺牲”指标质量”。</w:t>
      </w:r>
    </w:p>
    <w:p>
      <w:pPr>
        <w:pStyle w:val="BodyText"/>
        <w:spacing w:line="360" w:lineRule="auto"/>
      </w:pPr>
      <w:r>
        <w:rPr>
          <w:rFonts w:hint="eastAsia" w:ascii="宋体" w:hAnsi="宋体" w:eastAsia="宋体"/>
          <w:b/>
          <w:bCs/>
          <w:color w:val="000000"/>
          <w:sz w:val="24"/>
        </w:rPr>
        <w:t xml:space="preserve">数据可得性原则</w:t>
      </w:r>
      <w:r>
        <w:rPr>
          <w:rFonts w:hint="eastAsia" w:ascii="宋体" w:hAnsi="宋体" w:eastAsia="宋体"/>
          <w:color w:val="000000"/>
          <w:sz w:val="24"/>
        </w:rPr>
        <w:t xml:space="preserve">要求每个指标都应有可靠的数据来源。评估指标如果无法获取数据，就只能在理论上”好看”而无法在实践中”好用”。本研究在指标选取时，充分考虑了数据的可得性——所有指标的数据都来源于平台的自动化采集或公开可获取的统计信息。对于数据难以获取的指标（如”用户满意度”</w:t>
      </w:r>
      <w:r>
        <w:rPr>
          <w:rFonts w:hint="eastAsia" w:ascii="宋体" w:hAnsi="宋体" w:eastAsia="宋体"/>
          <w:color w:val="000000"/>
          <w:sz w:val="24"/>
        </w:rPr>
        <w:t xml:space="preserve">“数据经济价值”</w:t>
      </w:r>
      <w:r>
        <w:rPr>
          <w:rFonts w:hint="eastAsia" w:ascii="宋体" w:hAnsi="宋体" w:eastAsia="宋体"/>
          <w:color w:val="000000"/>
          <w:sz w:val="24"/>
        </w:rPr>
        <w:t xml:space="preserve">），本研究采用了替代指标或间接指标。</w:t>
      </w:r>
    </w:p>
    <w:p>
      <w:pPr>
        <w:pStyle w:val="BodyText"/>
        <w:spacing w:line="360" w:lineRule="auto"/>
      </w:pPr>
      <w:r>
        <w:rPr>
          <w:rFonts w:hint="eastAsia" w:ascii="宋体" w:hAnsi="宋体" w:eastAsia="宋体"/>
          <w:b/>
          <w:bCs/>
          <w:color w:val="000000"/>
          <w:sz w:val="24"/>
        </w:rPr>
        <w:t xml:space="preserve">指标独立性原则</w:t>
      </w:r>
      <w:r>
        <w:rPr>
          <w:rFonts w:hint="eastAsia" w:ascii="宋体" w:hAnsi="宋体" w:eastAsia="宋体"/>
          <w:color w:val="000000"/>
          <w:sz w:val="24"/>
        </w:rPr>
        <w:t xml:space="preserve">要求不同指标之间应避免高度相关。如果两个指标高度相关（相关系数&gt;0.8），那么它们在评估中实际上测量的是同一事物，同时纳入会造成信息冗余和权重失真。本研究在指标选取后，通过相关性分析检验了指标间的独立性，对于高度相关的指标进行了合并或剔除。</w:t>
      </w:r>
    </w:p>
    <w:p>
      <w:pPr>
        <w:pStyle w:val="BodyText"/>
        <w:spacing w:line="360" w:lineRule="auto"/>
      </w:pPr>
      <w:r>
        <w:rPr>
          <w:rFonts w:hint="eastAsia" w:ascii="宋体" w:hAnsi="宋体" w:eastAsia="宋体"/>
          <w:b/>
          <w:bCs/>
          <w:color w:val="000000"/>
          <w:sz w:val="24"/>
        </w:rPr>
        <w:t xml:space="preserve">评估全面性原则</w:t>
      </w:r>
      <w:r>
        <w:rPr>
          <w:rFonts w:hint="eastAsia" w:ascii="宋体" w:hAnsi="宋体" w:eastAsia="宋体"/>
          <w:color w:val="000000"/>
          <w:sz w:val="24"/>
        </w:rPr>
        <w:t xml:space="preserve">要求指标体系应覆盖评估维度的主要方面，避免”盲区”。例如，</w:t>
      </w:r>
      <w:r>
        <w:rPr>
          <w:rFonts w:hint="eastAsia" w:ascii="宋体" w:hAnsi="宋体" w:eastAsia="宋体"/>
          <w:color w:val="000000"/>
          <w:sz w:val="24"/>
        </w:rPr>
        <w:t xml:space="preserve">“供给保障”</w:t>
      </w:r>
      <w:r>
        <w:rPr>
          <w:rFonts w:hint="eastAsia" w:ascii="宋体" w:hAnsi="宋体" w:eastAsia="宋体"/>
          <w:color w:val="000000"/>
          <w:sz w:val="24"/>
        </w:rPr>
        <w:t xml:space="preserve">维度不仅应关注数据集数量，还应关注主题覆盖、更新频率、格式标准化等多个方面——如果只关注数据集数量，就会忽视”覆盖不全”</w:t>
      </w:r>
      <w:r>
        <w:rPr>
          <w:rFonts w:hint="eastAsia" w:ascii="宋体" w:hAnsi="宋体" w:eastAsia="宋体"/>
          <w:color w:val="000000"/>
          <w:sz w:val="24"/>
        </w:rPr>
        <w:t xml:space="preserve">“更新滞后”</w:t>
      </w:r>
      <w:r>
        <w:rPr>
          <w:rFonts w:hint="eastAsia" w:ascii="宋体" w:hAnsi="宋体" w:eastAsia="宋体"/>
          <w:color w:val="000000"/>
          <w:sz w:val="24"/>
        </w:rPr>
        <w:t xml:space="preserve">“格式混乱”</w:t>
      </w:r>
      <w:r>
        <w:rPr>
          <w:rFonts w:hint="eastAsia" w:ascii="宋体" w:hAnsi="宋体" w:eastAsia="宋体"/>
          <w:color w:val="000000"/>
          <w:sz w:val="24"/>
        </w:rPr>
        <w:t xml:space="preserve">等问题。本研究在每个维度下设置了3-5个指标，力求在”指标数量”和”评估深度”之间取得平衡。</w:t>
      </w:r>
    </w:p>
    <w:p>
      <w:pPr>
        <w:pStyle w:val="BodyText"/>
        <w:spacing w:line="360" w:lineRule="auto"/>
      </w:pPr>
      <w:r>
        <w:rPr>
          <w:rFonts w:hint="eastAsia" w:ascii="宋体" w:hAnsi="宋体" w:eastAsia="宋体"/>
          <w:color w:val="000000"/>
          <w:sz w:val="24"/>
        </w:rPr>
        <w:t xml:space="preserve">基于上述原则，本研究构建了如下的指标体系。</w:t>
      </w:r>
    </w:p>
    <w:p>
      <w:pPr>
        <w:pStyle w:val="BodyText"/>
        <w:spacing w:line="360" w:lineRule="auto"/>
      </w:pPr>
      <w:r>
        <w:rPr>
          <w:rFonts w:hint="eastAsia" w:ascii="宋体" w:hAnsi="宋体" w:eastAsia="宋体"/>
          <w:b/>
          <w:bCs/>
          <w:color w:val="000000"/>
          <w:sz w:val="24"/>
        </w:rPr>
        <w:t xml:space="preserve">供给保障维度（5个指标）：</w:t>
      </w:r>
      <w:r>
        <w:rPr>
          <w:rFonts w:ascii="宋体" w:hAnsi="宋体" w:eastAsia="宋体"/>
          <w:color w:val="000000"/>
          <w:sz w:val="24"/>
        </w:rPr>
        <w:t xml:space="preserve"> </w:t>
      </w:r>
      <w:r>
        <w:rPr>
          <w:rFonts w:hint="eastAsia" w:ascii="宋体" w:hAnsi="宋体" w:eastAsia="宋体"/>
          <w:color w:val="000000"/>
          <w:sz w:val="24"/>
        </w:rPr>
        <w:t xml:space="preserve">数据集数量（衡量供给规模）、主题覆盖度（衡量供给广度）、更新频率（衡量供给持续性）、格式标准化率（衡量供给规范性）、数据目录完整性（衡量供给系统性）。</w:t>
      </w:r>
    </w:p>
    <w:p>
      <w:pPr>
        <w:pStyle w:val="BodyText"/>
        <w:spacing w:line="360" w:lineRule="auto"/>
      </w:pPr>
      <w:r>
        <w:rPr>
          <w:rFonts w:hint="eastAsia" w:ascii="宋体" w:hAnsi="宋体" w:eastAsia="宋体"/>
          <w:b/>
          <w:bCs/>
          <w:color w:val="000000"/>
          <w:sz w:val="24"/>
        </w:rPr>
        <w:t xml:space="preserve">平台服务维度（5个指标）：</w:t>
      </w:r>
      <w:r>
        <w:rPr>
          <w:rFonts w:ascii="宋体" w:hAnsi="宋体" w:eastAsia="宋体"/>
          <w:color w:val="000000"/>
          <w:sz w:val="24"/>
        </w:rPr>
        <w:t xml:space="preserve"> </w:t>
      </w:r>
      <w:r>
        <w:rPr>
          <w:rFonts w:hint="eastAsia" w:ascii="宋体" w:hAnsi="宋体" w:eastAsia="宋体"/>
          <w:color w:val="000000"/>
          <w:sz w:val="24"/>
        </w:rPr>
        <w:t xml:space="preserve">API开放度（衡量程序化服务能力）、检索功能完备性（衡量数据可发现性）、数据预览功能（衡量数据可理解性）、用户反馈机制（衡量用户参与性）、平台迭代频率（衡量服务持续性）。</w:t>
      </w:r>
    </w:p>
    <w:p>
      <w:pPr>
        <w:pStyle w:val="BodyText"/>
        <w:spacing w:line="360" w:lineRule="auto"/>
      </w:pPr>
      <w:r>
        <w:rPr>
          <w:rFonts w:hint="eastAsia" w:ascii="宋体" w:hAnsi="宋体" w:eastAsia="宋体"/>
          <w:b/>
          <w:bCs/>
          <w:color w:val="000000"/>
          <w:sz w:val="24"/>
        </w:rPr>
        <w:t xml:space="preserve">数据质量维度（5个指标）：</w:t>
      </w:r>
      <w:r>
        <w:rPr>
          <w:rFonts w:ascii="宋体" w:hAnsi="宋体" w:eastAsia="宋体"/>
          <w:color w:val="000000"/>
          <w:sz w:val="24"/>
        </w:rPr>
        <w:t xml:space="preserve"> </w:t>
      </w:r>
      <w:r>
        <w:rPr>
          <w:rFonts w:hint="eastAsia" w:ascii="宋体" w:hAnsi="宋体" w:eastAsia="宋体"/>
          <w:color w:val="000000"/>
          <w:sz w:val="24"/>
        </w:rPr>
        <w:t xml:space="preserve">数据准确性（抽样检查错误率）、数据完整性（字段缺失率）、数据及时性（更新滞后天数）、数据一致性（跨来源数据匹配率）、机器可读性（结构化格式占比）。</w:t>
      </w:r>
    </w:p>
    <w:p>
      <w:pPr>
        <w:pStyle w:val="BodyText"/>
        <w:spacing w:line="360" w:lineRule="auto"/>
      </w:pPr>
      <w:r>
        <w:rPr>
          <w:rFonts w:hint="eastAsia" w:ascii="宋体" w:hAnsi="宋体" w:eastAsia="宋体"/>
          <w:b/>
          <w:bCs/>
          <w:color w:val="000000"/>
          <w:sz w:val="24"/>
        </w:rPr>
        <w:t xml:space="preserve">利用效果维度（6个指标）：</w:t>
      </w:r>
      <w:r>
        <w:rPr>
          <w:rFonts w:ascii="宋体" w:hAnsi="宋体" w:eastAsia="宋体"/>
          <w:color w:val="000000"/>
          <w:sz w:val="24"/>
        </w:rPr>
        <w:t xml:space="preserve"> </w:t>
      </w:r>
      <w:r>
        <w:rPr>
          <w:rFonts w:hint="eastAsia" w:ascii="宋体" w:hAnsi="宋体" w:eastAsia="宋体"/>
          <w:color w:val="000000"/>
          <w:sz w:val="24"/>
        </w:rPr>
        <w:t xml:space="preserve">数据集下载量（衡量直接利用）、API调用量（衡量程序化利用）、应用成果数量（衡量创新利用）、创新活动数量（衡量生态活跃度）、授权运营项目数（衡量授权运营成效）、授权运营收入（衡量授权运营经济效果）。</w:t>
      </w:r>
    </w:p>
    <w:p>
      <w:pPr>
        <w:pStyle w:val="BodyText"/>
        <w:spacing w:line="360" w:lineRule="auto"/>
      </w:pPr>
      <w:r>
        <w:rPr>
          <w:rFonts w:hint="eastAsia" w:ascii="宋体" w:hAnsi="宋体" w:eastAsia="宋体"/>
          <w:b/>
          <w:bCs/>
          <w:color w:val="000000"/>
          <w:sz w:val="24"/>
        </w:rPr>
        <w:t xml:space="preserve">公平性维度（3个指标）：</w:t>
      </w:r>
      <w:r>
        <w:rPr>
          <w:rFonts w:ascii="宋体" w:hAnsi="宋体" w:eastAsia="宋体"/>
          <w:color w:val="000000"/>
          <w:sz w:val="24"/>
        </w:rPr>
        <w:t xml:space="preserve"> </w:t>
      </w:r>
      <w:r>
        <w:rPr>
          <w:rFonts w:hint="eastAsia" w:ascii="宋体" w:hAnsi="宋体" w:eastAsia="宋体"/>
          <w:color w:val="000000"/>
          <w:sz w:val="24"/>
        </w:rPr>
        <w:t xml:space="preserve">区域均衡度（东中西部绩效差异系数）、群体覆盖度（服务对象多样性指数）、可及性指数（弱势群体利用便利性评分）。</w:t>
      </w:r>
    </w:p>
    <w:p>
      <w:pPr>
        <w:pStyle w:val="BodyText"/>
        <w:spacing w:line="360" w:lineRule="auto"/>
      </w:pPr>
      <w:r>
        <w:rPr>
          <w:rFonts w:hint="eastAsia" w:ascii="宋体" w:hAnsi="宋体" w:eastAsia="宋体"/>
          <w:color w:val="000000"/>
          <w:sz w:val="24"/>
        </w:rPr>
        <w:t xml:space="preserve">上述指标体系共包含24个指标，覆盖了5个评估维度的主要方面。指标的数据类型包括定量指标（如数据集数量、下载量）和定性指标（如检索功能完备性、用户反馈机制），定量指标通过自动化采集获取，定性指标通过专家评估或内容分析获取。</w:t>
      </w:r>
    </w:p>
    <w:bookmarkEnd w:id="110"/>
    <w:bookmarkStart w:id="111" w:name="e框架与公共价值理论的整合"/>
    <w:p>
      <w:pPr>
        <w:pStyle w:val="Heading4"/>
        <w:spacing w:line="360" w:lineRule="auto"/>
      </w:pPr>
      <w:r>
        <w:rPr>
          <w:rFonts w:ascii="宋体" w:hAnsi="宋体" w:eastAsia="宋体"/>
          <w:color w:val="000000"/>
          <w:sz w:val="24"/>
        </w:rPr>
        <w:t xml:space="preserve">3.3.4 </w:t>
      </w:r>
      <w:r>
        <w:rPr>
          <w:rFonts w:hint="eastAsia" w:ascii="宋体" w:hAnsi="宋体" w:eastAsia="宋体"/>
          <w:color w:val="000000"/>
          <w:sz w:val="24"/>
        </w:rPr>
        <w:t xml:space="preserve">4E框架与公共价值理论的整合</w:t>
      </w:r>
    </w:p>
    <w:p>
      <w:pPr>
        <w:pStyle w:val="FirstParagraph"/>
        <w:spacing w:line="360" w:lineRule="auto"/>
      </w:pPr>
      <w:r>
        <w:rPr>
          <w:rFonts w:hint="eastAsia" w:ascii="宋体" w:hAnsi="宋体" w:eastAsia="宋体"/>
          <w:color w:val="000000"/>
          <w:sz w:val="24"/>
        </w:rPr>
        <w:t xml:space="preserve">4E评估框架与公共价值三角框架之间存在紧密的理论对应关系，二者的整合为本研究提供了坚实的理论基础。</w:t>
      </w:r>
    </w:p>
    <w:p>
      <w:pPr>
        <w:pStyle w:val="BodyText"/>
        <w:spacing w:line="360" w:lineRule="auto"/>
      </w:pPr>
      <w:r>
        <w:rPr>
          <w:rFonts w:hint="eastAsia" w:ascii="宋体" w:hAnsi="宋体" w:eastAsia="宋体"/>
          <w:b/>
          <w:bCs/>
          <w:color w:val="000000"/>
          <w:sz w:val="24"/>
        </w:rPr>
        <w:t xml:space="preserve">战略目标</w:t>
      </w:r>
      <w:r>
        <w:rPr>
          <w:rFonts w:ascii="宋体" w:hAnsi="宋体" w:eastAsia="宋体"/>
          <w:b/>
          <w:bCs/>
          <w:color w:val="000000"/>
          <w:sz w:val="24"/>
        </w:rPr>
        <w:t xml:space="preserve"> ↔ </w:t>
      </w:r>
      <w:r>
        <w:rPr>
          <w:rFonts w:hint="eastAsia" w:ascii="宋体" w:hAnsi="宋体" w:eastAsia="宋体"/>
          <w:b/>
          <w:bCs/>
          <w:color w:val="000000"/>
          <w:sz w:val="24"/>
        </w:rPr>
        <w:t xml:space="preserve">利用效果+公平性。</w:t>
      </w:r>
      <w:r>
        <w:rPr>
          <w:rFonts w:ascii="宋体" w:hAnsi="宋体" w:eastAsia="宋体"/>
          <w:color w:val="000000"/>
          <w:sz w:val="24"/>
        </w:rPr>
        <w:t xml:space="preserve"> </w:t>
      </w:r>
      <w:r>
        <w:rPr>
          <w:rFonts w:hint="eastAsia" w:ascii="宋体" w:hAnsi="宋体" w:eastAsia="宋体"/>
          <w:color w:val="000000"/>
          <w:sz w:val="24"/>
        </w:rPr>
        <w:t xml:space="preserve">公共价值三角的”战略目标”顶点对应4E框架的”利用效果”和”公平性”维度。利用效果衡量数据开放是否产生了预期的社会经济价值（效率价值、创新价值、社会价值），公平性衡量价值分配是否公正。二者共同回答了”我们要创造什么价值”的问题。</w:t>
      </w:r>
    </w:p>
    <w:p>
      <w:pPr>
        <w:pStyle w:val="BodyText"/>
        <w:spacing w:line="360" w:lineRule="auto"/>
      </w:pPr>
      <w:r>
        <w:rPr>
          <w:rFonts w:hint="eastAsia" w:ascii="宋体" w:hAnsi="宋体" w:eastAsia="宋体"/>
          <w:b/>
          <w:bCs/>
          <w:color w:val="000000"/>
          <w:sz w:val="24"/>
        </w:rPr>
        <w:t xml:space="preserve">授权环境</w:t>
      </w:r>
      <w:r>
        <w:rPr>
          <w:rFonts w:ascii="宋体" w:hAnsi="宋体" w:eastAsia="宋体"/>
          <w:b/>
          <w:bCs/>
          <w:color w:val="000000"/>
          <w:sz w:val="24"/>
        </w:rPr>
        <w:t xml:space="preserve"> ↔ </w:t>
      </w:r>
      <w:r>
        <w:rPr>
          <w:rFonts w:hint="eastAsia" w:ascii="宋体" w:hAnsi="宋体" w:eastAsia="宋体"/>
          <w:b/>
          <w:bCs/>
          <w:color w:val="000000"/>
          <w:sz w:val="24"/>
        </w:rPr>
        <w:t xml:space="preserve">供给保障。</w:t>
      </w:r>
      <w:r>
        <w:rPr>
          <w:rFonts w:ascii="宋体" w:hAnsi="宋体" w:eastAsia="宋体"/>
          <w:color w:val="000000"/>
          <w:sz w:val="24"/>
        </w:rPr>
        <w:t xml:space="preserve"> </w:t>
      </w:r>
      <w:r>
        <w:rPr>
          <w:rFonts w:hint="eastAsia" w:ascii="宋体" w:hAnsi="宋体" w:eastAsia="宋体"/>
          <w:color w:val="000000"/>
          <w:sz w:val="24"/>
        </w:rPr>
        <w:t xml:space="preserve">公共价值三角的”授权环境”顶点对应4E框架的”供给保障”维度。供给保障衡量平台获得的数据资源、制度支持和资源投入，这些都是平台运营的授权基础。充足的供给保障意味着平台获得了充分的授权去开展数据开放工作；供给保障的不足则意味着授权环境的不完善。</w:t>
      </w:r>
    </w:p>
    <w:p>
      <w:pPr>
        <w:pStyle w:val="BodyText"/>
        <w:spacing w:line="360" w:lineRule="auto"/>
      </w:pPr>
      <w:r>
        <w:rPr>
          <w:rFonts w:hint="eastAsia" w:ascii="宋体" w:hAnsi="宋体" w:eastAsia="宋体"/>
          <w:b/>
          <w:bCs/>
          <w:color w:val="000000"/>
          <w:sz w:val="24"/>
        </w:rPr>
        <w:t xml:space="preserve">运作能力</w:t>
      </w:r>
      <w:r>
        <w:rPr>
          <w:rFonts w:ascii="宋体" w:hAnsi="宋体" w:eastAsia="宋体"/>
          <w:b/>
          <w:bCs/>
          <w:color w:val="000000"/>
          <w:sz w:val="24"/>
        </w:rPr>
        <w:t xml:space="preserve"> ↔ </w:t>
      </w:r>
      <w:r>
        <w:rPr>
          <w:rFonts w:hint="eastAsia" w:ascii="宋体" w:hAnsi="宋体" w:eastAsia="宋体"/>
          <w:b/>
          <w:bCs/>
          <w:color w:val="000000"/>
          <w:sz w:val="24"/>
        </w:rPr>
        <w:t xml:space="preserve">平台服务+数据质量。</w:t>
      </w:r>
      <w:r>
        <w:rPr>
          <w:rFonts w:ascii="宋体" w:hAnsi="宋体" w:eastAsia="宋体"/>
          <w:color w:val="000000"/>
          <w:sz w:val="24"/>
        </w:rPr>
        <w:t xml:space="preserve"> </w:t>
      </w:r>
      <w:r>
        <w:rPr>
          <w:rFonts w:hint="eastAsia" w:ascii="宋体" w:hAnsi="宋体" w:eastAsia="宋体"/>
          <w:color w:val="000000"/>
          <w:sz w:val="24"/>
        </w:rPr>
        <w:t xml:space="preserve">公共价值三角的”运作能力”顶点对应4E框架的”平台服务”和”数据质量”维度。平台服务衡量平台将数据从”可获取”转化为”可利用”的技术能力，数据质量衡量平台保障数据可用性的质量管理能力。二者共同回答了”我们有没有能力做好”的问题。</w:t>
      </w:r>
    </w:p>
    <w:p>
      <w:pPr>
        <w:pStyle w:val="BodyText"/>
        <w:spacing w:line="360" w:lineRule="auto"/>
      </w:pPr>
      <w:r>
        <w:rPr>
          <w:rFonts w:hint="eastAsia" w:ascii="宋体" w:hAnsi="宋体" w:eastAsia="宋体"/>
          <w:color w:val="000000"/>
          <w:sz w:val="24"/>
        </w:rPr>
        <w:t xml:space="preserve">通过上述整合，本研究构建了一个从公共价值理论到4E评估框架的完整理论链条：公共价值理论提供了评估的价值导向（为什么要评估）→</w:t>
      </w:r>
      <w:r>
        <w:rPr>
          <w:rFonts w:ascii="宋体" w:hAnsi="宋体" w:eastAsia="宋体"/>
          <w:color w:val="000000"/>
          <w:sz w:val="24"/>
        </w:rPr>
        <w:t xml:space="preserve"> </w:t>
      </w:r>
      <w:r>
        <w:rPr>
          <w:rFonts w:hint="eastAsia" w:ascii="宋体" w:hAnsi="宋体" w:eastAsia="宋体"/>
          <w:color w:val="000000"/>
          <w:sz w:val="24"/>
        </w:rPr>
        <w:t xml:space="preserve">公共价值三角提供了评估的维度划分（从哪些方面评估）→</w:t>
      </w:r>
      <w:r>
        <w:rPr>
          <w:rFonts w:ascii="宋体" w:hAnsi="宋体" w:eastAsia="宋体"/>
          <w:color w:val="000000"/>
          <w:sz w:val="24"/>
        </w:rPr>
        <w:t xml:space="preserve"> </w:t>
      </w:r>
      <w:r>
        <w:rPr>
          <w:rFonts w:hint="eastAsia" w:ascii="宋体" w:hAnsi="宋体" w:eastAsia="宋体"/>
          <w:color w:val="000000"/>
          <w:sz w:val="24"/>
        </w:rPr>
        <w:t xml:space="preserve">4E框架提供了评估的具体指标（用什么指标评估）→</w:t>
      </w:r>
      <w:r>
        <w:rPr>
          <w:rFonts w:ascii="宋体" w:hAnsi="宋体" w:eastAsia="宋体"/>
          <w:color w:val="000000"/>
          <w:sz w:val="24"/>
        </w:rPr>
        <w:t xml:space="preserve"> </w:t>
      </w:r>
      <w:r>
        <w:rPr>
          <w:rFonts w:hint="eastAsia" w:ascii="宋体" w:hAnsi="宋体" w:eastAsia="宋体"/>
          <w:color w:val="000000"/>
          <w:sz w:val="24"/>
        </w:rPr>
        <w:t xml:space="preserve">价值链模型提供了评估的过程逻辑（按什么顺序评估）。这一理论链条确保了本研究评估框架的学理基础和逻辑自洽。</w:t>
      </w:r>
    </w:p>
    <w:bookmarkEnd w:id="111"/>
    <w:bookmarkEnd w:id="112"/>
    <w:bookmarkStart w:id="117" w:name="toe影响因素框架"/>
    <w:p>
      <w:pPr>
        <w:pStyle w:val="Heading3"/>
        <w:spacing w:line="360" w:lineRule="auto"/>
      </w:pPr>
      <w:r>
        <w:rPr>
          <w:rFonts w:ascii="黑体" w:hAnsi="黑体" w:eastAsia="黑体"/>
          <w:b/>
          <w:color w:val="000000"/>
          <w:sz w:val="24"/>
        </w:rPr>
        <w:t xml:space="preserve">3.4 </w:t>
      </w:r>
      <w:r>
        <w:rPr>
          <w:rFonts w:hint="eastAsia" w:ascii="黑体" w:hAnsi="黑体" w:eastAsia="黑体"/>
          <w:b/>
          <w:color w:val="000000"/>
          <w:sz w:val="24"/>
        </w:rPr>
        <w:t xml:space="preserve">TOE影响因素框架</w:t>
      </w:r>
    </w:p>
    <w:bookmarkStart w:id="113" w:name="toe框架的理论基础"/>
    <w:p>
      <w:pPr>
        <w:pStyle w:val="Heading4"/>
        <w:spacing w:line="360" w:lineRule="auto"/>
      </w:pPr>
      <w:r>
        <w:rPr>
          <w:rFonts w:ascii="宋体" w:hAnsi="宋体" w:eastAsia="宋体"/>
          <w:color w:val="000000"/>
          <w:sz w:val="24"/>
        </w:rPr>
        <w:t xml:space="preserve">3.4.1 </w:t>
      </w:r>
      <w:r>
        <w:rPr>
          <w:rFonts w:hint="eastAsia" w:ascii="宋体" w:hAnsi="宋体" w:eastAsia="宋体"/>
          <w:color w:val="000000"/>
          <w:sz w:val="24"/>
        </w:rPr>
        <w:t xml:space="preserve">TOE框架的理论基础</w:t>
      </w:r>
    </w:p>
    <w:p>
      <w:pPr>
        <w:pStyle w:val="FirstParagraph"/>
        <w:spacing w:line="360" w:lineRule="auto"/>
      </w:pPr>
      <w:r>
        <w:rPr>
          <w:rFonts w:hint="eastAsia" w:ascii="宋体" w:hAnsi="宋体" w:eastAsia="宋体"/>
          <w:color w:val="000000"/>
          <w:sz w:val="24"/>
        </w:rPr>
        <w:t xml:space="preserve">TOE框架（Technology-Organization-Environment）由Tornatzky和Fleischer于1990年在《技术创新的过程》一书中提出，用于分析组织采纳和实施技术创新的影响因素。TOE框架的理论基础是系统论——技术创新不是一个孤立的技术事件，而是嵌入在组织内部和外部环境中的系统过程。因此，理解技术创新的成败，需要同时考察技术本身、组织条件、环境因素三个层面的交互作用。</w:t>
      </w:r>
    </w:p>
    <w:p>
      <w:pPr>
        <w:pStyle w:val="BodyText"/>
        <w:spacing w:line="360" w:lineRule="auto"/>
      </w:pPr>
      <w:r>
        <w:rPr>
          <w:rFonts w:hint="eastAsia" w:ascii="宋体" w:hAnsi="宋体" w:eastAsia="宋体"/>
          <w:color w:val="000000"/>
          <w:sz w:val="24"/>
        </w:rPr>
        <w:t xml:space="preserve">TOE框架的核心假设是：技术创新的采纳和利用效果受到三个层面因素的共同影响。技术层面因素决定了创新的技术可行性和功能完备性；组织层面因素决定了创新的组织适配性和实施能力；环境层面因素决定了创新的外部合法性和资源可得性。三个层面的因素不是孤立作用的，而是相互影响、相互制约的——技术因素在组织条件良好的环境中更容易发挥作用，组织因素在技术成熟的环境中更容易产生效果。</w:t>
      </w:r>
    </w:p>
    <w:p>
      <w:pPr>
        <w:pStyle w:val="BodyText"/>
        <w:spacing w:line="360" w:lineRule="auto"/>
      </w:pPr>
      <w:r>
        <w:rPr>
          <w:rFonts w:hint="eastAsia" w:ascii="宋体" w:hAnsi="宋体" w:eastAsia="宋体"/>
          <w:color w:val="000000"/>
          <w:sz w:val="24"/>
        </w:rPr>
        <w:t xml:space="preserve">TOE框架相对于其他创新采纳理论（如TAM、DOI、UTAUT）的优势在于其”多维整合”视角。TAM（技术接受模型）只关注技术因素中的感知有用性和感知易用性，忽视了组织因素和环境因素；DOI（创新扩散理论）关注创新特征对采纳速度的影响，但对组织内部因素关注不足；UTAUT（统一技术接受和使用理论）虽然整合了多个因素，但仍以个体层面的接受行为为核心，缺乏组织层面和环境层面的分析。TOE框架则同时覆盖三个层面，更适合分析政府数据开放平台绩效这类受多层面因素影响的复杂组织现象。</w:t>
      </w:r>
    </w:p>
    <w:p>
      <w:pPr>
        <w:pStyle w:val="BodyText"/>
        <w:spacing w:line="360" w:lineRule="auto"/>
      </w:pPr>
      <w:r>
        <w:rPr>
          <w:rFonts w:hint="eastAsia" w:ascii="宋体" w:hAnsi="宋体" w:eastAsia="宋体"/>
          <w:color w:val="000000"/>
          <w:sz w:val="24"/>
        </w:rPr>
        <w:t xml:space="preserve">在TOE框架的应用中，学者们发现三个层面因素的相对重要性因情境而异。在一些情境中，技术因素起主导作用——例如，当技术创新涉及复杂的技术系统时，技术能力往往是最重要的成功因素。在另一些情境中，组织因素起主导作用——例如，当技术创新需要跨部门协调时，组织能力和领导力往往是最重要的成功因素。还有一些情境中，环境因素起主导作用——例如，当技术创新受到强烈的制度压力时，环境条件往往是最重要的成功因素。这种”情境依赖性”意味着，不能简单地认为某个层面因素”总是最重要的”，而需要根据具体情境进行分析。本研究通过fsQCA组态分析，正是为了揭示不同情境下高绩效的差异化驱动路径。</w:t>
      </w:r>
    </w:p>
    <w:bookmarkEnd w:id="113"/>
    <w:bookmarkStart w:id="114" w:name="toe框架在数据开放领域的适用性"/>
    <w:p>
      <w:pPr>
        <w:pStyle w:val="Heading4"/>
        <w:spacing w:line="360" w:lineRule="auto"/>
      </w:pPr>
      <w:r>
        <w:rPr>
          <w:rFonts w:ascii="宋体" w:hAnsi="宋体" w:eastAsia="宋体"/>
          <w:color w:val="000000"/>
          <w:sz w:val="24"/>
        </w:rPr>
        <w:t xml:space="preserve">3.4.2 </w:t>
      </w:r>
      <w:r>
        <w:rPr>
          <w:rFonts w:hint="eastAsia" w:ascii="宋体" w:hAnsi="宋体" w:eastAsia="宋体"/>
          <w:color w:val="000000"/>
          <w:sz w:val="24"/>
        </w:rPr>
        <w:t xml:space="preserve">TOE框架在数据开放领域的适用性</w:t>
      </w:r>
    </w:p>
    <w:p>
      <w:pPr>
        <w:pStyle w:val="FirstParagraph"/>
        <w:spacing w:line="360" w:lineRule="auto"/>
      </w:pPr>
      <w:r>
        <w:rPr>
          <w:rFonts w:hint="eastAsia" w:ascii="宋体" w:hAnsi="宋体" w:eastAsia="宋体"/>
          <w:color w:val="000000"/>
          <w:sz w:val="24"/>
        </w:rPr>
        <w:t xml:space="preserve">TOE框架在政府数据开放领域具有良好的适用性，原因如下。</w:t>
      </w:r>
    </w:p>
    <w:p>
      <w:pPr>
        <w:pStyle w:val="BodyText"/>
        <w:spacing w:line="360" w:lineRule="auto"/>
      </w:pPr>
      <w:r>
        <w:rPr>
          <w:rFonts w:hint="eastAsia" w:ascii="宋体" w:hAnsi="宋体" w:eastAsia="宋体"/>
          <w:color w:val="000000"/>
          <w:sz w:val="24"/>
        </w:rPr>
        <w:t xml:space="preserve">第一，政府数据开放平台是一个典型的技术创新应用——它涉及大数据技术、云计算技术、API技术、数据可视化技术等多种技术的综合应用。平台的技术架构、功能设计、数据处理能力等都属于TOE框架的”技术层面”因素。</w:t>
      </w:r>
    </w:p>
    <w:p>
      <w:pPr>
        <w:pStyle w:val="BodyText"/>
        <w:spacing w:line="360" w:lineRule="auto"/>
      </w:pPr>
      <w:r>
        <w:rPr>
          <w:rFonts w:hint="eastAsia" w:ascii="宋体" w:hAnsi="宋体" w:eastAsia="宋体"/>
          <w:color w:val="000000"/>
          <w:sz w:val="24"/>
        </w:rPr>
        <w:t xml:space="preserve">第二，政府数据开放平台的建设和运营受到组织条件的深刻影响——政府部门的数据治理能力、跨部门协调机制、人力资源配置、财政资源投入等都属于TOE框架的”组织层面”因素。不同政府部门的组织条件差异巨大，这解释了为什么技术条件相似的平台可能产生截然不同的绩效。</w:t>
      </w:r>
    </w:p>
    <w:p>
      <w:pPr>
        <w:pStyle w:val="BodyText"/>
        <w:spacing w:line="360" w:lineRule="auto"/>
      </w:pPr>
      <w:r>
        <w:rPr>
          <w:rFonts w:hint="eastAsia" w:ascii="宋体" w:hAnsi="宋体" w:eastAsia="宋体"/>
          <w:color w:val="000000"/>
          <w:sz w:val="24"/>
        </w:rPr>
        <w:t xml:space="preserve">第三，政府数据开放平台嵌入在特定的区域环境中——区域经济发展水平、数字经济基础、创新创业生态、用户数据素养等都属于TOE框架的”环境层面”因素。东部发达地区和中西部欠发达地区在环境条件上的差异，是解释平台绩效区域差距的重要变量。</w:t>
      </w:r>
    </w:p>
    <w:p>
      <w:pPr>
        <w:pStyle w:val="BodyText"/>
        <w:spacing w:line="360" w:lineRule="auto"/>
      </w:pPr>
      <w:r>
        <w:rPr>
          <w:rFonts w:hint="eastAsia" w:ascii="宋体" w:hAnsi="宋体" w:eastAsia="宋体"/>
          <w:color w:val="000000"/>
          <w:sz w:val="24"/>
        </w:rPr>
        <w:t xml:space="preserve">第四，政府数据开放平台的绩效形成涉及三个层面因素的交互作用——技术因素（如API开放度）的效果受到组织因素（如数据治理能力）和环境因素（如数字经济基础）的调节。这种交互作用正是TOE框架所强调的”系统论”视角的核心内容。</w:t>
      </w:r>
    </w:p>
    <w:bookmarkEnd w:id="114"/>
    <w:bookmarkStart w:id="115" w:name="技术-组织-环境三维度因素识别"/>
    <w:p>
      <w:pPr>
        <w:pStyle w:val="Heading4"/>
        <w:spacing w:line="360" w:lineRule="auto"/>
      </w:pPr>
      <w:r>
        <w:rPr>
          <w:rFonts w:ascii="宋体" w:hAnsi="宋体" w:eastAsia="宋体"/>
          <w:color w:val="000000"/>
          <w:sz w:val="24"/>
        </w:rPr>
        <w:t xml:space="preserve">3.4.3 </w:t>
      </w:r>
      <w:r>
        <w:rPr>
          <w:rFonts w:hint="eastAsia" w:ascii="宋体" w:hAnsi="宋体" w:eastAsia="宋体"/>
          <w:color w:val="000000"/>
          <w:sz w:val="24"/>
        </w:rPr>
        <w:t xml:space="preserve">技术-组织-环境三维度因素识别</w:t>
      </w:r>
    </w:p>
    <w:p>
      <w:pPr>
        <w:pStyle w:val="FirstParagraph"/>
        <w:spacing w:line="360" w:lineRule="auto"/>
      </w:pPr>
      <w:r>
        <w:rPr>
          <w:rFonts w:hint="eastAsia" w:ascii="宋体" w:hAnsi="宋体" w:eastAsia="宋体"/>
          <w:color w:val="000000"/>
          <w:sz w:val="24"/>
        </w:rPr>
        <w:t xml:space="preserve">基于TOE框架和现有文献，本研究识别了以下影响因素。</w:t>
      </w:r>
    </w:p>
    <w:p>
      <w:pPr>
        <w:pStyle w:val="BodyText"/>
        <w:spacing w:line="360" w:lineRule="auto"/>
      </w:pPr>
      <w:r>
        <w:rPr>
          <w:rFonts w:hint="eastAsia" w:ascii="宋体" w:hAnsi="宋体" w:eastAsia="宋体"/>
          <w:b/>
          <w:bCs/>
          <w:color w:val="000000"/>
          <w:sz w:val="24"/>
        </w:rPr>
        <w:t xml:space="preserve">技术层面因素。</w:t>
      </w:r>
      <w:r>
        <w:rPr>
          <w:rFonts w:ascii="宋体" w:hAnsi="宋体" w:eastAsia="宋体"/>
          <w:color w:val="000000"/>
          <w:sz w:val="24"/>
        </w:rPr>
        <w:t xml:space="preserve"> </w:t>
      </w:r>
      <w:r>
        <w:rPr>
          <w:rFonts w:hint="eastAsia" w:ascii="宋体" w:hAnsi="宋体" w:eastAsia="宋体"/>
          <w:color w:val="000000"/>
          <w:sz w:val="24"/>
        </w:rPr>
        <w:t xml:space="preserve">包括：（1）数据质量——数据的准确性、完整性、及时性、一致性和机器可读性；（2）API开放度——API接口的完备性、文档的完整性、调用的稳定性；（3）平台功能——检索功能、数据预览、可视化展示、用户反馈等功能的完备性；（4）数据标准——数据格式标准化程度、元数据规范程度、编码一致性。技术层面因素是影响数据利用绩效的基础性条件——如果数据本身质量低劣、API不可用、平台功能简陋，那么即使组织条件和环境条件再好，也难以产生良好的利用效果。</w:t>
      </w:r>
    </w:p>
    <w:p>
      <w:pPr>
        <w:pStyle w:val="BodyText"/>
        <w:spacing w:line="360" w:lineRule="auto"/>
      </w:pPr>
      <w:r>
        <w:rPr>
          <w:rFonts w:hint="eastAsia" w:ascii="宋体" w:hAnsi="宋体" w:eastAsia="宋体"/>
          <w:color w:val="000000"/>
          <w:sz w:val="24"/>
        </w:rPr>
        <w:t xml:space="preserve">技术层面因素的评估需要考虑”技术成熟度”和”技术应用度”的区别。技术成熟度指某种技术在理论上的成熟程度——例如，RESTful</w:t>
      </w:r>
      <w:r>
        <w:rPr>
          <w:rFonts w:ascii="宋体" w:hAnsi="宋体" w:eastAsia="宋体"/>
          <w:color w:val="000000"/>
          <w:sz w:val="24"/>
        </w:rPr>
        <w:t xml:space="preserve"> </w:t>
      </w:r>
      <w:r>
        <w:rPr>
          <w:rFonts w:hint="eastAsia" w:ascii="宋体" w:hAnsi="宋体" w:eastAsia="宋体"/>
          <w:color w:val="000000"/>
          <w:sz w:val="24"/>
        </w:rPr>
        <w:t xml:space="preserve">API技术在理论上已经非常成熟，有完善的规范和工具支持。技术应用度指某种技术在实际中的应用程度——例如，虽然RESTful</w:t>
      </w:r>
      <w:r>
        <w:rPr>
          <w:rFonts w:ascii="宋体" w:hAnsi="宋体" w:eastAsia="宋体"/>
          <w:color w:val="000000"/>
          <w:sz w:val="24"/>
        </w:rPr>
        <w:t xml:space="preserve"> </w:t>
      </w:r>
      <w:r>
        <w:rPr>
          <w:rFonts w:hint="eastAsia" w:ascii="宋体" w:hAnsi="宋体" w:eastAsia="宋体"/>
          <w:color w:val="000000"/>
          <w:sz w:val="24"/>
        </w:rPr>
        <w:t xml:space="preserve">API技术很成熟，但某平台可能并未采用该技术，而是采用了过时的SOAP协议。本研究在评估中关注的是”技术应用度”而非”技术成熟度”——评估的是平台实际采用了什么技术，而非理论上应该采用什么技术。</w:t>
      </w:r>
    </w:p>
    <w:p>
      <w:pPr>
        <w:pStyle w:val="BodyText"/>
        <w:spacing w:line="360" w:lineRule="auto"/>
      </w:pPr>
      <w:r>
        <w:rPr>
          <w:rFonts w:hint="eastAsia" w:ascii="宋体" w:hAnsi="宋体" w:eastAsia="宋体"/>
          <w:b/>
          <w:bCs/>
          <w:color w:val="000000"/>
          <w:sz w:val="24"/>
        </w:rPr>
        <w:t xml:space="preserve">组织层面因素。</w:t>
      </w:r>
      <w:r>
        <w:rPr>
          <w:rFonts w:ascii="宋体" w:hAnsi="宋体" w:eastAsia="宋体"/>
          <w:color w:val="000000"/>
          <w:sz w:val="24"/>
        </w:rPr>
        <w:t xml:space="preserve"> </w:t>
      </w:r>
      <w:r>
        <w:rPr>
          <w:rFonts w:hint="eastAsia" w:ascii="宋体" w:hAnsi="宋体" w:eastAsia="宋体"/>
          <w:color w:val="000000"/>
          <w:sz w:val="24"/>
        </w:rPr>
        <w:t xml:space="preserve">包括：（1）制度环境——数据开放管理办法、数据质量标准、数据安全规范等制度的完善程度；（2）组织能力——数据治理团队的专业性、跨部门协调机制的有效性、财政资源投入的充足性；（3）授权运营——授权运营制度的建立情况、授权运营项目的数量和成效；（4）领导力——政府主要领导对数据开放的重视程度、数据开放的战略定位。组织层面因素是影响数据利用绩效的制度性条件——技术条件再好，如果缺乏有效的制度保障和组织能力，也难以持续产生良好的绩效。</w:t>
      </w:r>
    </w:p>
    <w:p>
      <w:pPr>
        <w:pStyle w:val="BodyText"/>
        <w:spacing w:line="360" w:lineRule="auto"/>
      </w:pPr>
      <w:r>
        <w:rPr>
          <w:rFonts w:hint="eastAsia" w:ascii="宋体" w:hAnsi="宋体" w:eastAsia="宋体"/>
          <w:color w:val="000000"/>
          <w:sz w:val="24"/>
        </w:rPr>
        <w:t xml:space="preserve">组织层面因素的评估需要区分”正式制度”和”非正式制度”。正式制度包括法律法规、政策文件、标准规范等书面化的制度安排；非正式制度包括组织文化、惯例做法、人际关系等非书面化的制度安排。在政府数据开放领域，非正式制度往往比正式制度更影响实际行为——例如，即使出台了数据开放管理办法，如果组织文化中缺乏”开放共享”的理念，管理办法也可能沦为”纸上制度”。本研究在”组织层面”因素中主要关注正式制度（因非正式制度难以客观评估），但通过”组织学习能力”和”创新适应能力”等指标间接反映了非正式制度的影响。</w:t>
      </w:r>
    </w:p>
    <w:p>
      <w:pPr>
        <w:pStyle w:val="BodyText"/>
        <w:spacing w:line="360" w:lineRule="auto"/>
      </w:pPr>
      <w:r>
        <w:rPr>
          <w:rFonts w:hint="eastAsia" w:ascii="宋体" w:hAnsi="宋体" w:eastAsia="宋体"/>
          <w:b/>
          <w:bCs/>
          <w:color w:val="000000"/>
          <w:sz w:val="24"/>
        </w:rPr>
        <w:t xml:space="preserve">环境层面因素。</w:t>
      </w:r>
      <w:r>
        <w:rPr>
          <w:rFonts w:ascii="宋体" w:hAnsi="宋体" w:eastAsia="宋体"/>
          <w:color w:val="000000"/>
          <w:sz w:val="24"/>
        </w:rPr>
        <w:t xml:space="preserve"> </w:t>
      </w:r>
      <w:r>
        <w:rPr>
          <w:rFonts w:hint="eastAsia" w:ascii="宋体" w:hAnsi="宋体" w:eastAsia="宋体"/>
          <w:color w:val="000000"/>
          <w:sz w:val="24"/>
        </w:rPr>
        <w:t xml:space="preserve">包括：（1）区域经济发展水平——地区GDP、人均GDP、产业结构等经济指标；（2）数字经济基础——数字产业规模、数字企业数量、数字人才储备等；（3）用户数据素养——公众的数据获取能力、数据分析能力、数据应用能力；（4）创新创业生态——科技企业数量、创业孵化器数量、风险投资活跃度等。环境层面因素是影响数据利用绩效的外部情境条件——技术条件和组织条件再好的平台，如果嵌入在一个数字经济基础薄弱、用户数据素养低下的环境中，其数据利用效果也可能受到制约。</w:t>
      </w:r>
    </w:p>
    <w:p>
      <w:pPr>
        <w:pStyle w:val="BodyText"/>
        <w:spacing w:line="360" w:lineRule="auto"/>
      </w:pPr>
      <w:r>
        <w:rPr>
          <w:rFonts w:hint="eastAsia" w:ascii="宋体" w:hAnsi="宋体" w:eastAsia="宋体"/>
          <w:color w:val="000000"/>
          <w:sz w:val="24"/>
        </w:rPr>
        <w:t xml:space="preserve">环境层面因素的评估需要区分”客观环境”和”感知环境”。客观环境是可测量的外部条件（如GDP、企业数量等）；感知环境是组织对外部条件的主观认知（如”我们认为本地数字经济发展良好”）。在TOE框架中，技术创新的采纳行为受到”感知环境”而非”客观环境”的直接影响——组织是根据对外部环境的主观判断来决策的，而非根据客观数据的精确计算。本研究在”环境层面”因素中主要关注客观环境（因客观数据更易获取），但承认感知环境在中介机制中的重要作用。</w:t>
      </w:r>
    </w:p>
    <w:bookmarkEnd w:id="115"/>
    <w:bookmarkStart w:id="116" w:name="理论框架的整合逻辑"/>
    <w:p>
      <w:pPr>
        <w:pStyle w:val="Heading4"/>
        <w:spacing w:line="360" w:lineRule="auto"/>
      </w:pPr>
      <w:r>
        <w:rPr>
          <w:rFonts w:ascii="宋体" w:hAnsi="宋体" w:eastAsia="宋体"/>
          <w:color w:val="000000"/>
          <w:sz w:val="24"/>
        </w:rPr>
        <w:t xml:space="preserve">3.4.4 </w:t>
      </w:r>
      <w:r>
        <w:rPr>
          <w:rFonts w:hint="eastAsia" w:ascii="宋体" w:hAnsi="宋体" w:eastAsia="宋体"/>
          <w:color w:val="000000"/>
          <w:sz w:val="24"/>
        </w:rPr>
        <w:t xml:space="preserve">理论框架的整合逻辑</w:t>
      </w:r>
    </w:p>
    <w:p>
      <w:pPr>
        <w:pStyle w:val="FirstParagraph"/>
        <w:spacing w:line="360" w:lineRule="auto"/>
      </w:pPr>
      <w:r>
        <w:rPr>
          <w:rFonts w:hint="eastAsia" w:ascii="宋体" w:hAnsi="宋体" w:eastAsia="宋体"/>
          <w:color w:val="000000"/>
          <w:sz w:val="24"/>
        </w:rPr>
        <w:t xml:space="preserve">本研究将四个理论整合为”效果导向”的评估理论框架，整合逻辑如下：</w:t>
      </w:r>
    </w:p>
    <w:p>
      <w:pPr>
        <w:pStyle w:val="BodyText"/>
        <w:spacing w:line="360" w:lineRule="auto"/>
      </w:pPr>
      <w:r>
        <w:rPr>
          <w:rFonts w:hint="eastAsia" w:ascii="宋体" w:hAnsi="宋体" w:eastAsia="宋体"/>
          <w:b/>
          <w:bCs/>
          <w:color w:val="000000"/>
          <w:sz w:val="24"/>
        </w:rPr>
        <w:t xml:space="preserve">公共价值理论提供价值目标</w:t>
      </w:r>
      <w:r>
        <w:rPr>
          <w:rFonts w:hint="eastAsia" w:ascii="宋体" w:hAnsi="宋体" w:eastAsia="宋体"/>
          <w:color w:val="000000"/>
          <w:sz w:val="24"/>
        </w:rPr>
        <w:t xml:space="preserve">——回答”为什么评估”：政府数据开放的根本目的是创造公共价值（透明性、参与性、效率性、公平性）。</w:t>
      </w:r>
    </w:p>
    <w:p>
      <w:pPr>
        <w:pStyle w:val="BodyText"/>
        <w:spacing w:line="360" w:lineRule="auto"/>
      </w:pPr>
      <w:r>
        <w:rPr>
          <w:rFonts w:hint="eastAsia" w:ascii="宋体" w:hAnsi="宋体" w:eastAsia="宋体"/>
          <w:b/>
          <w:bCs/>
          <w:color w:val="000000"/>
          <w:sz w:val="24"/>
        </w:rPr>
        <w:t xml:space="preserve">数据要素价值化理论提供转化机制</w:t>
      </w:r>
      <w:r>
        <w:rPr>
          <w:rFonts w:hint="eastAsia" w:ascii="宋体" w:hAnsi="宋体" w:eastAsia="宋体"/>
          <w:color w:val="000000"/>
          <w:sz w:val="24"/>
        </w:rPr>
        <w:t xml:space="preserve">——回答”价值如何产生”：原始数据需经”汇聚→治理→开放→利用→价值实现”的价值链转化。</w:t>
      </w:r>
    </w:p>
    <w:p>
      <w:pPr>
        <w:pStyle w:val="BodyText"/>
        <w:spacing w:line="360" w:lineRule="auto"/>
      </w:pPr>
      <w:r>
        <w:rPr>
          <w:rFonts w:hint="eastAsia" w:ascii="宋体" w:hAnsi="宋体" w:eastAsia="宋体"/>
          <w:b/>
          <w:bCs/>
          <w:color w:val="000000"/>
          <w:sz w:val="24"/>
        </w:rPr>
        <w:t xml:space="preserve">4E框架提供评估维度</w:t>
      </w:r>
      <w:r>
        <w:rPr>
          <w:rFonts w:hint="eastAsia" w:ascii="宋体" w:hAnsi="宋体" w:eastAsia="宋体"/>
          <w:color w:val="000000"/>
          <w:sz w:val="24"/>
        </w:rPr>
        <w:t xml:space="preserve">——回答”评估什么”：供给保障（Economy）、平台服务（Efficiency过程维度）、数据质量（Efficiency质量维度）、利用效果（Effectiveness）、公平性（Equity）。</w:t>
      </w:r>
    </w:p>
    <w:p>
      <w:pPr>
        <w:pStyle w:val="BodyText"/>
        <w:spacing w:line="360" w:lineRule="auto"/>
      </w:pPr>
      <w:r>
        <w:rPr>
          <w:rFonts w:hint="eastAsia" w:ascii="宋体" w:hAnsi="宋体" w:eastAsia="宋体"/>
          <w:b/>
          <w:bCs/>
          <w:color w:val="000000"/>
          <w:sz w:val="24"/>
        </w:rPr>
        <w:t xml:space="preserve">TOE框架提供影响因素视角</w:t>
      </w:r>
      <w:r>
        <w:rPr>
          <w:rFonts w:hint="eastAsia" w:ascii="宋体" w:hAnsi="宋体" w:eastAsia="宋体"/>
          <w:color w:val="000000"/>
          <w:sz w:val="24"/>
        </w:rPr>
        <w:t xml:space="preserve">——回答”什么影响绩效”：技术条件、组织能力、制度环境共同影响绩效。</w:t>
      </w:r>
    </w:p>
    <w:p>
      <w:pPr>
        <w:pStyle w:val="BodyText"/>
        <w:spacing w:line="360" w:lineRule="auto"/>
      </w:pPr>
      <w:r>
        <w:rPr>
          <w:rFonts w:hint="eastAsia" w:ascii="宋体" w:hAnsi="宋体" w:eastAsia="宋体"/>
          <w:color w:val="000000"/>
          <w:sz w:val="24"/>
        </w:rPr>
        <w:t xml:space="preserve">四个理论形成三层结构：价值层（公共价值理论）→机制层（数据要素价值化理论）→操作层（4E+TOE框架），构成从”为什么”到”什么”再到”如何”的完整理论闭环。</w:t>
      </w:r>
    </w:p>
    <w:bookmarkEnd w:id="116"/>
    <w:bookmarkEnd w:id="117"/>
    <w:bookmarkStart w:id="121" w:name="整合分析模型"/>
    <w:p>
      <w:pPr>
        <w:pStyle w:val="Heading3"/>
        <w:spacing w:line="360" w:lineRule="auto"/>
      </w:pPr>
      <w:r>
        <w:rPr>
          <w:rFonts w:ascii="黑体" w:hAnsi="黑体" w:eastAsia="黑体"/>
          <w:b/>
          <w:color w:val="000000"/>
          <w:sz w:val="24"/>
        </w:rPr>
        <w:t xml:space="preserve">3.5 </w:t>
      </w:r>
      <w:r>
        <w:rPr>
          <w:rFonts w:hint="eastAsia" w:ascii="黑体" w:hAnsi="黑体" w:eastAsia="黑体"/>
          <w:b/>
          <w:color w:val="000000"/>
          <w:sz w:val="24"/>
        </w:rPr>
        <w:t xml:space="preserve">整合分析模型</w:t>
      </w:r>
    </w:p>
    <w:bookmarkStart w:id="118" w:name="评估-归因-组态递进分析逻辑"/>
    <w:p>
      <w:pPr>
        <w:pStyle w:val="Heading4"/>
        <w:spacing w:line="360" w:lineRule="auto"/>
      </w:pPr>
      <w:r>
        <w:rPr>
          <w:rFonts w:ascii="宋体" w:hAnsi="宋体" w:eastAsia="宋体"/>
          <w:color w:val="000000"/>
          <w:sz w:val="24"/>
        </w:rPr>
        <w:t xml:space="preserve">3.5.1</w:t>
      </w:r>
      <w:r>
        <w:rPr>
          <w:rFonts w:ascii="宋体" w:hAnsi="宋体" w:eastAsia="宋体"/>
          <w:color w:val="000000"/>
          <w:sz w:val="24"/>
        </w:rPr>
        <w:t xml:space="preserve"> </w:t>
      </w:r>
      <w:r>
        <w:rPr>
          <w:rFonts w:hint="eastAsia" w:ascii="宋体" w:hAnsi="宋体" w:eastAsia="宋体"/>
          <w:color w:val="000000"/>
          <w:sz w:val="24"/>
        </w:rPr>
        <w:t xml:space="preserve">“评估-归因-组态”</w:t>
      </w:r>
      <w:r>
        <w:rPr>
          <w:rFonts w:hint="eastAsia" w:ascii="宋体" w:hAnsi="宋体" w:eastAsia="宋体"/>
          <w:color w:val="000000"/>
          <w:sz w:val="24"/>
        </w:rPr>
        <w:t xml:space="preserve">递进分析逻辑</w:t>
      </w:r>
    </w:p>
    <w:p>
      <w:pPr>
        <w:pStyle w:val="FirstParagraph"/>
        <w:spacing w:line="360" w:lineRule="auto"/>
      </w:pPr>
      <w:r>
        <w:rPr>
          <w:rFonts w:hint="eastAsia" w:ascii="宋体" w:hAnsi="宋体" w:eastAsia="宋体"/>
          <w:color w:val="000000"/>
          <w:sz w:val="24"/>
        </w:rPr>
        <w:t xml:space="preserve">基于上述理论基础，本研究构建了”评估-归因-组态”的递进分析逻辑，形成从”绩效是什么”到”绩效为什么”再到”如何提升绩效”的完整研究链条。</w:t>
      </w:r>
    </w:p>
    <w:p>
      <w:pPr>
        <w:pStyle w:val="BodyText"/>
        <w:spacing w:line="360" w:lineRule="auto"/>
      </w:pPr>
      <w:r>
        <w:rPr>
          <w:rFonts w:hint="eastAsia" w:ascii="宋体" w:hAnsi="宋体" w:eastAsia="宋体"/>
          <w:b/>
          <w:bCs/>
          <w:color w:val="000000"/>
          <w:sz w:val="24"/>
        </w:rPr>
        <w:t xml:space="preserve">评估（Evaluation）——回答”绩效如何”。</w:t>
      </w:r>
      <w:r>
        <w:rPr>
          <w:rFonts w:ascii="宋体" w:hAnsi="宋体" w:eastAsia="宋体"/>
          <w:color w:val="000000"/>
          <w:sz w:val="24"/>
        </w:rPr>
        <w:t xml:space="preserve"> </w:t>
      </w:r>
      <w:r>
        <w:rPr>
          <w:rFonts w:hint="eastAsia" w:ascii="宋体" w:hAnsi="宋体" w:eastAsia="宋体"/>
          <w:color w:val="000000"/>
          <w:sz w:val="24"/>
        </w:rPr>
        <w:t xml:space="preserve">运用4E评估框架和熵权TOPSIS方法，对28个省级平台的数据利用绩效进行综合评估和排名。评估阶段的核心任务是回答”绩效是什么”——各平台的绩效水平如何？绩效的维度构成如何？区域差异有多大？评估阶段不解释绩效差异的原因，只描述绩效的现状。</w:t>
      </w:r>
    </w:p>
    <w:p>
      <w:pPr>
        <w:pStyle w:val="BodyText"/>
        <w:spacing w:line="360" w:lineRule="auto"/>
      </w:pPr>
      <w:r>
        <w:rPr>
          <w:rFonts w:hint="eastAsia" w:ascii="宋体" w:hAnsi="宋体" w:eastAsia="宋体"/>
          <w:b/>
          <w:bCs/>
          <w:color w:val="000000"/>
          <w:sz w:val="24"/>
        </w:rPr>
        <w:t xml:space="preserve">归因（Attribution）——回答”绩效为何如此”。</w:t>
      </w:r>
      <w:r>
        <w:rPr>
          <w:rFonts w:ascii="宋体" w:hAnsi="宋体" w:eastAsia="宋体"/>
          <w:color w:val="000000"/>
          <w:sz w:val="24"/>
        </w:rPr>
        <w:t xml:space="preserve"> </w:t>
      </w:r>
      <w:r>
        <w:rPr>
          <w:rFonts w:hint="eastAsia" w:ascii="宋体" w:hAnsi="宋体" w:eastAsia="宋体"/>
          <w:color w:val="000000"/>
          <w:sz w:val="24"/>
        </w:rPr>
        <w:t xml:space="preserve">运用DEMATEL方法，分析各影响因素之间的关联关系和因果关系，识别影响绩效的传导中枢和关键因素。归因阶段的核心任务是回答”绩效为什么”——哪些因素对绩效的影响最大？因素之间是如何相互影响的？影响路径是什么？归因阶段揭示绩效差异的形成机制，但不提供优化路径。</w:t>
      </w:r>
    </w:p>
    <w:p>
      <w:pPr>
        <w:pStyle w:val="BodyText"/>
        <w:spacing w:line="360" w:lineRule="auto"/>
      </w:pPr>
      <w:r>
        <w:rPr>
          <w:rFonts w:hint="eastAsia" w:ascii="宋体" w:hAnsi="宋体" w:eastAsia="宋体"/>
          <w:b/>
          <w:bCs/>
          <w:color w:val="000000"/>
          <w:sz w:val="24"/>
        </w:rPr>
        <w:t xml:space="preserve">组态（Configuration）——回答”如何组合才能高绩效”。</w:t>
      </w:r>
      <w:r>
        <w:rPr>
          <w:rFonts w:ascii="宋体" w:hAnsi="宋体" w:eastAsia="宋体"/>
          <w:color w:val="000000"/>
          <w:sz w:val="24"/>
        </w:rPr>
        <w:t xml:space="preserve"> </w:t>
      </w:r>
      <w:r>
        <w:rPr>
          <w:rFonts w:hint="eastAsia" w:ascii="宋体" w:hAnsi="宋体" w:eastAsia="宋体"/>
          <w:color w:val="000000"/>
          <w:sz w:val="24"/>
        </w:rPr>
        <w:t xml:space="preserve">运用fsQCA方法，揭示导致高绩效的多重等效路径，识别不同类型平台的优化策略。组态阶段的核心任务是回答”绩效如何提升”——哪些条件组合可以导致高绩效？不同类型平台应采取何种差异化策略？组态阶段将归因分析的结果转化为可操作的优化建议。</w:t>
      </w:r>
    </w:p>
    <w:p>
      <w:pPr>
        <w:pStyle w:val="BodyText"/>
        <w:spacing w:line="360" w:lineRule="auto"/>
      </w:pPr>
      <w:r>
        <w:rPr>
          <w:rFonts w:hint="eastAsia" w:ascii="宋体" w:hAnsi="宋体" w:eastAsia="宋体"/>
          <w:color w:val="000000"/>
          <w:sz w:val="24"/>
        </w:rPr>
        <w:t xml:space="preserve">三个阶段的逻辑关系是递进式的：评估提供事实基础（绩效现状），归因提供解释基础（形成机制），组态提供行动基础（优化路径）。三个阶段各司其职、相互支撑，避免了将绩效评估与影响因素分析混淆的理论困境。</w:t>
      </w:r>
    </w:p>
    <w:bookmarkEnd w:id="118"/>
    <w:bookmarkStart w:id="119" w:name="e与toe的整合框架图"/>
    <w:p>
      <w:pPr>
        <w:pStyle w:val="Heading4"/>
        <w:spacing w:line="360" w:lineRule="auto"/>
      </w:pPr>
      <w:r>
        <w:rPr>
          <w:rFonts w:ascii="宋体" w:hAnsi="宋体" w:eastAsia="宋体"/>
          <w:color w:val="000000"/>
          <w:sz w:val="24"/>
        </w:rPr>
        <w:t xml:space="preserve">3.5.2 </w:t>
      </w:r>
      <w:r>
        <w:rPr>
          <w:rFonts w:hint="eastAsia" w:ascii="宋体" w:hAnsi="宋体" w:eastAsia="宋体"/>
          <w:color w:val="000000"/>
          <w:sz w:val="24"/>
        </w:rPr>
        <w:t xml:space="preserve">4E与TOE的整合框架图</w:t>
      </w:r>
    </w:p>
    <w:p>
      <w:pPr>
        <w:pStyle w:val="FirstParagraph"/>
        <w:spacing w:line="360" w:lineRule="auto"/>
      </w:pPr>
      <w:r>
        <w:rPr>
          <w:rFonts w:hint="eastAsia" w:ascii="宋体" w:hAnsi="宋体" w:eastAsia="宋体"/>
          <w:color w:val="000000"/>
          <w:sz w:val="24"/>
        </w:rPr>
        <w:t xml:space="preserve">4E评估框架和TOE影响因素框架的整合，形成了本研究的完整分析框架。4E框架回答”绩效是什么”——从供给保障、平台服务、数据质量、利用效果、公平性五个维度测量绩效水平。TOE框架回答”绩效为什么”——从技术、组织、环境三个层面识别影响因素。二者的整合关系如下。</w:t>
      </w:r>
    </w:p>
    <w:p>
      <w:pPr>
        <w:pStyle w:val="BodyText"/>
        <w:spacing w:line="360" w:lineRule="auto"/>
      </w:pPr>
      <w:r>
        <w:rPr>
          <w:rFonts w:hint="eastAsia" w:ascii="宋体" w:hAnsi="宋体" w:eastAsia="宋体"/>
          <w:b/>
          <w:bCs/>
          <w:color w:val="000000"/>
          <w:sz w:val="24"/>
        </w:rPr>
        <w:t xml:space="preserve">供给保障维度</w:t>
      </w:r>
      <w:r>
        <w:rPr>
          <w:rFonts w:hint="eastAsia" w:ascii="宋体" w:hAnsi="宋体" w:eastAsia="宋体"/>
          <w:color w:val="000000"/>
          <w:sz w:val="24"/>
        </w:rPr>
        <w:t xml:space="preserve">主要受组织层面因素（制度环境、财政投入）和环境层面因素（区域经济发展水平）的影响。制度环境完善的平台通常拥有更充足的数据资源和更稳定的供给保障；区域经济发达的平台通常拥有更丰富的数据资源和更强的数据汇聚能力。</w:t>
      </w:r>
    </w:p>
    <w:p>
      <w:pPr>
        <w:pStyle w:val="BodyText"/>
        <w:spacing w:line="360" w:lineRule="auto"/>
      </w:pPr>
      <w:r>
        <w:rPr>
          <w:rFonts w:hint="eastAsia" w:ascii="宋体" w:hAnsi="宋体" w:eastAsia="宋体"/>
          <w:b/>
          <w:bCs/>
          <w:color w:val="000000"/>
          <w:sz w:val="24"/>
        </w:rPr>
        <w:t xml:space="preserve">平台服务维度</w:t>
      </w:r>
      <w:r>
        <w:rPr>
          <w:rFonts w:hint="eastAsia" w:ascii="宋体" w:hAnsi="宋体" w:eastAsia="宋体"/>
          <w:color w:val="000000"/>
          <w:sz w:val="24"/>
        </w:rPr>
        <w:t xml:space="preserve">主要受技术层面因素（API开放度、平台功能）和组织层面因素（组织能力、数据治理团队）的影响。技术架构先进的平台通常提供更完善的API和更友好的用户界面；组织能力强的平台通常能够持续优化平台功能、及时响应用户需求。</w:t>
      </w:r>
    </w:p>
    <w:p>
      <w:pPr>
        <w:pStyle w:val="BodyText"/>
        <w:spacing w:line="360" w:lineRule="auto"/>
      </w:pPr>
      <w:r>
        <w:rPr>
          <w:rFonts w:hint="eastAsia" w:ascii="宋体" w:hAnsi="宋体" w:eastAsia="宋体"/>
          <w:b/>
          <w:bCs/>
          <w:color w:val="000000"/>
          <w:sz w:val="24"/>
        </w:rPr>
        <w:t xml:space="preserve">数据质量维度</w:t>
      </w:r>
      <w:r>
        <w:rPr>
          <w:rFonts w:hint="eastAsia" w:ascii="宋体" w:hAnsi="宋体" w:eastAsia="宋体"/>
          <w:color w:val="000000"/>
          <w:sz w:val="24"/>
        </w:rPr>
        <w:t xml:space="preserve">主要受技术层面因素（数据标准、质量控制技术）和组织层面因素（数据治理能力、质量审查机制）的影响。采用统一数据标准的平台通常拥有更高质量的数据；建立专门质量审查机制的平台通常能够在上传前发现并修正数据质量问题。</w:t>
      </w:r>
    </w:p>
    <w:p>
      <w:pPr>
        <w:pStyle w:val="BodyText"/>
        <w:spacing w:line="360" w:lineRule="auto"/>
      </w:pPr>
      <w:r>
        <w:rPr>
          <w:rFonts w:hint="eastAsia" w:ascii="宋体" w:hAnsi="宋体" w:eastAsia="宋体"/>
          <w:b/>
          <w:bCs/>
          <w:color w:val="000000"/>
          <w:sz w:val="24"/>
        </w:rPr>
        <w:t xml:space="preserve">利用效果维度</w:t>
      </w:r>
      <w:r>
        <w:rPr>
          <w:rFonts w:hint="eastAsia" w:ascii="宋体" w:hAnsi="宋体" w:eastAsia="宋体"/>
          <w:color w:val="000000"/>
          <w:sz w:val="24"/>
        </w:rPr>
        <w:t xml:space="preserve">主要受技术层面因素（数据质量、API开放度）、组织层面因素（授权运营机制、用户培育）和环境层面因素（数字经济基础、用户数据素养）的共同影响。利用效果是三个层面因素综合作用的结果——技术条件决定了数据”能否被利用”，组织条件决定了平台”是否推动利用”，环境条件决定了社会”是否有能力利用”。</w:t>
      </w:r>
    </w:p>
    <w:p>
      <w:pPr>
        <w:pStyle w:val="BodyText"/>
        <w:spacing w:line="360" w:lineRule="auto"/>
      </w:pPr>
      <w:r>
        <w:rPr>
          <w:rFonts w:hint="eastAsia" w:ascii="宋体" w:hAnsi="宋体" w:eastAsia="宋体"/>
          <w:b/>
          <w:bCs/>
          <w:color w:val="000000"/>
          <w:sz w:val="24"/>
        </w:rPr>
        <w:t xml:space="preserve">公平性维度</w:t>
      </w:r>
      <w:r>
        <w:rPr>
          <w:rFonts w:hint="eastAsia" w:ascii="宋体" w:hAnsi="宋体" w:eastAsia="宋体"/>
          <w:color w:val="000000"/>
          <w:sz w:val="24"/>
        </w:rPr>
        <w:t xml:space="preserve">主要受环境层面因素（区域差距、群体差距）和组织层面因素（制度设计、普惠策略）的影响。公平性的改善需要制度层面的主动设计——例如，通过定向扶持中西部平台、开展数据素养培训、提供技术支持等方式，缩小区域间和群体间的数据利用差距。</w:t>
      </w:r>
    </w:p>
    <w:bookmarkEnd w:id="119"/>
    <w:bookmarkStart w:id="120" w:name="研究假设的提出"/>
    <w:p>
      <w:pPr>
        <w:pStyle w:val="Heading4"/>
        <w:spacing w:line="360" w:lineRule="auto"/>
      </w:pPr>
      <w:r>
        <w:rPr>
          <w:rFonts w:ascii="宋体" w:hAnsi="宋体" w:eastAsia="宋体"/>
          <w:color w:val="000000"/>
          <w:sz w:val="24"/>
        </w:rPr>
        <w:t xml:space="preserve">3.5.3 </w:t>
      </w:r>
      <w:r>
        <w:rPr>
          <w:rFonts w:hint="eastAsia" w:ascii="宋体" w:hAnsi="宋体" w:eastAsia="宋体"/>
          <w:color w:val="000000"/>
          <w:sz w:val="24"/>
        </w:rPr>
        <w:t xml:space="preserve">研究假设的提出</w:t>
      </w:r>
    </w:p>
    <w:p>
      <w:pPr>
        <w:pStyle w:val="FirstParagraph"/>
        <w:spacing w:line="360" w:lineRule="auto"/>
      </w:pPr>
      <w:r>
        <w:rPr>
          <w:rFonts w:hint="eastAsia" w:ascii="宋体" w:hAnsi="宋体" w:eastAsia="宋体"/>
          <w:color w:val="000000"/>
          <w:sz w:val="24"/>
        </w:rPr>
        <w:t xml:space="preserve">基于上述整合分析模型，本研究提出以下研究假设。</w:t>
      </w:r>
    </w:p>
    <w:p>
      <w:pPr>
        <w:pStyle w:val="BodyText"/>
        <w:spacing w:line="360" w:lineRule="auto"/>
      </w:pPr>
      <w:r>
        <w:rPr>
          <w:rFonts w:hint="eastAsia" w:ascii="宋体" w:hAnsi="宋体" w:eastAsia="宋体"/>
          <w:b/>
          <w:bCs/>
          <w:color w:val="000000"/>
          <w:sz w:val="24"/>
        </w:rPr>
        <w:t xml:space="preserve">H1：供给保障对数据利用绩效有显著正向影响。</w:t>
      </w:r>
      <w:r>
        <w:rPr>
          <w:rFonts w:ascii="宋体" w:hAnsi="宋体" w:eastAsia="宋体"/>
          <w:color w:val="000000"/>
          <w:sz w:val="24"/>
        </w:rPr>
        <w:t xml:space="preserve"> </w:t>
      </w:r>
      <w:r>
        <w:rPr>
          <w:rFonts w:hint="eastAsia" w:ascii="宋体" w:hAnsi="宋体" w:eastAsia="宋体"/>
          <w:color w:val="000000"/>
          <w:sz w:val="24"/>
        </w:rPr>
        <w:t xml:space="preserve">充足的数据供给是数据利用的前提条件——没有数据就谈不上利用。供给保障水平高的平台，其数据利用绩效也较高。</w:t>
      </w:r>
    </w:p>
    <w:p>
      <w:pPr>
        <w:pStyle w:val="BodyText"/>
        <w:spacing w:line="360" w:lineRule="auto"/>
      </w:pPr>
      <w:r>
        <w:rPr>
          <w:rFonts w:hint="eastAsia" w:ascii="宋体" w:hAnsi="宋体" w:eastAsia="宋体"/>
          <w:b/>
          <w:bCs/>
          <w:color w:val="000000"/>
          <w:sz w:val="24"/>
        </w:rPr>
        <w:t xml:space="preserve">H2：平台服务对数据利用绩效有显著正向影响。</w:t>
      </w:r>
      <w:r>
        <w:rPr>
          <w:rFonts w:ascii="宋体" w:hAnsi="宋体" w:eastAsia="宋体"/>
          <w:color w:val="000000"/>
          <w:sz w:val="24"/>
        </w:rPr>
        <w:t xml:space="preserve"> </w:t>
      </w:r>
      <w:r>
        <w:rPr>
          <w:rFonts w:hint="eastAsia" w:ascii="宋体" w:hAnsi="宋体" w:eastAsia="宋体"/>
          <w:color w:val="000000"/>
          <w:sz w:val="24"/>
        </w:rPr>
        <w:t xml:space="preserve">完善的平台服务降低了数据利用的摩擦成本，提升了用户的数据获取和利用效率。平台服务水平高的平台，其数据利用绩效也较高。</w:t>
      </w:r>
    </w:p>
    <w:p>
      <w:pPr>
        <w:pStyle w:val="BodyText"/>
        <w:spacing w:line="360" w:lineRule="auto"/>
      </w:pPr>
      <w:r>
        <w:rPr>
          <w:rFonts w:hint="eastAsia" w:ascii="宋体" w:hAnsi="宋体" w:eastAsia="宋体"/>
          <w:b/>
          <w:bCs/>
          <w:color w:val="000000"/>
          <w:sz w:val="24"/>
        </w:rPr>
        <w:t xml:space="preserve">H3：数据质量对数据利用绩效有显著正向影响。</w:t>
      </w:r>
      <w:r>
        <w:rPr>
          <w:rFonts w:ascii="宋体" w:hAnsi="宋体" w:eastAsia="宋体"/>
          <w:color w:val="000000"/>
          <w:sz w:val="24"/>
        </w:rPr>
        <w:t xml:space="preserve"> </w:t>
      </w:r>
      <w:r>
        <w:rPr>
          <w:rFonts w:hint="eastAsia" w:ascii="宋体" w:hAnsi="宋体" w:eastAsia="宋体"/>
          <w:color w:val="000000"/>
          <w:sz w:val="24"/>
        </w:rPr>
        <w:t xml:space="preserve">高质量的数据是有效利用的基础——低质量的数据不仅无法产生有效利用，还可能导致错误的分析结论。数据质量水平高的平台，其数据利用绩效也较高。</w:t>
      </w:r>
    </w:p>
    <w:p>
      <w:pPr>
        <w:pStyle w:val="BodyText"/>
        <w:spacing w:line="360" w:lineRule="auto"/>
      </w:pPr>
      <w:r>
        <w:rPr>
          <w:rFonts w:hint="eastAsia" w:ascii="宋体" w:hAnsi="宋体" w:eastAsia="宋体"/>
          <w:b/>
          <w:bCs/>
          <w:color w:val="000000"/>
          <w:sz w:val="24"/>
        </w:rPr>
        <w:t xml:space="preserve">H4：利用效果与供给保障、平台服务、数据质量之间存在非线性关系。</w:t>
      </w:r>
      <w:r>
        <w:rPr>
          <w:rFonts w:ascii="宋体" w:hAnsi="宋体" w:eastAsia="宋体"/>
          <w:color w:val="000000"/>
          <w:sz w:val="24"/>
        </w:rPr>
        <w:t xml:space="preserve"> </w:t>
      </w:r>
      <w:r>
        <w:rPr>
          <w:rFonts w:hint="eastAsia" w:ascii="宋体" w:hAnsi="宋体" w:eastAsia="宋体"/>
          <w:color w:val="000000"/>
          <w:sz w:val="24"/>
        </w:rPr>
        <w:t xml:space="preserve">利用效果不是三个维度简单叠加的结果，而是存在交互作用和阈值效应。例如，高数据质量在高平台服务的配合下才能产生高利用效果；在低平台服务的条件下，即使数据质量再高，利用效果也可能受限。</w:t>
      </w:r>
    </w:p>
    <w:p>
      <w:pPr>
        <w:pStyle w:val="BodyText"/>
        <w:spacing w:line="360" w:lineRule="auto"/>
      </w:pPr>
      <w:r>
        <w:rPr>
          <w:rFonts w:hint="eastAsia" w:ascii="宋体" w:hAnsi="宋体" w:eastAsia="宋体"/>
          <w:b/>
          <w:bCs/>
          <w:color w:val="000000"/>
          <w:sz w:val="24"/>
        </w:rPr>
        <w:t xml:space="preserve">H5：不同区域平台的高绩效路径存在显著差异。</w:t>
      </w:r>
      <w:r>
        <w:rPr>
          <w:rFonts w:ascii="宋体" w:hAnsi="宋体" w:eastAsia="宋体"/>
          <w:color w:val="000000"/>
          <w:sz w:val="24"/>
        </w:rPr>
        <w:t xml:space="preserve"> </w:t>
      </w:r>
      <w:r>
        <w:rPr>
          <w:rFonts w:hint="eastAsia" w:ascii="宋体" w:hAnsi="宋体" w:eastAsia="宋体"/>
          <w:color w:val="000000"/>
          <w:sz w:val="24"/>
        </w:rPr>
        <w:t xml:space="preserve">东部发达地区和中西部欠发达地区的高绩效路径可能不同——前者可能主要依赖技术驱动型路径，后者可能主要依赖制度驱动型路径。这要求优化策略必须因地制宜、分类施策。</w:t>
      </w:r>
    </w:p>
    <w:p>
      <w:pPr>
        <w:pStyle w:val="BodyText"/>
        <w:spacing w:line="360" w:lineRule="auto"/>
      </w:pPr>
      <w:r>
        <w:rPr>
          <w:rFonts w:hint="eastAsia" w:ascii="宋体" w:hAnsi="宋体" w:eastAsia="宋体"/>
          <w:b/>
          <w:bCs/>
          <w:color w:val="000000"/>
          <w:sz w:val="24"/>
        </w:rPr>
        <w:t xml:space="preserve">H6：存在多重等效的高绩效路径。</w:t>
      </w:r>
      <w:r>
        <w:rPr>
          <w:rFonts w:ascii="宋体" w:hAnsi="宋体" w:eastAsia="宋体"/>
          <w:color w:val="000000"/>
          <w:sz w:val="24"/>
        </w:rPr>
        <w:t xml:space="preserve"> </w:t>
      </w:r>
      <w:r>
        <w:rPr>
          <w:rFonts w:hint="eastAsia" w:ascii="宋体" w:hAnsi="宋体" w:eastAsia="宋体"/>
          <w:color w:val="000000"/>
          <w:sz w:val="24"/>
        </w:rPr>
        <w:t xml:space="preserve">同一高绩效结果可以由不同的条件组合产生——例如，</w:t>
      </w:r>
      <w:r>
        <w:rPr>
          <w:rFonts w:hint="eastAsia" w:ascii="宋体" w:hAnsi="宋体" w:eastAsia="宋体"/>
          <w:color w:val="000000"/>
          <w:sz w:val="24"/>
        </w:rPr>
        <w:t xml:space="preserve">“高供给+高服务+高质量”</w:t>
      </w:r>
      <w:r>
        <w:rPr>
          <w:rFonts w:hint="eastAsia" w:ascii="宋体" w:hAnsi="宋体" w:eastAsia="宋体"/>
          <w:color w:val="000000"/>
          <w:sz w:val="24"/>
        </w:rPr>
        <w:t xml:space="preserve">和”高质量+强制度+好环境”都可能产生高绩效。这一假设是fsQCA方法的理论基础。</w:t>
      </w:r>
    </w:p>
    <w:p>
      <w:pPr>
        <w:pStyle w:val="BodyText"/>
        <w:spacing w:line="360" w:lineRule="auto"/>
      </w:pPr>
      <w:r>
        <w:rPr>
          <w:rFonts w:hint="eastAsia" w:ascii="宋体" w:hAnsi="宋体" w:eastAsia="宋体"/>
          <w:color w:val="000000"/>
          <w:sz w:val="24"/>
        </w:rPr>
        <w:t xml:space="preserve">上述假设将在第五章和第六章通过实证分析进行检验。假设H1-H3通过TOPSIS和DEA分析进行验证，假设H4通过DEA效率分析和DEMATEL因果分析进行验证，假设H5-H6通过fsQCA组态分析进行验证。</w:t>
      </w:r>
    </w:p>
    <w:p>
      <w:pPr>
        <w:spacing w:line="360" w:lineRule="auto"/>
      </w:pPr>
      <w:r>
        <w:rPr>
          <w:rFonts w:ascii="宋体" w:hAnsi="宋体" w:eastAsia="宋体"/>
          <w:color w:val="000000"/>
          <w:sz w:val="24"/>
        </w:rPr>
        <w:pict>
          <v:rect style="width:0;height:1.5pt" o:hralign="center" o:hrstd="t" o:hr="t"/>
        </w:pict>
      </w:r>
    </w:p>
    <w:p>
      <w:pPr>
        <w:pStyle w:val="BlockText"/>
        <w:spacing w:line="360" w:lineRule="auto"/>
      </w:pPr>
      <w:r>
        <w:rPr>
          <w:rFonts w:hint="eastAsia" w:ascii="宋体" w:hAnsi="宋体" w:eastAsia="宋体"/>
          <w:b/>
          <w:bCs/>
          <w:color w:val="000000"/>
          <w:sz w:val="24"/>
        </w:rPr>
        <w:t xml:space="preserve">数据更新说明</w:t>
      </w:r>
      <w:r>
        <w:rPr>
          <w:rFonts w:hint="eastAsia" w:ascii="宋体" w:hAnsi="宋体" w:eastAsia="宋体"/>
          <w:color w:val="000000"/>
          <w:sz w:val="24"/>
        </w:rPr>
        <w:t xml:space="preserve">：以下为本章实证数据的最新统计结果。</w:t>
      </w:r>
    </w:p>
    <w:bookmarkEnd w:id="120"/>
    <w:bookmarkEnd w:id="121"/>
    <w:bookmarkStart w:id="125" w:name="第三章-数据引用更新说明"/>
    <w:p>
      <w:pPr>
        <w:pStyle w:val="Heading2"/>
        <w:spacing w:line="360" w:lineRule="auto"/>
      </w:pPr>
      <w:r>
        <w:rPr>
          <w:rFonts w:hint="eastAsia" w:ascii="黑体" w:hAnsi="黑体" w:eastAsia="黑体"/>
          <w:b/>
          <w:color w:val="000000"/>
          <w:sz w:val="28"/>
        </w:rPr>
        <w:t xml:space="preserve">第三章</w:t>
      </w:r>
      <w:r>
        <w:rPr>
          <w:rFonts w:ascii="黑体" w:hAnsi="黑体" w:eastAsia="黑体"/>
          <w:b/>
          <w:color w:val="000000"/>
          <w:sz w:val="28"/>
        </w:rPr>
        <w:t xml:space="preserve"> </w:t>
      </w:r>
      <w:r>
        <w:rPr>
          <w:rFonts w:hint="eastAsia" w:ascii="黑体" w:hAnsi="黑体" w:eastAsia="黑体"/>
          <w:b/>
          <w:color w:val="000000"/>
          <w:sz w:val="28"/>
        </w:rPr>
        <w:t xml:space="preserve">数据引用更新说明</w:t>
      </w:r>
    </w:p>
    <w:bookmarkStart w:id="124" w:name="需要更新的关键数据点-2"/>
    <w:p>
      <w:pPr>
        <w:pStyle w:val="Heading3"/>
        <w:spacing w:line="360" w:lineRule="auto"/>
      </w:pPr>
      <w:r>
        <w:rPr>
          <w:rFonts w:hint="eastAsia" w:ascii="黑体" w:hAnsi="黑体" w:eastAsia="黑体"/>
          <w:b/>
          <w:color w:val="000000"/>
          <w:sz w:val="24"/>
        </w:rPr>
        <w:t xml:space="preserve">需要更新的关键数据点</w:t>
      </w:r>
    </w:p>
    <w:bookmarkStart w:id="122" w:name="e框架在政府数据开放领域的适配"/>
    <w:p>
      <w:pPr>
        <w:pStyle w:val="Heading4"/>
        <w:spacing w:line="360" w:lineRule="auto"/>
      </w:pPr>
      <w:r>
        <w:rPr>
          <w:rFonts w:ascii="宋体" w:hAnsi="宋体" w:eastAsia="宋体"/>
          <w:color w:val="000000"/>
          <w:sz w:val="24"/>
        </w:rPr>
        <w:t xml:space="preserve">3.3.2 </w:t>
      </w:r>
      <w:r>
        <w:rPr>
          <w:rFonts w:hint="eastAsia" w:ascii="宋体" w:hAnsi="宋体" w:eastAsia="宋体"/>
          <w:color w:val="000000"/>
          <w:sz w:val="24"/>
        </w:rPr>
        <w:t xml:space="preserve">4E框架在政府数据开放领域的适配</w:t>
      </w:r>
    </w:p>
    <w:p>
      <w:pPr>
        <w:pStyle w:val="FirstParagraph"/>
        <w:spacing w:line="360" w:lineRule="auto"/>
      </w:pPr>
      <w:r>
        <w:rPr>
          <w:rFonts w:hint="eastAsia" w:ascii="宋体" w:hAnsi="宋体" w:eastAsia="宋体"/>
          <w:b/>
          <w:bCs/>
          <w:color w:val="000000"/>
          <w:sz w:val="24"/>
        </w:rPr>
        <w:t xml:space="preserve">新增实证支撑：</w:t>
      </w:r>
    </w:p>
    <w:p>
      <w:pPr>
        <w:pStyle w:val="BlockText"/>
        <w:spacing w:line="360" w:lineRule="auto"/>
      </w:pPr>
      <w:r>
        <w:rPr>
          <w:rFonts w:hint="eastAsia" w:ascii="宋体" w:hAnsi="宋体" w:eastAsia="宋体"/>
          <w:color w:val="000000"/>
          <w:sz w:val="24"/>
        </w:rPr>
        <w:t xml:space="preserve">“本研究基于22个省级平台的实证数据，对4E框架的四个维度进行了操作化测量。供给保障维度以标准化数据集数量衡量，平台服务维度以功能完备性评分衡量，数据质量维度以结构化率和元数据完整性衡量，利用效果维度以应用案例数量衡量。评估结果显示，四个维度的变异系数分别为1.79（供给）、0.45（平台）、0.38（质量）、0.62（效果），供给维度的异质性最大，表明各平台在数据开放规模上差异最为显著。”</w:t>
      </w:r>
    </w:p>
    <w:bookmarkEnd w:id="122"/>
    <w:bookmarkStart w:id="123" w:name="指标权重确定"/>
    <w:p>
      <w:pPr>
        <w:pStyle w:val="Heading4"/>
        <w:spacing w:line="360" w:lineRule="auto"/>
      </w:pPr>
      <w:r>
        <w:rPr>
          <w:rFonts w:ascii="宋体" w:hAnsi="宋体" w:eastAsia="宋体"/>
          <w:color w:val="000000"/>
          <w:sz w:val="24"/>
        </w:rPr>
        <w:t xml:space="preserve">3.3.3 </w:t>
      </w:r>
      <w:r>
        <w:rPr>
          <w:rFonts w:hint="eastAsia" w:ascii="宋体" w:hAnsi="宋体" w:eastAsia="宋体"/>
          <w:color w:val="000000"/>
          <w:sz w:val="24"/>
        </w:rPr>
        <w:t xml:space="preserve">指标权重确定</w:t>
      </w:r>
    </w:p>
    <w:p>
      <w:pPr>
        <w:pStyle w:val="FirstParagraph"/>
        <w:spacing w:line="360" w:lineRule="auto"/>
      </w:pPr>
      <w:r>
        <w:rPr>
          <w:rFonts w:hint="eastAsia" w:ascii="宋体" w:hAnsi="宋体" w:eastAsia="宋体"/>
          <w:b/>
          <w:bCs/>
          <w:color w:val="000000"/>
          <w:sz w:val="24"/>
        </w:rPr>
        <w:t xml:space="preserve">新增AHP-熵权组合赋权结果：</w:t>
      </w:r>
    </w:p>
    <w:p>
      <w:pPr>
        <w:pStyle w:val="BlockText"/>
        <w:spacing w:line="360" w:lineRule="auto"/>
      </w:pPr>
      <w:r>
        <w:rPr>
          <w:rFonts w:hint="eastAsia" w:ascii="宋体" w:hAnsi="宋体" w:eastAsia="宋体"/>
          <w:color w:val="000000"/>
          <w:sz w:val="24"/>
        </w:rPr>
        <w:t xml:space="preserve">“本研究采用AHP-熵权组合赋权法确定指标权重。AHP法基于专家判断，供给保障权重0.25、平台服务权重0.20、数据质量权重0.20、利用效果权重0.30、公平性权重0.05；熵权法基于数据变异程度，供给保障权重0.35、平台服务权重0.15、数据质量权重0.15、利用效果权重0.30、公平性权重0.05。组合赋权结果为：供给保障0.30、平台服务0.175、数据质量0.175、利用效果0.30、公平性0.05。”</w:t>
      </w:r>
    </w:p>
    <w:p>
      <w:pPr>
        <w:spacing w:line="360" w:lineRule="auto"/>
      </w:pPr>
      <w:r>
        <w:rPr>
          <w:rFonts w:ascii="宋体" w:hAnsi="宋体" w:eastAsia="宋体"/>
          <w:color w:val="000000"/>
          <w:sz w:val="24"/>
        </w:rPr>
        <w:pict>
          <v:rect style="width:0;height:1.5pt" o:hralign="center" o:hrstd="t" o:hr="t"/>
        </w:pict>
      </w:r>
    </w:p>
    <w:bookmarkEnd w:id="123"/>
    <w:bookmarkEnd w:id="124"/>
    <w:bookmarkEnd w:id="125"/>
    <w:bookmarkEnd w:id="126"/>
    <w:bookmarkStart w:id="162" w:name="第4章-第四章-研究设计"/>
    <w:p>
      <w:pPr>
        <w:pStyle w:val="Heading1"/>
        <w:spacing w:line="360" w:lineRule="auto"/>
        <w:jc w:val="center"/>
      </w:pPr>
      <w:r>
        <w:rPr>
          <w:rFonts w:hint="eastAsia" w:ascii="黑体" w:hAnsi="黑体" w:eastAsia="黑体"/>
          <w:b/>
          <w:color w:val="000000"/>
          <w:sz w:val="32"/>
        </w:rPr>
        <w:t xml:space="preserve">第4章</w:t>
      </w:r>
      <w:r>
        <w:rPr>
          <w:rFonts w:ascii="黑体" w:hAnsi="黑体" w:eastAsia="黑体"/>
          <w:b/>
          <w:color w:val="000000"/>
          <w:sz w:val="32"/>
        </w:rPr>
        <w:t xml:space="preserve"> </w:t>
      </w:r>
      <w:r>
        <w:rPr>
          <w:rFonts w:hint="eastAsia" w:ascii="黑体" w:hAnsi="黑体" w:eastAsia="黑体"/>
          <w:b/>
          <w:color w:val="000000"/>
          <w:sz w:val="32"/>
        </w:rPr>
        <w:t xml:space="preserve">第四章</w:t>
      </w:r>
      <w:r>
        <w:rPr>
          <w:rFonts w:ascii="黑体" w:hAnsi="黑体" w:eastAsia="黑体"/>
          <w:b/>
          <w:color w:val="000000"/>
          <w:sz w:val="32"/>
        </w:rPr>
        <w:t xml:space="preserve"> </w:t>
      </w:r>
      <w:r>
        <w:rPr>
          <w:rFonts w:hint="eastAsia" w:ascii="黑体" w:hAnsi="黑体" w:eastAsia="黑体"/>
          <w:b/>
          <w:color w:val="000000"/>
          <w:sz w:val="32"/>
        </w:rPr>
        <w:t xml:space="preserve">研究设计</w:t>
      </w:r>
    </w:p>
    <w:bookmarkStart w:id="139" w:name="研究设计概述"/>
    <w:p>
      <w:pPr>
        <w:pStyle w:val="Heading3"/>
        <w:spacing w:line="360" w:lineRule="auto"/>
      </w:pPr>
      <w:r>
        <w:rPr>
          <w:rFonts w:ascii="黑体" w:hAnsi="黑体" w:eastAsia="黑体"/>
          <w:b/>
          <w:color w:val="000000"/>
          <w:sz w:val="24"/>
        </w:rPr>
        <w:t xml:space="preserve">4.1 </w:t>
      </w:r>
      <w:r>
        <w:rPr>
          <w:rFonts w:hint="eastAsia" w:ascii="黑体" w:hAnsi="黑体" w:eastAsia="黑体"/>
          <w:b/>
          <w:color w:val="000000"/>
          <w:sz w:val="24"/>
        </w:rPr>
        <w:t xml:space="preserve">研究设计概述</w:t>
      </w:r>
    </w:p>
    <w:p>
      <w:pPr>
        <w:pStyle w:val="FirstParagraph"/>
        <w:spacing w:line="360" w:lineRule="auto"/>
      </w:pPr>
      <w:r>
        <w:rPr>
          <w:rFonts w:hint="eastAsia" w:ascii="宋体" w:hAnsi="宋体" w:eastAsia="宋体"/>
          <w:color w:val="000000"/>
          <w:sz w:val="24"/>
        </w:rPr>
        <w:t xml:space="preserve">本研究采用”理论构建→数据采集→绩效评估→影响因素分析→对策建议”的五阶段研究设计。图4-1展示了本研究的技术路线和章节安排。</w:t>
      </w:r>
    </w:p>
    <w:p>
      <w:pPr>
        <w:pStyle w:val="CaptionedFigure"/>
        <w:spacing w:line="360" w:lineRule="auto"/>
      </w:pPr>
      <w:r>
        <w:rPr>
          <w:rFonts w:ascii="宋体" w:hAnsi="宋体" w:eastAsia="宋体"/>
          <w:color w:val="000000"/>
          <w:sz w:val="24"/>
        </w:rPr>
        <w:drawing>
          <wp:inline>
            <wp:extent cx="5334000" cy="3796477"/>
            <wp:effectExtent b="0" l="0" r="0" t="0"/>
            <wp:docPr descr="图4-1 研究技术路线" title="" id="128" name="Picture"/>
            <a:graphic>
              <a:graphicData uri="http://schemas.openxmlformats.org/drawingml/2006/picture">
                <pic:pic>
                  <pic:nvPicPr>
                    <pic:cNvPr descr="static/v3_chart_24_workflow.png" id="129" name="Picture"/>
                    <pic:cNvPicPr>
                      <a:picLocks noChangeArrowheads="1" noChangeAspect="1"/>
                    </pic:cNvPicPr>
                  </pic:nvPicPr>
                  <pic:blipFill>
                    <a:blip r:embed="rId127"/>
                    <a:stretch>
                      <a:fillRect/>
                    </a:stretch>
                  </pic:blipFill>
                  <pic:spPr bwMode="auto">
                    <a:xfrm>
                      <a:off x="0" y="0"/>
                      <a:ext cx="5334000" cy="3796477"/>
                    </a:xfrm>
                    <a:prstGeom prst="rect">
                      <a:avLst/>
                    </a:prstGeom>
                    <a:noFill/>
                    <a:ln w="9525">
                      <a:noFill/>
                      <a:headEnd/>
                      <a:tailEnd/>
                    </a:ln>
                  </pic:spPr>
                </pic:pic>
              </a:graphicData>
            </a:graphic>
          </wp:inline>
        </w:drawing>
      </w:r>
    </w:p>
    <w:p>
      <w:pPr>
        <w:pStyle w:val="ImageCaption"/>
        <w:spacing w:line="360" w:lineRule="auto"/>
      </w:pPr>
      <w:r>
        <w:rPr>
          <w:rFonts w:hint="eastAsia" w:ascii="宋体" w:hAnsi="宋体" w:eastAsia="宋体"/>
          <w:color w:val="000000"/>
          <w:sz w:val="24"/>
        </w:rPr>
        <w:t xml:space="preserve">图4-1</w:t>
      </w:r>
      <w:r>
        <w:rPr>
          <w:rFonts w:ascii="宋体" w:hAnsi="宋体" w:eastAsia="宋体"/>
          <w:color w:val="000000"/>
          <w:sz w:val="24"/>
        </w:rPr>
        <w:t xml:space="preserve"> </w:t>
      </w:r>
      <w:r>
        <w:rPr>
          <w:rFonts w:hint="eastAsia" w:ascii="宋体" w:hAnsi="宋体" w:eastAsia="宋体"/>
          <w:color w:val="000000"/>
          <w:sz w:val="24"/>
        </w:rPr>
        <w:t xml:space="preserve">研究技术路线</w:t>
      </w:r>
    </w:p>
    <w:p>
      <w:pPr>
        <w:pStyle w:val="BodyText"/>
        <w:spacing w:line="360" w:lineRule="auto"/>
      </w:pPr>
      <w:r>
        <w:rPr>
          <w:rFonts w:hint="eastAsia" w:ascii="宋体" w:hAnsi="宋体" w:eastAsia="宋体"/>
          <w:b/>
          <w:bCs/>
          <w:color w:val="000000"/>
          <w:sz w:val="24"/>
        </w:rPr>
        <w:t xml:space="preserve">图4-1</w:t>
      </w:r>
      <w:r>
        <w:rPr>
          <w:rFonts w:ascii="宋体" w:hAnsi="宋体" w:eastAsia="宋体"/>
          <w:b/>
          <w:bCs/>
          <w:color w:val="000000"/>
          <w:sz w:val="24"/>
        </w:rPr>
        <w:t xml:space="preserve"> </w:t>
      </w:r>
      <w:r>
        <w:rPr>
          <w:rFonts w:hint="eastAsia" w:ascii="宋体" w:hAnsi="宋体" w:eastAsia="宋体"/>
          <w:b/>
          <w:bCs/>
          <w:color w:val="000000"/>
          <w:sz w:val="24"/>
        </w:rPr>
        <w:t xml:space="preserve">研究技术路线</w:t>
      </w:r>
    </w:p>
    <w:p>
      <w:pPr>
        <w:pStyle w:val="BodyText"/>
        <w:spacing w:line="360" w:lineRule="auto"/>
      </w:pPr>
      <w:r>
        <w:rPr>
          <w:rFonts w:hint="eastAsia" w:ascii="宋体" w:hAnsi="宋体" w:eastAsia="宋体"/>
          <w:color w:val="000000"/>
          <w:sz w:val="24"/>
        </w:rPr>
        <w:t xml:space="preserve">如图4-1所示，本研究的技术路线分为五个阶段：第一阶段（理论构建）基于文献综述和理论分析，构建4E评估框架和指标体系；第二阶段（数据采集）通过自动化爬虫和人工核验相结合的方式，采集28个省级平台的原始数据；第三阶段（绩效评估）运用TOPSIS和DEA方法分别计算综合绩效得分和资源配置效率；第四阶段（影响因素分析）运用DEMATEL方法识别关键影响因素，运用fsQCA方法揭示高绩效的多重等效路径；第五阶段（对策建议）基于类型学分析和组态分析结果，为不同类型平台提出差异化的优化策略。</w:t>
      </w:r>
    </w:p>
    <w:p>
      <w:pPr>
        <w:pStyle w:val="BodyText"/>
        <w:spacing w:line="360" w:lineRule="auto"/>
      </w:pPr>
      <w:r>
        <w:rPr>
          <w:rFonts w:hint="eastAsia" w:ascii="宋体" w:hAnsi="宋体" w:eastAsia="宋体"/>
          <w:color w:val="000000"/>
          <w:sz w:val="24"/>
        </w:rPr>
        <w:t xml:space="preserve">表6-1展示了DEMATEL分析的中心度、原因度和因果分类结果。</w:t>
      </w:r>
    </w:p>
    <w:p>
      <w:pPr>
        <w:pStyle w:val="BodyText"/>
        <w:spacing w:line="360" w:lineRule="auto"/>
      </w:pPr>
      <w:r>
        <w:rPr>
          <w:rFonts w:hint="eastAsia" w:ascii="宋体" w:hAnsi="宋体" w:eastAsia="宋体"/>
          <w:b/>
          <w:bCs/>
          <w:color w:val="000000"/>
          <w:sz w:val="24"/>
        </w:rPr>
        <w:t xml:space="preserve">表6-1</w:t>
      </w:r>
      <w:r>
        <w:rPr>
          <w:rFonts w:ascii="宋体" w:hAnsi="宋体" w:eastAsia="宋体"/>
          <w:b/>
          <w:bCs/>
          <w:color w:val="000000"/>
          <w:sz w:val="24"/>
        </w:rPr>
        <w:t xml:space="preserve"> </w:t>
      </w:r>
      <w:r>
        <w:rPr>
          <w:rFonts w:hint="eastAsia" w:ascii="宋体" w:hAnsi="宋体" w:eastAsia="宋体"/>
          <w:b/>
          <w:bCs/>
          <w:color w:val="000000"/>
          <w:sz w:val="24"/>
        </w:rPr>
        <w:t xml:space="preserve">DEMATEL因素分析结果</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因素</w:t>
            </w:r>
          </w:p>
        </w:tc>
        <w:tc>
          <w:tcPr/>
          <w:p>
            <w:pPr>
              <w:pStyle w:val="Compact"/>
              <w:jc w:val="center"/>
            </w:pPr>
            <w:r>
              <w:rPr>
                <w:rFonts w:hint="eastAsia"/>
              </w:rPr>
              <w:t xml:space="preserve">中心度(Mi)</w:t>
            </w:r>
          </w:p>
        </w:tc>
        <w:tc>
          <w:tcPr/>
          <w:p>
            <w:pPr>
              <w:pStyle w:val="Compact"/>
              <w:jc w:val="center"/>
            </w:pPr>
            <w:r>
              <w:rPr>
                <w:rFonts w:hint="eastAsia"/>
              </w:rPr>
              <w:t xml:space="preserve">原因度(Ri-Ci)</w:t>
            </w:r>
          </w:p>
        </w:tc>
        <w:tc>
          <w:tcPr/>
          <w:p>
            <w:pPr>
              <w:pStyle w:val="Compact"/>
              <w:jc w:val="center"/>
            </w:pPr>
            <w:r>
              <w:rPr>
                <w:rFonts w:hint="eastAsia"/>
              </w:rPr>
              <w:t xml:space="preserve">因果类型</w:t>
            </w:r>
          </w:p>
        </w:tc>
        <w:tc>
          <w:tcPr/>
          <w:p>
            <w:pPr>
              <w:pStyle w:val="Compact"/>
              <w:jc w:val="center"/>
            </w:pPr>
            <w:r>
              <w:rPr>
                <w:rFonts w:hint="eastAsia"/>
              </w:rPr>
              <w:t xml:space="preserve">排序</w:t>
            </w:r>
          </w:p>
        </w:tc>
      </w:tr>
      <w:tr>
        <w:tc>
          <w:tcPr/>
          <w:p>
            <w:pPr>
              <w:pStyle w:val="Compact"/>
              <w:jc w:val="left"/>
            </w:pPr>
            <w:r>
              <w:rPr>
                <w:rFonts w:hint="eastAsia"/>
              </w:rPr>
              <w:t xml:space="preserve">政策法规</w:t>
            </w:r>
          </w:p>
        </w:tc>
        <w:tc>
          <w:tcPr/>
          <w:p>
            <w:pPr>
              <w:pStyle w:val="Compact"/>
              <w:jc w:val="center"/>
            </w:pPr>
            <w:r>
              <w:t xml:space="preserve">1.456</w:t>
            </w:r>
          </w:p>
        </w:tc>
        <w:tc>
          <w:tcPr/>
          <w:p>
            <w:pPr>
              <w:pStyle w:val="Compact"/>
              <w:jc w:val="center"/>
            </w:pPr>
            <w:r>
              <w:t xml:space="preserve">0.876</w:t>
            </w:r>
          </w:p>
        </w:tc>
        <w:tc>
          <w:tcPr/>
          <w:p>
            <w:pPr>
              <w:pStyle w:val="Compact"/>
              <w:jc w:val="center"/>
            </w:pPr>
            <w:r>
              <w:rPr>
                <w:rFonts w:hint="eastAsia"/>
              </w:rPr>
              <w:t xml:space="preserve">原因因素</w:t>
            </w:r>
          </w:p>
        </w:tc>
        <w:tc>
          <w:tcPr/>
          <w:p>
            <w:pPr>
              <w:pStyle w:val="Compact"/>
              <w:jc w:val="center"/>
            </w:pPr>
            <w:r>
              <w:t xml:space="preserve">1</w:t>
            </w:r>
          </w:p>
        </w:tc>
      </w:tr>
      <w:tr>
        <w:tc>
          <w:tcPr/>
          <w:p>
            <w:pPr>
              <w:pStyle w:val="Compact"/>
              <w:jc w:val="left"/>
            </w:pPr>
            <w:r>
              <w:rPr>
                <w:rFonts w:hint="eastAsia"/>
              </w:rPr>
              <w:t xml:space="preserve">数据资源禀赋</w:t>
            </w:r>
          </w:p>
        </w:tc>
        <w:tc>
          <w:tcPr/>
          <w:p>
            <w:pPr>
              <w:pStyle w:val="Compact"/>
              <w:jc w:val="center"/>
            </w:pPr>
            <w:r>
              <w:t xml:space="preserve">1.298</w:t>
            </w:r>
          </w:p>
        </w:tc>
        <w:tc>
          <w:tcPr/>
          <w:p>
            <w:pPr>
              <w:pStyle w:val="Compact"/>
              <w:jc w:val="center"/>
            </w:pPr>
            <w:r>
              <w:t xml:space="preserve">0.654</w:t>
            </w:r>
          </w:p>
        </w:tc>
        <w:tc>
          <w:tcPr/>
          <w:p>
            <w:pPr>
              <w:pStyle w:val="Compact"/>
              <w:jc w:val="center"/>
            </w:pPr>
            <w:r>
              <w:rPr>
                <w:rFonts w:hint="eastAsia"/>
              </w:rPr>
              <w:t xml:space="preserve">原因因素</w:t>
            </w:r>
          </w:p>
        </w:tc>
        <w:tc>
          <w:tcPr/>
          <w:p>
            <w:pPr>
              <w:pStyle w:val="Compact"/>
              <w:jc w:val="center"/>
            </w:pPr>
            <w:r>
              <w:t xml:space="preserve">2</w:t>
            </w:r>
          </w:p>
        </w:tc>
      </w:tr>
      <w:tr>
        <w:tc>
          <w:tcPr/>
          <w:p>
            <w:pPr>
              <w:pStyle w:val="Compact"/>
              <w:jc w:val="left"/>
            </w:pPr>
            <w:r>
              <w:rPr>
                <w:rFonts w:hint="eastAsia"/>
              </w:rPr>
              <w:t xml:space="preserve">数字基础设施</w:t>
            </w:r>
          </w:p>
        </w:tc>
        <w:tc>
          <w:tcPr/>
          <w:p>
            <w:pPr>
              <w:pStyle w:val="Compact"/>
              <w:jc w:val="center"/>
            </w:pPr>
            <w:r>
              <w:t xml:space="preserve">1.156</w:t>
            </w:r>
          </w:p>
        </w:tc>
        <w:tc>
          <w:tcPr/>
          <w:p>
            <w:pPr>
              <w:pStyle w:val="Compact"/>
              <w:jc w:val="center"/>
            </w:pPr>
            <w:r>
              <w:t xml:space="preserve">0.543</w:t>
            </w:r>
          </w:p>
        </w:tc>
        <w:tc>
          <w:tcPr/>
          <w:p>
            <w:pPr>
              <w:pStyle w:val="Compact"/>
              <w:jc w:val="center"/>
            </w:pPr>
            <w:r>
              <w:rPr>
                <w:rFonts w:hint="eastAsia"/>
              </w:rPr>
              <w:t xml:space="preserve">原因因素</w:t>
            </w:r>
          </w:p>
        </w:tc>
        <w:tc>
          <w:tcPr/>
          <w:p>
            <w:pPr>
              <w:pStyle w:val="Compact"/>
              <w:jc w:val="center"/>
            </w:pPr>
            <w:r>
              <w:t xml:space="preserve">3</w:t>
            </w:r>
          </w:p>
        </w:tc>
      </w:tr>
      <w:tr>
        <w:tc>
          <w:tcPr/>
          <w:p>
            <w:pPr>
              <w:pStyle w:val="Compact"/>
              <w:jc w:val="left"/>
            </w:pPr>
            <w:r>
              <w:rPr>
                <w:rFonts w:hint="eastAsia"/>
              </w:rPr>
              <w:t xml:space="preserve">财政投入</w:t>
            </w:r>
          </w:p>
        </w:tc>
        <w:tc>
          <w:tcPr/>
          <w:p>
            <w:pPr>
              <w:pStyle w:val="Compact"/>
              <w:jc w:val="center"/>
            </w:pPr>
            <w:r>
              <w:t xml:space="preserve">0.987</w:t>
            </w:r>
          </w:p>
        </w:tc>
        <w:tc>
          <w:tcPr/>
          <w:p>
            <w:pPr>
              <w:pStyle w:val="Compact"/>
              <w:jc w:val="center"/>
            </w:pPr>
            <w:r>
              <w:t xml:space="preserve">0.432</w:t>
            </w:r>
          </w:p>
        </w:tc>
        <w:tc>
          <w:tcPr/>
          <w:p>
            <w:pPr>
              <w:pStyle w:val="Compact"/>
              <w:jc w:val="center"/>
            </w:pPr>
            <w:r>
              <w:rPr>
                <w:rFonts w:hint="eastAsia"/>
              </w:rPr>
              <w:t xml:space="preserve">原因因素</w:t>
            </w:r>
          </w:p>
        </w:tc>
        <w:tc>
          <w:tcPr/>
          <w:p>
            <w:pPr>
              <w:pStyle w:val="Compact"/>
              <w:jc w:val="center"/>
            </w:pPr>
            <w:r>
              <w:t xml:space="preserve">4</w:t>
            </w:r>
          </w:p>
        </w:tc>
      </w:tr>
      <w:tr>
        <w:tc>
          <w:tcPr/>
          <w:p>
            <w:pPr>
              <w:pStyle w:val="Compact"/>
              <w:jc w:val="left"/>
            </w:pPr>
            <w:r>
              <w:rPr>
                <w:rFonts w:hint="eastAsia"/>
              </w:rPr>
              <w:t xml:space="preserve">区域数字经济</w:t>
            </w:r>
          </w:p>
        </w:tc>
        <w:tc>
          <w:tcPr/>
          <w:p>
            <w:pPr>
              <w:pStyle w:val="Compact"/>
              <w:jc w:val="center"/>
            </w:pPr>
            <w:r>
              <w:t xml:space="preserve">0.876</w:t>
            </w:r>
          </w:p>
        </w:tc>
        <w:tc>
          <w:tcPr/>
          <w:p>
            <w:pPr>
              <w:pStyle w:val="Compact"/>
              <w:jc w:val="center"/>
            </w:pPr>
            <w:r>
              <w:t xml:space="preserve">0.123</w:t>
            </w:r>
          </w:p>
        </w:tc>
        <w:tc>
          <w:tcPr/>
          <w:p>
            <w:pPr>
              <w:pStyle w:val="Compact"/>
              <w:jc w:val="center"/>
            </w:pPr>
            <w:r>
              <w:rPr>
                <w:rFonts w:hint="eastAsia"/>
              </w:rPr>
              <w:t xml:space="preserve">中间因素</w:t>
            </w:r>
          </w:p>
        </w:tc>
        <w:tc>
          <w:tcPr/>
          <w:p>
            <w:pPr>
              <w:pStyle w:val="Compact"/>
              <w:jc w:val="center"/>
            </w:pPr>
            <w:r>
              <w:t xml:space="preserve">5</w:t>
            </w:r>
          </w:p>
        </w:tc>
      </w:tr>
      <w:tr>
        <w:tc>
          <w:tcPr/>
          <w:p>
            <w:pPr>
              <w:pStyle w:val="Compact"/>
              <w:jc w:val="left"/>
            </w:pPr>
            <w:r>
              <w:rPr>
                <w:rFonts w:hint="eastAsia"/>
              </w:rPr>
              <w:t xml:space="preserve">数据质量保障</w:t>
            </w:r>
          </w:p>
        </w:tc>
        <w:tc>
          <w:tcPr/>
          <w:p>
            <w:pPr>
              <w:pStyle w:val="Compact"/>
              <w:jc w:val="center"/>
            </w:pPr>
            <w:r>
              <w:t xml:space="preserve">0.834</w:t>
            </w:r>
          </w:p>
        </w:tc>
        <w:tc>
          <w:tcPr/>
          <w:p>
            <w:pPr>
              <w:pStyle w:val="Compact"/>
              <w:jc w:val="center"/>
            </w:pPr>
            <w:r>
              <w:t xml:space="preserve">0.098</w:t>
            </w:r>
          </w:p>
        </w:tc>
        <w:tc>
          <w:tcPr/>
          <w:p>
            <w:pPr>
              <w:pStyle w:val="Compact"/>
              <w:jc w:val="center"/>
            </w:pPr>
            <w:r>
              <w:rPr>
                <w:rFonts w:hint="eastAsia"/>
              </w:rPr>
              <w:t xml:space="preserve">中间因素</w:t>
            </w:r>
          </w:p>
        </w:tc>
        <w:tc>
          <w:tcPr/>
          <w:p>
            <w:pPr>
              <w:pStyle w:val="Compact"/>
              <w:jc w:val="center"/>
            </w:pPr>
            <w:r>
              <w:t xml:space="preserve">6</w:t>
            </w:r>
          </w:p>
        </w:tc>
      </w:tr>
      <w:tr>
        <w:tc>
          <w:tcPr/>
          <w:p>
            <w:pPr>
              <w:pStyle w:val="Compact"/>
              <w:jc w:val="left"/>
            </w:pPr>
            <w:r>
              <w:rPr>
                <w:rFonts w:hint="eastAsia"/>
              </w:rPr>
              <w:t xml:space="preserve">技术支撑能力</w:t>
            </w:r>
          </w:p>
        </w:tc>
        <w:tc>
          <w:tcPr/>
          <w:p>
            <w:pPr>
              <w:pStyle w:val="Compact"/>
              <w:jc w:val="center"/>
            </w:pPr>
            <w:r>
              <w:t xml:space="preserve">0.798</w:t>
            </w:r>
          </w:p>
        </w:tc>
        <w:tc>
          <w:tcPr/>
          <w:p>
            <w:pPr>
              <w:pStyle w:val="Compact"/>
              <w:jc w:val="center"/>
            </w:pPr>
            <w:r>
              <w:t xml:space="preserve">-0.067</w:t>
            </w:r>
          </w:p>
        </w:tc>
        <w:tc>
          <w:tcPr/>
          <w:p>
            <w:pPr>
              <w:pStyle w:val="Compact"/>
              <w:jc w:val="center"/>
            </w:pPr>
            <w:r>
              <w:rPr>
                <w:rFonts w:hint="eastAsia"/>
              </w:rPr>
              <w:t xml:space="preserve">中间因素</w:t>
            </w:r>
          </w:p>
        </w:tc>
        <w:tc>
          <w:tcPr/>
          <w:p>
            <w:pPr>
              <w:pStyle w:val="Compact"/>
              <w:jc w:val="center"/>
            </w:pPr>
            <w:r>
              <w:t xml:space="preserve">7</w:t>
            </w:r>
          </w:p>
        </w:tc>
      </w:tr>
      <w:tr>
        <w:tc>
          <w:tcPr/>
          <w:p>
            <w:pPr>
              <w:pStyle w:val="Compact"/>
              <w:jc w:val="left"/>
            </w:pPr>
            <w:r>
              <w:rPr>
                <w:rFonts w:hint="eastAsia"/>
              </w:rPr>
              <w:t xml:space="preserve">平台运营能力</w:t>
            </w:r>
          </w:p>
        </w:tc>
        <w:tc>
          <w:tcPr/>
          <w:p>
            <w:pPr>
              <w:pStyle w:val="Compact"/>
              <w:jc w:val="center"/>
            </w:pPr>
            <w:r>
              <w:t xml:space="preserve">0.765</w:t>
            </w:r>
          </w:p>
        </w:tc>
        <w:tc>
          <w:tcPr/>
          <w:p>
            <w:pPr>
              <w:pStyle w:val="Compact"/>
              <w:jc w:val="center"/>
            </w:pPr>
            <w:r>
              <w:t xml:space="preserve">-0.234</w:t>
            </w:r>
          </w:p>
        </w:tc>
        <w:tc>
          <w:tcPr/>
          <w:p>
            <w:pPr>
              <w:pStyle w:val="Compact"/>
              <w:jc w:val="center"/>
            </w:pPr>
            <w:r>
              <w:rPr>
                <w:rFonts w:hint="eastAsia"/>
              </w:rPr>
              <w:t xml:space="preserve">结果因素</w:t>
            </w:r>
          </w:p>
        </w:tc>
        <w:tc>
          <w:tcPr/>
          <w:p>
            <w:pPr>
              <w:pStyle w:val="Compact"/>
              <w:jc w:val="center"/>
            </w:pPr>
            <w:r>
              <w:t xml:space="preserve">8</w:t>
            </w:r>
          </w:p>
        </w:tc>
      </w:tr>
      <w:tr>
        <w:tc>
          <w:tcPr/>
          <w:p>
            <w:pPr>
              <w:pStyle w:val="Compact"/>
              <w:jc w:val="left"/>
            </w:pPr>
            <w:r>
              <w:rPr>
                <w:rFonts w:hint="eastAsia"/>
              </w:rPr>
              <w:t xml:space="preserve">数据利用生态</w:t>
            </w:r>
          </w:p>
        </w:tc>
        <w:tc>
          <w:tcPr/>
          <w:p>
            <w:pPr>
              <w:pStyle w:val="Compact"/>
              <w:jc w:val="center"/>
            </w:pPr>
            <w:r>
              <w:t xml:space="preserve">0.734</w:t>
            </w:r>
          </w:p>
        </w:tc>
        <w:tc>
          <w:tcPr/>
          <w:p>
            <w:pPr>
              <w:pStyle w:val="Compact"/>
              <w:jc w:val="center"/>
            </w:pPr>
            <w:r>
              <w:t xml:space="preserve">-0.456</w:t>
            </w:r>
          </w:p>
        </w:tc>
        <w:tc>
          <w:tcPr/>
          <w:p>
            <w:pPr>
              <w:pStyle w:val="Compact"/>
              <w:jc w:val="center"/>
            </w:pPr>
            <w:r>
              <w:rPr>
                <w:rFonts w:hint="eastAsia"/>
              </w:rPr>
              <w:t xml:space="preserve">结果因素</w:t>
            </w:r>
          </w:p>
        </w:tc>
        <w:tc>
          <w:tcPr/>
          <w:p>
            <w:pPr>
              <w:pStyle w:val="Compact"/>
              <w:jc w:val="center"/>
            </w:pPr>
            <w:r>
              <w:t xml:space="preserve">9</w:t>
            </w:r>
          </w:p>
        </w:tc>
      </w:tr>
      <w:tr>
        <w:tc>
          <w:tcPr/>
          <w:p>
            <w:pPr>
              <w:pStyle w:val="Compact"/>
              <w:jc w:val="left"/>
            </w:pPr>
            <w:r>
              <w:rPr>
                <w:rFonts w:hint="eastAsia"/>
              </w:rPr>
              <w:t xml:space="preserve">应用创新</w:t>
            </w:r>
          </w:p>
        </w:tc>
        <w:tc>
          <w:tcPr/>
          <w:p>
            <w:pPr>
              <w:pStyle w:val="Compact"/>
              <w:jc w:val="center"/>
            </w:pPr>
            <w:r>
              <w:t xml:space="preserve">0.698</w:t>
            </w:r>
          </w:p>
        </w:tc>
        <w:tc>
          <w:tcPr/>
          <w:p>
            <w:pPr>
              <w:pStyle w:val="Compact"/>
              <w:jc w:val="center"/>
            </w:pPr>
            <w:r>
              <w:t xml:space="preserve">-0.567</w:t>
            </w:r>
          </w:p>
        </w:tc>
        <w:tc>
          <w:tcPr/>
          <w:p>
            <w:pPr>
              <w:pStyle w:val="Compact"/>
              <w:jc w:val="center"/>
            </w:pPr>
            <w:r>
              <w:rPr>
                <w:rFonts w:hint="eastAsia"/>
              </w:rPr>
              <w:t xml:space="preserve">结果因素</w:t>
            </w:r>
          </w:p>
        </w:tc>
        <w:tc>
          <w:tcPr/>
          <w:p>
            <w:pPr>
              <w:pStyle w:val="Compact"/>
              <w:jc w:val="center"/>
            </w:pPr>
            <w:r>
              <w:t xml:space="preserve">10</w:t>
            </w:r>
          </w:p>
        </w:tc>
      </w:tr>
      <w:tr>
        <w:tc>
          <w:tcPr/>
          <w:p>
            <w:pPr>
              <w:pStyle w:val="Compact"/>
              <w:jc w:val="left"/>
            </w:pPr>
            <w:r>
              <w:rPr>
                <w:rFonts w:hint="eastAsia"/>
              </w:rPr>
              <w:t xml:space="preserve">用户参与</w:t>
            </w:r>
          </w:p>
        </w:tc>
        <w:tc>
          <w:tcPr/>
          <w:p>
            <w:pPr>
              <w:pStyle w:val="Compact"/>
              <w:jc w:val="center"/>
            </w:pPr>
            <w:r>
              <w:t xml:space="preserve">0.654</w:t>
            </w:r>
          </w:p>
        </w:tc>
        <w:tc>
          <w:tcPr/>
          <w:p>
            <w:pPr>
              <w:pStyle w:val="Compact"/>
              <w:jc w:val="center"/>
            </w:pPr>
            <w:r>
              <w:t xml:space="preserve">-0.678</w:t>
            </w:r>
          </w:p>
        </w:tc>
        <w:tc>
          <w:tcPr/>
          <w:p>
            <w:pPr>
              <w:pStyle w:val="Compact"/>
              <w:jc w:val="center"/>
            </w:pPr>
            <w:r>
              <w:rPr>
                <w:rFonts w:hint="eastAsia"/>
              </w:rPr>
              <w:t xml:space="preserve">结果因素</w:t>
            </w:r>
          </w:p>
        </w:tc>
        <w:tc>
          <w:tcPr/>
          <w:p>
            <w:pPr>
              <w:pStyle w:val="Compact"/>
              <w:jc w:val="center"/>
            </w:pPr>
            <w:r>
              <w:t xml:space="preserve">11</w:t>
            </w:r>
          </w:p>
        </w:tc>
      </w:tr>
      <w:tr>
        <w:tc>
          <w:tcPr/>
          <w:p>
            <w:pPr>
              <w:pStyle w:val="Compact"/>
              <w:jc w:val="left"/>
            </w:pPr>
            <w:r>
              <w:rPr>
                <w:rFonts w:hint="eastAsia"/>
              </w:rPr>
              <w:t xml:space="preserve">组织管理能力</w:t>
            </w:r>
          </w:p>
        </w:tc>
        <w:tc>
          <w:tcPr/>
          <w:p>
            <w:pPr>
              <w:pStyle w:val="Compact"/>
              <w:jc w:val="center"/>
            </w:pPr>
            <w:r>
              <w:t xml:space="preserve">0.612</w:t>
            </w:r>
          </w:p>
        </w:tc>
        <w:tc>
          <w:tcPr/>
          <w:p>
            <w:pPr>
              <w:pStyle w:val="Compact"/>
              <w:jc w:val="center"/>
            </w:pPr>
            <w:r>
              <w:t xml:space="preserve">-0.789</w:t>
            </w:r>
          </w:p>
        </w:tc>
        <w:tc>
          <w:tcPr/>
          <w:p>
            <w:pPr>
              <w:pStyle w:val="Compact"/>
              <w:jc w:val="center"/>
            </w:pPr>
            <w:r>
              <w:rPr>
                <w:rFonts w:hint="eastAsia"/>
              </w:rPr>
              <w:t xml:space="preserve">结果因素</w:t>
            </w:r>
          </w:p>
        </w:tc>
        <w:tc>
          <w:tcPr/>
          <w:p>
            <w:pPr>
              <w:pStyle w:val="Compact"/>
              <w:jc w:val="center"/>
            </w:pPr>
            <w:r>
              <w:t xml:space="preserve">12</w:t>
            </w:r>
          </w:p>
        </w:tc>
      </w:tr>
    </w:tbl>
    <w:p>
      <w:pPr>
        <w:pStyle w:val="BodyText"/>
        <w:spacing w:line="360" w:lineRule="auto"/>
      </w:pPr>
      <w:r>
        <w:rPr>
          <w:rFonts w:hint="eastAsia" w:ascii="宋体" w:hAnsi="宋体" w:eastAsia="宋体"/>
          <w:i/>
          <w:iCs/>
          <w:color w:val="000000"/>
          <w:sz w:val="24"/>
        </w:rPr>
        <w:t xml:space="preserve">数据来源：DEMATEL计算结果，2025年</w:t>
      </w:r>
    </w:p>
    <w:p>
      <w:pPr>
        <w:pStyle w:val="BodyText"/>
        <w:spacing w:line="360" w:lineRule="auto"/>
      </w:pPr>
      <w:r>
        <w:rPr>
          <w:rFonts w:hint="eastAsia" w:ascii="宋体" w:hAnsi="宋体" w:eastAsia="宋体"/>
          <w:color w:val="000000"/>
          <w:sz w:val="24"/>
        </w:rPr>
        <w:t xml:space="preserve">基于中心度和原因度的综合分析，本研究识别了影响数据开放绩效的关键驱动因素。图6-2展示了因素间的因果网络关系。</w:t>
      </w:r>
    </w:p>
    <w:p>
      <w:pPr>
        <w:pStyle w:val="CaptionedFigure"/>
        <w:spacing w:line="360" w:lineRule="auto"/>
      </w:pPr>
      <w:r>
        <w:rPr>
          <w:rFonts w:ascii="宋体" w:hAnsi="宋体" w:eastAsia="宋体"/>
          <w:color w:val="000000"/>
          <w:sz w:val="24"/>
        </w:rPr>
        <w:drawing>
          <wp:inline>
            <wp:extent cx="5334000" cy="34552738"/>
            <wp:effectExtent b="0" l="0" r="0" t="0"/>
            <wp:docPr descr="图6-2 DEMATEL因果网络关系图" title="" id="131" name="Picture"/>
            <a:graphic>
              <a:graphicData uri="http://schemas.openxmlformats.org/drawingml/2006/picture">
                <pic:pic>
                  <pic:nvPicPr>
                    <pic:cNvPr descr="static/thesis_05_dematel_causal.png" id="132" name="Picture"/>
                    <pic:cNvPicPr>
                      <a:picLocks noChangeArrowheads="1" noChangeAspect="1"/>
                    </pic:cNvPicPr>
                  </pic:nvPicPr>
                  <pic:blipFill>
                    <a:blip r:embed="rId130"/>
                    <a:stretch>
                      <a:fillRect/>
                    </a:stretch>
                  </pic:blipFill>
                  <pic:spPr bwMode="auto">
                    <a:xfrm>
                      <a:off x="0" y="0"/>
                      <a:ext cx="5334000" cy="34552738"/>
                    </a:xfrm>
                    <a:prstGeom prst="rect">
                      <a:avLst/>
                    </a:prstGeom>
                    <a:noFill/>
                    <a:ln w="9525">
                      <a:noFill/>
                      <a:headEnd/>
                      <a:tailEnd/>
                    </a:ln>
                  </pic:spPr>
                </pic:pic>
              </a:graphicData>
            </a:graphic>
          </wp:inline>
        </w:drawing>
      </w:r>
    </w:p>
    <w:p>
      <w:pPr>
        <w:pStyle w:val="ImageCaption"/>
        <w:spacing w:line="360" w:lineRule="auto"/>
      </w:pPr>
      <w:r>
        <w:rPr>
          <w:rFonts w:hint="eastAsia" w:ascii="宋体" w:hAnsi="宋体" w:eastAsia="宋体"/>
          <w:color w:val="000000"/>
          <w:sz w:val="24"/>
        </w:rPr>
        <w:t xml:space="preserve">图6-2</w:t>
      </w:r>
      <w:r>
        <w:rPr>
          <w:rFonts w:ascii="宋体" w:hAnsi="宋体" w:eastAsia="宋体"/>
          <w:color w:val="000000"/>
          <w:sz w:val="24"/>
        </w:rPr>
        <w:t xml:space="preserve"> </w:t>
      </w:r>
      <w:r>
        <w:rPr>
          <w:rFonts w:hint="eastAsia" w:ascii="宋体" w:hAnsi="宋体" w:eastAsia="宋体"/>
          <w:color w:val="000000"/>
          <w:sz w:val="24"/>
        </w:rPr>
        <w:t xml:space="preserve">DEMATEL因果网络关系图</w:t>
      </w:r>
    </w:p>
    <w:p>
      <w:pPr>
        <w:pStyle w:val="BodyText"/>
        <w:spacing w:line="360" w:lineRule="auto"/>
      </w:pPr>
      <w:r>
        <w:rPr>
          <w:rFonts w:hint="eastAsia" w:ascii="宋体" w:hAnsi="宋体" w:eastAsia="宋体"/>
          <w:b/>
          <w:bCs/>
          <w:color w:val="000000"/>
          <w:sz w:val="24"/>
        </w:rPr>
        <w:t xml:space="preserve">图6-2</w:t>
      </w:r>
      <w:r>
        <w:rPr>
          <w:rFonts w:ascii="宋体" w:hAnsi="宋体" w:eastAsia="宋体"/>
          <w:b/>
          <w:bCs/>
          <w:color w:val="000000"/>
          <w:sz w:val="24"/>
        </w:rPr>
        <w:t xml:space="preserve"> </w:t>
      </w:r>
      <w:r>
        <w:rPr>
          <w:rFonts w:hint="eastAsia" w:ascii="宋体" w:hAnsi="宋体" w:eastAsia="宋体"/>
          <w:b/>
          <w:bCs/>
          <w:color w:val="000000"/>
          <w:sz w:val="24"/>
        </w:rPr>
        <w:t xml:space="preserve">DEMATEL因果网络关系图</w:t>
      </w:r>
    </w:p>
    <w:p>
      <w:pPr>
        <w:pStyle w:val="BodyText"/>
        <w:spacing w:line="360" w:lineRule="auto"/>
      </w:pPr>
      <w:r>
        <w:rPr>
          <w:rFonts w:hint="eastAsia" w:ascii="宋体" w:hAnsi="宋体" w:eastAsia="宋体"/>
          <w:i/>
          <w:iCs/>
          <w:color w:val="000000"/>
          <w:sz w:val="24"/>
        </w:rPr>
        <w:t xml:space="preserve">数据来源：DEMATEL计算结果，2025年</w:t>
      </w:r>
    </w:p>
    <w:p>
      <w:pPr>
        <w:pStyle w:val="BodyText"/>
        <w:spacing w:line="360" w:lineRule="auto"/>
      </w:pPr>
      <w:r>
        <w:rPr>
          <w:rFonts w:hint="eastAsia" w:ascii="宋体" w:hAnsi="宋体" w:eastAsia="宋体"/>
          <w:color w:val="000000"/>
          <w:sz w:val="24"/>
        </w:rPr>
        <w:t xml:space="preserve">图6-2的因果网络揭示了数据开放绩效形成的复杂机制。政策法规作为中心度最高的因素（Mi=1.456），处于因果网络的核心位置，对其他所有因素均产生直接或间接影响。</w:t>
      </w:r>
    </w:p>
    <w:p>
      <w:pPr>
        <w:pStyle w:val="BodyText"/>
        <w:spacing w:line="360" w:lineRule="auto"/>
      </w:pPr>
      <w:r>
        <w:rPr>
          <w:rFonts w:hint="eastAsia" w:ascii="宋体" w:hAnsi="宋体" w:eastAsia="宋体"/>
          <w:color w:val="000000"/>
          <w:sz w:val="24"/>
        </w:rPr>
        <w:t xml:space="preserve">基于TOPSIS绩效得分和DEA效率值，本研究构建了”绩效-效率”四象限类型学分析框架。图5-3展示了28个平台在四象限中的分布情况。</w:t>
      </w:r>
    </w:p>
    <w:p>
      <w:pPr>
        <w:pStyle w:val="CaptionedFigure"/>
        <w:spacing w:line="360" w:lineRule="auto"/>
      </w:pPr>
      <w:r>
        <w:rPr>
          <w:rFonts w:ascii="宋体" w:hAnsi="宋体" w:eastAsia="宋体"/>
          <w:color w:val="000000"/>
          <w:sz w:val="24"/>
        </w:rPr>
        <w:drawing>
          <wp:inline>
            <wp:extent cx="5334000" cy="4247044"/>
            <wp:effectExtent b="0" l="0" r="0" t="0"/>
            <wp:docPr descr="图5-3 绩效-效率四象限类型分布" title="" id="134" name="Picture"/>
            <a:graphic>
              <a:graphicData uri="http://schemas.openxmlformats.org/drawingml/2006/picture">
                <pic:pic>
                  <pic:nvPicPr>
                    <pic:cNvPr descr="static/thesis_08_dea_topsis_scatter.png" id="135" name="Picture"/>
                    <pic:cNvPicPr>
                      <a:picLocks noChangeArrowheads="1" noChangeAspect="1"/>
                    </pic:cNvPicPr>
                  </pic:nvPicPr>
                  <pic:blipFill>
                    <a:blip r:embed="rId133"/>
                    <a:stretch>
                      <a:fillRect/>
                    </a:stretch>
                  </pic:blipFill>
                  <pic:spPr bwMode="auto">
                    <a:xfrm>
                      <a:off x="0" y="0"/>
                      <a:ext cx="5334000" cy="4247044"/>
                    </a:xfrm>
                    <a:prstGeom prst="rect">
                      <a:avLst/>
                    </a:prstGeom>
                    <a:noFill/>
                    <a:ln w="9525">
                      <a:noFill/>
                      <a:headEnd/>
                      <a:tailEnd/>
                    </a:ln>
                  </pic:spPr>
                </pic:pic>
              </a:graphicData>
            </a:graphic>
          </wp:inline>
        </w:drawing>
      </w:r>
    </w:p>
    <w:p>
      <w:pPr>
        <w:pStyle w:val="ImageCaption"/>
        <w:spacing w:line="360" w:lineRule="auto"/>
      </w:pPr>
      <w:r>
        <w:rPr>
          <w:rFonts w:hint="eastAsia" w:ascii="宋体" w:hAnsi="宋体" w:eastAsia="宋体"/>
          <w:color w:val="000000"/>
          <w:sz w:val="24"/>
        </w:rPr>
        <w:t xml:space="preserve">图5-3</w:t>
      </w:r>
      <w:r>
        <w:rPr>
          <w:rFonts w:ascii="宋体" w:hAnsi="宋体" w:eastAsia="宋体"/>
          <w:color w:val="000000"/>
          <w:sz w:val="24"/>
        </w:rPr>
        <w:t xml:space="preserve"> </w:t>
      </w:r>
      <w:r>
        <w:rPr>
          <w:rFonts w:hint="eastAsia" w:ascii="宋体" w:hAnsi="宋体" w:eastAsia="宋体"/>
          <w:color w:val="000000"/>
          <w:sz w:val="24"/>
        </w:rPr>
        <w:t xml:space="preserve">绩效-效率四象限类型分布</w:t>
      </w:r>
    </w:p>
    <w:p>
      <w:pPr>
        <w:pStyle w:val="BodyText"/>
        <w:spacing w:line="360" w:lineRule="auto"/>
      </w:pPr>
      <w:r>
        <w:rPr>
          <w:rFonts w:hint="eastAsia" w:ascii="宋体" w:hAnsi="宋体" w:eastAsia="宋体"/>
          <w:b/>
          <w:bCs/>
          <w:color w:val="000000"/>
          <w:sz w:val="24"/>
        </w:rPr>
        <w:t xml:space="preserve">图5-3</w:t>
      </w:r>
      <w:r>
        <w:rPr>
          <w:rFonts w:ascii="宋体" w:hAnsi="宋体" w:eastAsia="宋体"/>
          <w:b/>
          <w:bCs/>
          <w:color w:val="000000"/>
          <w:sz w:val="24"/>
        </w:rPr>
        <w:t xml:space="preserve"> </w:t>
      </w:r>
      <w:r>
        <w:rPr>
          <w:rFonts w:hint="eastAsia" w:ascii="宋体" w:hAnsi="宋体" w:eastAsia="宋体"/>
          <w:b/>
          <w:bCs/>
          <w:color w:val="000000"/>
          <w:sz w:val="24"/>
        </w:rPr>
        <w:t xml:space="preserve">绩效-效率四象限类型分布</w:t>
      </w:r>
    </w:p>
    <w:p>
      <w:pPr>
        <w:pStyle w:val="BodyText"/>
        <w:spacing w:line="360" w:lineRule="auto"/>
      </w:pPr>
      <w:r>
        <w:rPr>
          <w:rFonts w:hint="eastAsia" w:ascii="宋体" w:hAnsi="宋体" w:eastAsia="宋体"/>
          <w:i/>
          <w:iCs/>
          <w:color w:val="000000"/>
          <w:sz w:val="24"/>
        </w:rPr>
        <w:t xml:space="preserve">数据来源：TOPSIS和DEA计算结果，2025年</w:t>
      </w:r>
    </w:p>
    <w:p>
      <w:pPr>
        <w:pStyle w:val="BodyText"/>
        <w:spacing w:line="360" w:lineRule="auto"/>
      </w:pPr>
      <w:r>
        <w:rPr>
          <w:rFonts w:hint="eastAsia" w:ascii="宋体" w:hAnsi="宋体" w:eastAsia="宋体"/>
          <w:color w:val="000000"/>
          <w:sz w:val="24"/>
        </w:rPr>
        <w:t xml:space="preserve">如图5-3所示，28个平台分布在四个象限中：第一象限（高绩效高效率，标杆型）包含浙江、广东、上海、北京4个平台；第二象限（高绩效中效率，潜力型）包含山东、江苏2个平台；第三象限（中绩效高效率，节约型）包含贵州、福建、四川、湖北4个平台；第四象限（低绩效低效率，困境型）包含其余18个平台。</w:t>
      </w:r>
    </w:p>
    <w:bookmarkStart w:id="136" w:name="研究目标与问题"/>
    <w:p>
      <w:pPr>
        <w:pStyle w:val="Heading4"/>
        <w:spacing w:line="360" w:lineRule="auto"/>
      </w:pPr>
      <w:r>
        <w:rPr>
          <w:rFonts w:ascii="宋体" w:hAnsi="宋体" w:eastAsia="宋体"/>
          <w:color w:val="000000"/>
          <w:sz w:val="24"/>
        </w:rPr>
        <w:t xml:space="preserve">4.1.1 </w:t>
      </w:r>
      <w:r>
        <w:rPr>
          <w:rFonts w:hint="eastAsia" w:ascii="宋体" w:hAnsi="宋体" w:eastAsia="宋体"/>
          <w:color w:val="000000"/>
          <w:sz w:val="24"/>
        </w:rPr>
        <w:t xml:space="preserve">研究目标与问题</w:t>
      </w:r>
    </w:p>
    <w:p>
      <w:pPr>
        <w:pStyle w:val="FirstParagraph"/>
        <w:spacing w:line="360" w:lineRule="auto"/>
      </w:pPr>
      <w:r>
        <w:rPr>
          <w:rFonts w:hint="eastAsia" w:ascii="宋体" w:hAnsi="宋体" w:eastAsia="宋体"/>
          <w:color w:val="000000"/>
          <w:sz w:val="24"/>
        </w:rPr>
        <w:t xml:space="preserve">本研究旨在构建一套”效果导向”的政府数据开放平台绩效评估框架，并运用该框架对中国省级政府数据开放平台进行实证评估，揭示绩效差异的形成机制，提出差异化的优化策略。围绕这一总体目标，本研究需要回答以下五个核心研究问题。</w:t>
      </w:r>
    </w:p>
    <w:p>
      <w:pPr>
        <w:pStyle w:val="BodyText"/>
        <w:spacing w:line="360" w:lineRule="auto"/>
      </w:pPr>
      <w:r>
        <w:rPr>
          <w:rFonts w:hint="eastAsia" w:ascii="宋体" w:hAnsi="宋体" w:eastAsia="宋体"/>
          <w:b/>
          <w:bCs/>
          <w:color w:val="000000"/>
          <w:sz w:val="24"/>
        </w:rPr>
        <w:t xml:space="preserve">研究问题一：如何科学评估政府数据开放平台的绩效？</w:t>
      </w:r>
      <w:r>
        <w:rPr>
          <w:rFonts w:ascii="宋体" w:hAnsi="宋体" w:eastAsia="宋体"/>
          <w:color w:val="000000"/>
          <w:sz w:val="24"/>
        </w:rPr>
        <w:t xml:space="preserve"> </w:t>
      </w:r>
      <w:r>
        <w:rPr>
          <w:rFonts w:hint="eastAsia" w:ascii="宋体" w:hAnsi="宋体" w:eastAsia="宋体"/>
          <w:color w:val="000000"/>
          <w:sz w:val="24"/>
        </w:rPr>
        <w:t xml:space="preserve">现有评估体系以供给侧指标为核心，对利用效果关注不足。本研究需要构建一个兼顾供给保障、平台服务、数据质量、利用效果和公平性的全链条评估框架，为平台绩效的科学测量提供理论工具。</w:t>
      </w:r>
    </w:p>
    <w:p>
      <w:pPr>
        <w:pStyle w:val="BodyText"/>
        <w:spacing w:line="360" w:lineRule="auto"/>
      </w:pPr>
      <w:r>
        <w:rPr>
          <w:rFonts w:hint="eastAsia" w:ascii="宋体" w:hAnsi="宋体" w:eastAsia="宋体"/>
          <w:b/>
          <w:bCs/>
          <w:color w:val="000000"/>
          <w:sz w:val="24"/>
        </w:rPr>
        <w:t xml:space="preserve">研究问题二：中国省级政府数据开放平台的绩效现状如何？</w:t>
      </w:r>
      <w:r>
        <w:rPr>
          <w:rFonts w:ascii="宋体" w:hAnsi="宋体" w:eastAsia="宋体"/>
          <w:color w:val="000000"/>
          <w:sz w:val="24"/>
        </w:rPr>
        <w:t xml:space="preserve"> </w:t>
      </w:r>
      <w:r>
        <w:rPr>
          <w:rFonts w:hint="eastAsia" w:ascii="宋体" w:hAnsi="宋体" w:eastAsia="宋体"/>
          <w:color w:val="000000"/>
          <w:sz w:val="24"/>
        </w:rPr>
        <w:t xml:space="preserve">在构建评估框架的基础上，本研究需要对全国28个建有独立数据开放平台的省级行政区进行绩效评估，识别高绩效平台和低绩效平台，分析绩效的区域分布特征和维度构成特征。</w:t>
      </w:r>
    </w:p>
    <w:p>
      <w:pPr>
        <w:pStyle w:val="BodyText"/>
        <w:spacing w:line="360" w:lineRule="auto"/>
      </w:pPr>
      <w:r>
        <w:rPr>
          <w:rFonts w:hint="eastAsia" w:ascii="宋体" w:hAnsi="宋体" w:eastAsia="宋体"/>
          <w:b/>
          <w:bCs/>
          <w:color w:val="000000"/>
          <w:sz w:val="24"/>
        </w:rPr>
        <w:t xml:space="preserve">研究问题三：平台绩效差异的形成机制是什么？</w:t>
      </w:r>
      <w:r>
        <w:rPr>
          <w:rFonts w:ascii="宋体" w:hAnsi="宋体" w:eastAsia="宋体"/>
          <w:color w:val="000000"/>
          <w:sz w:val="24"/>
        </w:rPr>
        <w:t xml:space="preserve"> </w:t>
      </w:r>
      <w:r>
        <w:rPr>
          <w:rFonts w:hint="eastAsia" w:ascii="宋体" w:hAnsi="宋体" w:eastAsia="宋体"/>
          <w:color w:val="000000"/>
          <w:sz w:val="24"/>
        </w:rPr>
        <w:t xml:space="preserve">绩效评估回答了”绩效如何”的问题，但未解释”为什么绩效有差异”。本研究需要运用因果分析方法，识别影响绩效的关键因素及其作用机制，揭示绩效差异背后的深层原因。</w:t>
      </w:r>
    </w:p>
    <w:p>
      <w:pPr>
        <w:pStyle w:val="BodyText"/>
        <w:spacing w:line="360" w:lineRule="auto"/>
      </w:pPr>
      <w:r>
        <w:rPr>
          <w:rFonts w:hint="eastAsia" w:ascii="宋体" w:hAnsi="宋体" w:eastAsia="宋体"/>
          <w:b/>
          <w:bCs/>
          <w:color w:val="000000"/>
          <w:sz w:val="24"/>
        </w:rPr>
        <w:t xml:space="preserve">研究问题四：是否存在多重等效的高绩效路径？</w:t>
      </w:r>
      <w:r>
        <w:rPr>
          <w:rFonts w:ascii="宋体" w:hAnsi="宋体" w:eastAsia="宋体"/>
          <w:color w:val="000000"/>
          <w:sz w:val="24"/>
        </w:rPr>
        <w:t xml:space="preserve"> </w:t>
      </w:r>
      <w:r>
        <w:rPr>
          <w:rFonts w:hint="eastAsia" w:ascii="宋体" w:hAnsi="宋体" w:eastAsia="宋体"/>
          <w:color w:val="000000"/>
          <w:sz w:val="24"/>
        </w:rPr>
        <w:t xml:space="preserve">传统回归分析假设因素独立作用且效应线性可加，但复杂系统中的绩效形成往往涉及因素的非线性组合。本研究需要运用组态分析方法，揭示导致高绩效的多种条件组合路径。</w:t>
      </w:r>
    </w:p>
    <w:p>
      <w:pPr>
        <w:pStyle w:val="BodyText"/>
        <w:spacing w:line="360" w:lineRule="auto"/>
      </w:pPr>
      <w:r>
        <w:rPr>
          <w:rFonts w:hint="eastAsia" w:ascii="宋体" w:hAnsi="宋体" w:eastAsia="宋体"/>
          <w:b/>
          <w:bCs/>
          <w:color w:val="000000"/>
          <w:sz w:val="24"/>
        </w:rPr>
        <w:t xml:space="preserve">研究问题五：如何设计差异化的优化策略？</w:t>
      </w:r>
      <w:r>
        <w:rPr>
          <w:rFonts w:ascii="宋体" w:hAnsi="宋体" w:eastAsia="宋体"/>
          <w:color w:val="000000"/>
          <w:sz w:val="24"/>
        </w:rPr>
        <w:t xml:space="preserve"> </w:t>
      </w:r>
      <w:r>
        <w:rPr>
          <w:rFonts w:hint="eastAsia" w:ascii="宋体" w:hAnsi="宋体" w:eastAsia="宋体"/>
          <w:color w:val="000000"/>
          <w:sz w:val="24"/>
        </w:rPr>
        <w:t xml:space="preserve">不同类型平台的绩效短板和优化路径可能截然不同，</w:t>
      </w:r>
      <w:r>
        <w:rPr>
          <w:rFonts w:hint="eastAsia" w:ascii="宋体" w:hAnsi="宋体" w:eastAsia="宋体"/>
          <w:color w:val="000000"/>
          <w:sz w:val="24"/>
        </w:rPr>
        <w:t xml:space="preserve">“一刀切”</w:t>
      </w:r>
      <w:r>
        <w:rPr>
          <w:rFonts w:hint="eastAsia" w:ascii="宋体" w:hAnsi="宋体" w:eastAsia="宋体"/>
          <w:color w:val="000000"/>
          <w:sz w:val="24"/>
        </w:rPr>
        <w:t xml:space="preserve">的建议缺乏针对性。本研究需要基于组态分析的结果，为不同类型平台设计差异化的优化策略。</w:t>
      </w:r>
    </w:p>
    <w:bookmarkEnd w:id="136"/>
    <w:bookmarkStart w:id="137" w:name="研究思路与技术路线"/>
    <w:p>
      <w:pPr>
        <w:pStyle w:val="Heading4"/>
        <w:spacing w:line="360" w:lineRule="auto"/>
      </w:pPr>
      <w:r>
        <w:rPr>
          <w:rFonts w:ascii="宋体" w:hAnsi="宋体" w:eastAsia="宋体"/>
          <w:color w:val="000000"/>
          <w:sz w:val="24"/>
        </w:rPr>
        <w:t xml:space="preserve">4.1.2 </w:t>
      </w:r>
      <w:r>
        <w:rPr>
          <w:rFonts w:hint="eastAsia" w:ascii="宋体" w:hAnsi="宋体" w:eastAsia="宋体"/>
          <w:color w:val="000000"/>
          <w:sz w:val="24"/>
        </w:rPr>
        <w:t xml:space="preserve">研究思路与技术路线</w:t>
      </w:r>
    </w:p>
    <w:p>
      <w:pPr>
        <w:pStyle w:val="FirstParagraph"/>
        <w:spacing w:line="360" w:lineRule="auto"/>
      </w:pPr>
      <w:r>
        <w:rPr>
          <w:rFonts w:hint="eastAsia" w:ascii="宋体" w:hAnsi="宋体" w:eastAsia="宋体"/>
          <w:color w:val="000000"/>
          <w:sz w:val="24"/>
        </w:rPr>
        <w:t xml:space="preserve">本研究采用”理论构建→框架设计→数据采集→绩效评估→机制分析→对策设计”的六阶段研究思路，形成从”为什么评估”到”如何评估”再到”如何改进”的完整研究闭环。</w:t>
      </w:r>
    </w:p>
    <w:p>
      <w:pPr>
        <w:pStyle w:val="BodyText"/>
        <w:spacing w:line="360" w:lineRule="auto"/>
      </w:pPr>
      <w:r>
        <w:rPr>
          <w:rFonts w:hint="eastAsia" w:ascii="宋体" w:hAnsi="宋体" w:eastAsia="宋体"/>
          <w:b/>
          <w:bCs/>
          <w:color w:val="000000"/>
          <w:sz w:val="24"/>
        </w:rPr>
        <w:t xml:space="preserve">第一阶段：理论构建。</w:t>
      </w:r>
      <w:r>
        <w:rPr>
          <w:rFonts w:ascii="宋体" w:hAnsi="宋体" w:eastAsia="宋体"/>
          <w:color w:val="000000"/>
          <w:sz w:val="24"/>
        </w:rPr>
        <w:t xml:space="preserve"> </w:t>
      </w:r>
      <w:r>
        <w:rPr>
          <w:rFonts w:hint="eastAsia" w:ascii="宋体" w:hAnsi="宋体" w:eastAsia="宋体"/>
          <w:color w:val="000000"/>
          <w:sz w:val="24"/>
        </w:rPr>
        <w:t xml:space="preserve">通过文献综述，梳理政府数据开放评估、公共价值理论、数据要素价值化理论、4E评估框架和TOE影响因素框架的研究进展，识别现有研究的不足，明确本研究的理论定位和创新空间。</w:t>
      </w:r>
    </w:p>
    <w:p>
      <w:pPr>
        <w:pStyle w:val="BodyText"/>
        <w:spacing w:line="360" w:lineRule="auto"/>
      </w:pPr>
      <w:r>
        <w:rPr>
          <w:rFonts w:hint="eastAsia" w:ascii="宋体" w:hAnsi="宋体" w:eastAsia="宋体"/>
          <w:b/>
          <w:bCs/>
          <w:color w:val="000000"/>
          <w:sz w:val="24"/>
        </w:rPr>
        <w:t xml:space="preserve">第二阶段：框架设计。</w:t>
      </w:r>
      <w:r>
        <w:rPr>
          <w:rFonts w:ascii="宋体" w:hAnsi="宋体" w:eastAsia="宋体"/>
          <w:color w:val="000000"/>
          <w:sz w:val="24"/>
        </w:rPr>
        <w:t xml:space="preserve"> </w:t>
      </w:r>
      <w:r>
        <w:rPr>
          <w:rFonts w:hint="eastAsia" w:ascii="宋体" w:hAnsi="宋体" w:eastAsia="宋体"/>
          <w:color w:val="000000"/>
          <w:sz w:val="24"/>
        </w:rPr>
        <w:t xml:space="preserve">基于理论构建的成果，设计”效果导向”的4E评估框架，确定评估维度、指标体系和权重分配方案。同时，设计TOE影响因素分析框架，确定技术、组织、环境三个层面的影响因素变量。</w:t>
      </w:r>
    </w:p>
    <w:p>
      <w:pPr>
        <w:pStyle w:val="BodyText"/>
        <w:spacing w:line="360" w:lineRule="auto"/>
      </w:pPr>
      <w:r>
        <w:rPr>
          <w:rFonts w:hint="eastAsia" w:ascii="宋体" w:hAnsi="宋体" w:eastAsia="宋体"/>
          <w:b/>
          <w:bCs/>
          <w:color w:val="000000"/>
          <w:sz w:val="24"/>
        </w:rPr>
        <w:t xml:space="preserve">第三阶段：数据采集。</w:t>
      </w:r>
      <w:r>
        <w:rPr>
          <w:rFonts w:ascii="宋体" w:hAnsi="宋体" w:eastAsia="宋体"/>
          <w:color w:val="000000"/>
          <w:sz w:val="24"/>
        </w:rPr>
        <w:t xml:space="preserve"> </w:t>
      </w:r>
      <w:r>
        <w:rPr>
          <w:rFonts w:hint="eastAsia" w:ascii="宋体" w:hAnsi="宋体" w:eastAsia="宋体"/>
          <w:color w:val="000000"/>
          <w:sz w:val="24"/>
        </w:rPr>
        <w:t xml:space="preserve">通过自动化采集系统和人工核验相结合的方式，采集28个省级平台的多维数据。采集的数据包括：平台基本信息（上线时间、主管部门、平台类型）、数据集信息（数量、主题、格式、更新日期）、平台功能信息（API、检索、预览、反馈）、应用成果信息（应用数量、类型、链接）等。</w:t>
      </w:r>
    </w:p>
    <w:p>
      <w:pPr>
        <w:pStyle w:val="BodyText"/>
        <w:spacing w:line="360" w:lineRule="auto"/>
      </w:pPr>
      <w:r>
        <w:rPr>
          <w:rFonts w:hint="eastAsia" w:ascii="宋体" w:hAnsi="宋体" w:eastAsia="宋体"/>
          <w:b/>
          <w:bCs/>
          <w:color w:val="000000"/>
          <w:sz w:val="24"/>
        </w:rPr>
        <w:t xml:space="preserve">第四阶段：绩效评估。</w:t>
      </w:r>
      <w:r>
        <w:rPr>
          <w:rFonts w:ascii="宋体" w:hAnsi="宋体" w:eastAsia="宋体"/>
          <w:color w:val="000000"/>
          <w:sz w:val="24"/>
        </w:rPr>
        <w:t xml:space="preserve"> </w:t>
      </w:r>
      <w:r>
        <w:rPr>
          <w:rFonts w:hint="eastAsia" w:ascii="宋体" w:hAnsi="宋体" w:eastAsia="宋体"/>
          <w:color w:val="000000"/>
          <w:sz w:val="24"/>
        </w:rPr>
        <w:t xml:space="preserve">运用熵权-TOPSIS方法对平台绩效进行综合评估和排名，运用DEA-BCC方法对平台效率进行评价，识别”高绩效高效率”</w:t>
      </w:r>
      <w:r>
        <w:rPr>
          <w:rFonts w:hint="eastAsia" w:ascii="宋体" w:hAnsi="宋体" w:eastAsia="宋体"/>
          <w:color w:val="000000"/>
          <w:sz w:val="24"/>
        </w:rPr>
        <w:t xml:space="preserve">“高绩效低效率”</w:t>
      </w:r>
      <w:r>
        <w:rPr>
          <w:rFonts w:hint="eastAsia" w:ascii="宋体" w:hAnsi="宋体" w:eastAsia="宋体"/>
          <w:color w:val="000000"/>
          <w:sz w:val="24"/>
        </w:rPr>
        <w:t xml:space="preserve">“低绩效高效率”</w:t>
      </w:r>
      <w:r>
        <w:rPr>
          <w:rFonts w:hint="eastAsia" w:ascii="宋体" w:hAnsi="宋体" w:eastAsia="宋体"/>
          <w:color w:val="000000"/>
          <w:sz w:val="24"/>
        </w:rPr>
        <w:t xml:space="preserve">“低绩效低效率”</w:t>
      </w:r>
      <w:r>
        <w:rPr>
          <w:rFonts w:hint="eastAsia" w:ascii="宋体" w:hAnsi="宋体" w:eastAsia="宋体"/>
          <w:color w:val="000000"/>
          <w:sz w:val="24"/>
        </w:rPr>
        <w:t xml:space="preserve">四种类型。</w:t>
      </w:r>
    </w:p>
    <w:p>
      <w:pPr>
        <w:pStyle w:val="BodyText"/>
        <w:spacing w:line="360" w:lineRule="auto"/>
      </w:pPr>
      <w:r>
        <w:rPr>
          <w:rFonts w:hint="eastAsia" w:ascii="宋体" w:hAnsi="宋体" w:eastAsia="宋体"/>
          <w:b/>
          <w:bCs/>
          <w:color w:val="000000"/>
          <w:sz w:val="24"/>
        </w:rPr>
        <w:t xml:space="preserve">第五阶段：机制分析。</w:t>
      </w:r>
      <w:r>
        <w:rPr>
          <w:rFonts w:ascii="宋体" w:hAnsi="宋体" w:eastAsia="宋体"/>
          <w:color w:val="000000"/>
          <w:sz w:val="24"/>
        </w:rPr>
        <w:t xml:space="preserve"> </w:t>
      </w:r>
      <w:r>
        <w:rPr>
          <w:rFonts w:hint="eastAsia" w:ascii="宋体" w:hAnsi="宋体" w:eastAsia="宋体"/>
          <w:color w:val="000000"/>
          <w:sz w:val="24"/>
        </w:rPr>
        <w:t xml:space="preserve">运用DEMATEL方法分析影响因素之间的因果关系，识别传导中枢因素；运用fsQCA方法揭示高绩效的多重等效路径，识别不同类型平台的组态特征。</w:t>
      </w:r>
    </w:p>
    <w:p>
      <w:pPr>
        <w:pStyle w:val="BodyText"/>
        <w:spacing w:line="360" w:lineRule="auto"/>
      </w:pPr>
      <w:r>
        <w:rPr>
          <w:rFonts w:hint="eastAsia" w:ascii="宋体" w:hAnsi="宋体" w:eastAsia="宋体"/>
          <w:b/>
          <w:bCs/>
          <w:color w:val="000000"/>
          <w:sz w:val="24"/>
        </w:rPr>
        <w:t xml:space="preserve">第六阶段：对策设计。</w:t>
      </w:r>
      <w:r>
        <w:rPr>
          <w:rFonts w:ascii="宋体" w:hAnsi="宋体" w:eastAsia="宋体"/>
          <w:color w:val="000000"/>
          <w:sz w:val="24"/>
        </w:rPr>
        <w:t xml:space="preserve"> </w:t>
      </w:r>
      <w:r>
        <w:rPr>
          <w:rFonts w:hint="eastAsia" w:ascii="宋体" w:hAnsi="宋体" w:eastAsia="宋体"/>
          <w:color w:val="000000"/>
          <w:sz w:val="24"/>
        </w:rPr>
        <w:t xml:space="preserve">基于绩效评估和机制分析的结果，针对不同类型的平台设计差异化的优化策略，为政策制定者和平台运营者提供可操作的建议。</w:t>
      </w:r>
    </w:p>
    <w:p>
      <w:pPr>
        <w:pStyle w:val="BodyText"/>
        <w:spacing w:line="360" w:lineRule="auto"/>
      </w:pPr>
      <w:r>
        <w:rPr>
          <w:rFonts w:hint="eastAsia" w:ascii="宋体" w:hAnsi="宋体" w:eastAsia="宋体"/>
          <w:color w:val="000000"/>
          <w:sz w:val="24"/>
        </w:rPr>
        <w:t xml:space="preserve">本研究的技术路线如图4-1所示（略）。技术路线的设计遵循”评估→归因→组态”的递进逻辑，确保研究结论的可靠性和政策建议的针对性。</w:t>
      </w:r>
    </w:p>
    <w:bookmarkEnd w:id="137"/>
    <w:bookmarkStart w:id="138" w:name="研究方法体系"/>
    <w:p>
      <w:pPr>
        <w:pStyle w:val="Heading4"/>
        <w:spacing w:line="360" w:lineRule="auto"/>
      </w:pPr>
      <w:r>
        <w:rPr>
          <w:rFonts w:ascii="宋体" w:hAnsi="宋体" w:eastAsia="宋体"/>
          <w:color w:val="000000"/>
          <w:sz w:val="24"/>
        </w:rPr>
        <w:t xml:space="preserve">4.1.3 </w:t>
      </w:r>
      <w:r>
        <w:rPr>
          <w:rFonts w:hint="eastAsia" w:ascii="宋体" w:hAnsi="宋体" w:eastAsia="宋体"/>
          <w:color w:val="000000"/>
          <w:sz w:val="24"/>
        </w:rPr>
        <w:t xml:space="preserve">研究方法体系</w:t>
      </w:r>
    </w:p>
    <w:p>
      <w:pPr>
        <w:pStyle w:val="FirstParagraph"/>
        <w:spacing w:line="360" w:lineRule="auto"/>
      </w:pPr>
      <w:r>
        <w:rPr>
          <w:rFonts w:hint="eastAsia" w:ascii="宋体" w:hAnsi="宋体" w:eastAsia="宋体"/>
          <w:color w:val="000000"/>
          <w:sz w:val="24"/>
        </w:rPr>
        <w:t xml:space="preserve">本研究采用多方法三角验证策略，综合运用定量分析和定性分析、演绎推理和归纳推理、变量导向和案例导向等多种研究方法，以增强研究结论的稳健性和可信度。</w:t>
      </w:r>
    </w:p>
    <w:p>
      <w:pPr>
        <w:pStyle w:val="BodyText"/>
        <w:spacing w:line="360" w:lineRule="auto"/>
      </w:pPr>
      <w:r>
        <w:rPr>
          <w:rFonts w:hint="eastAsia" w:ascii="宋体" w:hAnsi="宋体" w:eastAsia="宋体"/>
          <w:b/>
          <w:bCs/>
          <w:color w:val="000000"/>
          <w:sz w:val="24"/>
        </w:rPr>
        <w:t xml:space="preserve">定量分析方法。</w:t>
      </w:r>
      <w:r>
        <w:rPr>
          <w:rFonts w:ascii="宋体" w:hAnsi="宋体" w:eastAsia="宋体"/>
          <w:color w:val="000000"/>
          <w:sz w:val="24"/>
        </w:rPr>
        <w:t xml:space="preserve"> </w:t>
      </w:r>
      <w:r>
        <w:rPr>
          <w:rFonts w:hint="eastAsia" w:ascii="宋体" w:hAnsi="宋体" w:eastAsia="宋体"/>
          <w:color w:val="000000"/>
          <w:sz w:val="24"/>
        </w:rPr>
        <w:t xml:space="preserve">包括：（1）描述性统计分析——对平台绩效的分布特征、集中趋势和离散程度进行统计描述；（2）熵权-TOPSIS综合评估——对平台绩效进行综合评分和排名；（3）DEA-BCC效率评价——对平台资源配置效率进行评价；（4）DEMATEL因素关联分析——对影响因素的因果关系进行量化分析；（5）fsQCA组态分析——对高绩效的条件组合进行识别。</w:t>
      </w:r>
    </w:p>
    <w:p>
      <w:pPr>
        <w:pStyle w:val="BodyText"/>
        <w:spacing w:line="360" w:lineRule="auto"/>
      </w:pPr>
      <w:r>
        <w:rPr>
          <w:rFonts w:hint="eastAsia" w:ascii="宋体" w:hAnsi="宋体" w:eastAsia="宋体"/>
          <w:b/>
          <w:bCs/>
          <w:color w:val="000000"/>
          <w:sz w:val="24"/>
        </w:rPr>
        <w:t xml:space="preserve">定性分析方法。</w:t>
      </w:r>
      <w:r>
        <w:rPr>
          <w:rFonts w:ascii="宋体" w:hAnsi="宋体" w:eastAsia="宋体"/>
          <w:color w:val="000000"/>
          <w:sz w:val="24"/>
        </w:rPr>
        <w:t xml:space="preserve"> </w:t>
      </w:r>
      <w:r>
        <w:rPr>
          <w:rFonts w:hint="eastAsia" w:ascii="宋体" w:hAnsi="宋体" w:eastAsia="宋体"/>
          <w:color w:val="000000"/>
          <w:sz w:val="24"/>
        </w:rPr>
        <w:t xml:space="preserve">包括：（1）文献分析法——系统梳理国内外相关文献，构建理论框架；（2）内容分析法——对平台政策文件、数据集描述、应用案例等进行内容分析；（3）案例比较法——对典型平台（如浙江、山东、广东）进行深度案例分析，揭示绩效差异的深层原因。</w:t>
      </w:r>
    </w:p>
    <w:p>
      <w:pPr>
        <w:pStyle w:val="BodyText"/>
        <w:spacing w:line="360" w:lineRule="auto"/>
      </w:pPr>
      <w:r>
        <w:rPr>
          <w:rFonts w:hint="eastAsia" w:ascii="宋体" w:hAnsi="宋体" w:eastAsia="宋体"/>
          <w:b/>
          <w:bCs/>
          <w:color w:val="000000"/>
          <w:sz w:val="24"/>
        </w:rPr>
        <w:t xml:space="preserve">多方法三角验证。</w:t>
      </w:r>
      <w:r>
        <w:rPr>
          <w:rFonts w:ascii="宋体" w:hAnsi="宋体" w:eastAsia="宋体"/>
          <w:color w:val="000000"/>
          <w:sz w:val="24"/>
        </w:rPr>
        <w:t xml:space="preserve"> </w:t>
      </w:r>
      <w:r>
        <w:rPr>
          <w:rFonts w:hint="eastAsia" w:ascii="宋体" w:hAnsi="宋体" w:eastAsia="宋体"/>
          <w:color w:val="000000"/>
          <w:sz w:val="24"/>
        </w:rPr>
        <w:t xml:space="preserve">多方法三角验证（Methodological</w:t>
      </w:r>
      <w:r>
        <w:rPr>
          <w:rFonts w:ascii="宋体" w:hAnsi="宋体" w:eastAsia="宋体"/>
          <w:color w:val="000000"/>
          <w:sz w:val="24"/>
        </w:rPr>
        <w:t xml:space="preserve"> </w:t>
      </w:r>
      <w:r>
        <w:rPr>
          <w:rFonts w:hint="eastAsia" w:ascii="宋体" w:hAnsi="宋体" w:eastAsia="宋体"/>
          <w:color w:val="000000"/>
          <w:sz w:val="24"/>
        </w:rPr>
        <w:t xml:space="preserve">Triangulation）是指运用多种方法分析同一问题，通过不同方法结论的交叉验证来增强研究的可信度。本研究在三个环节运用三角验证：第一，在绩效评估环节，同时运用TOPSIS和DEA两种方法评估绩效，比较两种方法的结论一致性；第二，在影响因素分析环节，同时运用DEMATEL和fsQCA两种方法分析影响因素，比较两种方法的结论一致性；第三，在案例分析环节，将定量分析的结论与定性案例的发现进行交叉验证，确保结论的可靠性。</w:t>
      </w:r>
    </w:p>
    <w:bookmarkEnd w:id="138"/>
    <w:bookmarkEnd w:id="139"/>
    <w:bookmarkStart w:id="146" w:name="样本选取与数据来源"/>
    <w:p>
      <w:pPr>
        <w:pStyle w:val="Heading3"/>
        <w:spacing w:line="360" w:lineRule="auto"/>
      </w:pPr>
      <w:r>
        <w:rPr>
          <w:rFonts w:ascii="黑体" w:hAnsi="黑体" w:eastAsia="黑体"/>
          <w:b/>
          <w:color w:val="000000"/>
          <w:sz w:val="24"/>
        </w:rPr>
        <w:t xml:space="preserve">4.2 </w:t>
      </w:r>
      <w:r>
        <w:rPr>
          <w:rFonts w:hint="eastAsia" w:ascii="黑体" w:hAnsi="黑体" w:eastAsia="黑体"/>
          <w:b/>
          <w:color w:val="000000"/>
          <w:sz w:val="24"/>
        </w:rPr>
        <w:t xml:space="preserve">样本选取与数据来源</w:t>
      </w:r>
    </w:p>
    <w:p>
      <w:pPr>
        <w:pStyle w:val="FirstParagraph"/>
        <w:spacing w:line="360" w:lineRule="auto"/>
      </w:pPr>
      <w:r>
        <w:rPr>
          <w:rFonts w:hint="eastAsia" w:ascii="宋体" w:hAnsi="宋体" w:eastAsia="宋体"/>
          <w:color w:val="000000"/>
          <w:sz w:val="24"/>
        </w:rPr>
        <w:t xml:space="preserve">表4-1展示了28个样本平台的基本信息，包括平台名称、上线时间、运营主体、平台类型和数据集规模。</w:t>
      </w:r>
    </w:p>
    <w:p>
      <w:pPr>
        <w:pStyle w:val="BodyText"/>
        <w:spacing w:line="360" w:lineRule="auto"/>
      </w:pPr>
      <w:r>
        <w:rPr>
          <w:rFonts w:hint="eastAsia" w:ascii="宋体" w:hAnsi="宋体" w:eastAsia="宋体"/>
          <w:b/>
          <w:bCs/>
          <w:color w:val="000000"/>
          <w:sz w:val="24"/>
        </w:rPr>
        <w:t xml:space="preserve">表4-1</w:t>
      </w:r>
      <w:r>
        <w:rPr>
          <w:rFonts w:ascii="宋体" w:hAnsi="宋体" w:eastAsia="宋体"/>
          <w:b/>
          <w:bCs/>
          <w:color w:val="000000"/>
          <w:sz w:val="24"/>
        </w:rPr>
        <w:t xml:space="preserve"> </w:t>
      </w:r>
      <w:r>
        <w:rPr>
          <w:rFonts w:hint="eastAsia" w:ascii="宋体" w:hAnsi="宋体" w:eastAsia="宋体"/>
          <w:b/>
          <w:bCs/>
          <w:color w:val="000000"/>
          <w:sz w:val="24"/>
        </w:rPr>
        <w:t xml:space="preserve">样本平台基本信息</w:t>
      </w:r>
    </w:p>
    <w:tbl>
      <w:tblPr>
        <w:tblStyle w:val="Table"/>
        <w:tblW w:type="pct" w:w="5000"/>
        <w:tblLayout w:type="fixed"/>
        <w:tblLook w:firstRow="1" w:lastRow="0" w:firstColumn="0" w:lastColumn="0" w:noHBand="0" w:noVBand="0" w:val="0020"/>
      </w:tblPr>
      <w:tblGrid>
        <w:gridCol w:w="1200"/>
        <w:gridCol w:w="1200"/>
        <w:gridCol w:w="960"/>
        <w:gridCol w:w="1200"/>
        <w:gridCol w:w="960"/>
        <w:gridCol w:w="1200"/>
        <w:gridCol w:w="1200"/>
      </w:tblGrid>
      <w:tr>
        <w:trPr>
          <w:tblHeader w:val="on"/>
        </w:trPr>
        <w:tc>
          <w:tcPr/>
          <w:p>
            <w:pPr>
              <w:pStyle w:val="Compact"/>
              <w:jc w:val="center"/>
            </w:pPr>
            <w:r>
              <w:rPr>
                <w:rFonts w:hint="eastAsia"/>
              </w:rPr>
              <w:t xml:space="preserve">序号</w:t>
            </w:r>
          </w:p>
        </w:tc>
        <w:tc>
          <w:tcPr/>
          <w:p>
            <w:pPr>
              <w:pStyle w:val="Compact"/>
              <w:jc w:val="center"/>
            </w:pPr>
            <w:r>
              <w:rPr>
                <w:rFonts w:hint="eastAsia"/>
              </w:rPr>
              <w:t xml:space="preserve">省份</w:t>
            </w:r>
          </w:p>
        </w:tc>
        <w:tc>
          <w:tcPr/>
          <w:p>
            <w:pPr>
              <w:pStyle w:val="Compact"/>
              <w:jc w:val="left"/>
            </w:pPr>
            <w:r>
              <w:rPr>
                <w:rFonts w:hint="eastAsia"/>
              </w:rPr>
              <w:t xml:space="preserve">平台名称</w:t>
            </w:r>
          </w:p>
        </w:tc>
        <w:tc>
          <w:tcPr/>
          <w:p>
            <w:pPr>
              <w:pStyle w:val="Compact"/>
              <w:jc w:val="center"/>
            </w:pPr>
            <w:r>
              <w:rPr>
                <w:rFonts w:hint="eastAsia"/>
              </w:rPr>
              <w:t xml:space="preserve">上线时间</w:t>
            </w:r>
          </w:p>
        </w:tc>
        <w:tc>
          <w:tcPr/>
          <w:p>
            <w:pPr>
              <w:pStyle w:val="Compact"/>
              <w:jc w:val="left"/>
            </w:pPr>
            <w:r>
              <w:rPr>
                <w:rFonts w:hint="eastAsia"/>
              </w:rPr>
              <w:t xml:space="preserve">运营主体</w:t>
            </w:r>
          </w:p>
        </w:tc>
        <w:tc>
          <w:tcPr/>
          <w:p>
            <w:pPr>
              <w:pStyle w:val="Compact"/>
              <w:jc w:val="center"/>
            </w:pPr>
            <w:r>
              <w:rPr>
                <w:rFonts w:hint="eastAsia"/>
              </w:rPr>
              <w:t xml:space="preserve">平台类型</w:t>
            </w:r>
          </w:p>
        </w:tc>
        <w:tc>
          <w:tcPr/>
          <w:p>
            <w:pPr>
              <w:pStyle w:val="Compact"/>
              <w:jc w:val="center"/>
            </w:pPr>
            <w:r>
              <w:rPr>
                <w:rFonts w:hint="eastAsia"/>
              </w:rPr>
              <w:t xml:space="preserve">数据集规模（条）</w:t>
            </w:r>
          </w:p>
        </w:tc>
      </w:tr>
      <w:tr>
        <w:tc>
          <w:tcPr/>
          <w:p>
            <w:pPr>
              <w:pStyle w:val="Compact"/>
              <w:jc w:val="center"/>
            </w:pPr>
            <w:r>
              <w:t xml:space="preserve">1</w:t>
            </w:r>
          </w:p>
        </w:tc>
        <w:tc>
          <w:tcPr/>
          <w:p>
            <w:pPr>
              <w:pStyle w:val="Compact"/>
              <w:jc w:val="center"/>
            </w:pPr>
            <w:r>
              <w:rPr>
                <w:rFonts w:hint="eastAsia"/>
              </w:rPr>
              <w:t xml:space="preserve">浙江</w:t>
            </w:r>
          </w:p>
        </w:tc>
        <w:tc>
          <w:tcPr/>
          <w:p>
            <w:pPr>
              <w:pStyle w:val="Compact"/>
              <w:jc w:val="left"/>
            </w:pPr>
            <w:r>
              <w:rPr>
                <w:rFonts w:hint="eastAsia"/>
              </w:rPr>
              <w:t xml:space="preserve">浙江数据开放</w:t>
            </w:r>
          </w:p>
        </w:tc>
        <w:tc>
          <w:tcPr/>
          <w:p>
            <w:pPr>
              <w:pStyle w:val="Compact"/>
              <w:jc w:val="center"/>
            </w:pPr>
            <w:r>
              <w:t xml:space="preserve">2015-09</w:t>
            </w:r>
          </w:p>
        </w:tc>
        <w:tc>
          <w:tcPr/>
          <w:p>
            <w:pPr>
              <w:pStyle w:val="Compact"/>
              <w:jc w:val="left"/>
            </w:pPr>
            <w:r>
              <w:rPr>
                <w:rFonts w:hint="eastAsia"/>
              </w:rPr>
              <w:t xml:space="preserve">省大数据局</w:t>
            </w:r>
          </w:p>
        </w:tc>
        <w:tc>
          <w:tcPr/>
          <w:p>
            <w:pPr>
              <w:pStyle w:val="Compact"/>
              <w:jc w:val="center"/>
            </w:pPr>
            <w:r>
              <w:rPr>
                <w:rFonts w:hint="eastAsia"/>
              </w:rPr>
              <w:t xml:space="preserve">综合型</w:t>
            </w:r>
          </w:p>
        </w:tc>
        <w:tc>
          <w:tcPr/>
          <w:p>
            <w:pPr>
              <w:pStyle w:val="Compact"/>
              <w:jc w:val="center"/>
            </w:pPr>
            <w:r>
              <w:t xml:space="preserve">15,700</w:t>
            </w:r>
          </w:p>
        </w:tc>
      </w:tr>
      <w:tr>
        <w:tc>
          <w:tcPr/>
          <w:p>
            <w:pPr>
              <w:pStyle w:val="Compact"/>
              <w:jc w:val="center"/>
            </w:pPr>
            <w:r>
              <w:t xml:space="preserve">2</w:t>
            </w:r>
          </w:p>
        </w:tc>
        <w:tc>
          <w:tcPr/>
          <w:p>
            <w:pPr>
              <w:pStyle w:val="Compact"/>
              <w:jc w:val="center"/>
            </w:pPr>
            <w:r>
              <w:rPr>
                <w:rFonts w:hint="eastAsia"/>
              </w:rPr>
              <w:t xml:space="preserve">广东</w:t>
            </w:r>
          </w:p>
        </w:tc>
        <w:tc>
          <w:tcPr/>
          <w:p>
            <w:pPr>
              <w:pStyle w:val="Compact"/>
              <w:jc w:val="left"/>
            </w:pPr>
            <w:r>
              <w:rPr>
                <w:rFonts w:hint="eastAsia"/>
              </w:rPr>
              <w:t xml:space="preserve">广东数据资源开放平台</w:t>
            </w:r>
          </w:p>
        </w:tc>
        <w:tc>
          <w:tcPr/>
          <w:p>
            <w:pPr>
              <w:pStyle w:val="Compact"/>
              <w:jc w:val="center"/>
            </w:pPr>
            <w:r>
              <w:t xml:space="preserve">2016-03</w:t>
            </w:r>
          </w:p>
        </w:tc>
        <w:tc>
          <w:tcPr/>
          <w:p>
            <w:pPr>
              <w:pStyle w:val="Compact"/>
              <w:jc w:val="left"/>
            </w:pPr>
            <w:r>
              <w:rPr>
                <w:rFonts w:hint="eastAsia"/>
              </w:rPr>
              <w:t xml:space="preserve">省政务服务数据管理局</w:t>
            </w:r>
          </w:p>
        </w:tc>
        <w:tc>
          <w:tcPr/>
          <w:p>
            <w:pPr>
              <w:pStyle w:val="Compact"/>
              <w:jc w:val="center"/>
            </w:pPr>
            <w:r>
              <w:rPr>
                <w:rFonts w:hint="eastAsia"/>
              </w:rPr>
              <w:t xml:space="preserve">综合型</w:t>
            </w:r>
          </w:p>
        </w:tc>
        <w:tc>
          <w:tcPr/>
          <w:p>
            <w:pPr>
              <w:pStyle w:val="Compact"/>
              <w:jc w:val="center"/>
            </w:pPr>
            <w:r>
              <w:t xml:space="preserve">12,800</w:t>
            </w:r>
          </w:p>
        </w:tc>
      </w:tr>
      <w:tr>
        <w:tc>
          <w:tcPr/>
          <w:p>
            <w:pPr>
              <w:pStyle w:val="Compact"/>
              <w:jc w:val="center"/>
            </w:pPr>
            <w:r>
              <w:t xml:space="preserve">3</w:t>
            </w:r>
          </w:p>
        </w:tc>
        <w:tc>
          <w:tcPr/>
          <w:p>
            <w:pPr>
              <w:pStyle w:val="Compact"/>
              <w:jc w:val="center"/>
            </w:pPr>
            <w:r>
              <w:rPr>
                <w:rFonts w:hint="eastAsia"/>
              </w:rPr>
              <w:t xml:space="preserve">上海</w:t>
            </w:r>
          </w:p>
        </w:tc>
        <w:tc>
          <w:tcPr/>
          <w:p>
            <w:pPr>
              <w:pStyle w:val="Compact"/>
              <w:jc w:val="left"/>
            </w:pPr>
            <w:r>
              <w:rPr>
                <w:rFonts w:hint="eastAsia"/>
              </w:rPr>
              <w:t xml:space="preserve">上海公共数据开放平台</w:t>
            </w:r>
          </w:p>
        </w:tc>
        <w:tc>
          <w:tcPr/>
          <w:p>
            <w:pPr>
              <w:pStyle w:val="Compact"/>
              <w:jc w:val="center"/>
            </w:pPr>
            <w:r>
              <w:t xml:space="preserve">2017-01</w:t>
            </w:r>
          </w:p>
        </w:tc>
        <w:tc>
          <w:tcPr/>
          <w:p>
            <w:pPr>
              <w:pStyle w:val="Compact"/>
              <w:jc w:val="left"/>
            </w:pPr>
            <w:r>
              <w:rPr>
                <w:rFonts w:hint="eastAsia"/>
              </w:rPr>
              <w:t xml:space="preserve">市大数据中心</w:t>
            </w:r>
          </w:p>
        </w:tc>
        <w:tc>
          <w:tcPr/>
          <w:p>
            <w:pPr>
              <w:pStyle w:val="Compact"/>
              <w:jc w:val="center"/>
            </w:pPr>
            <w:r>
              <w:rPr>
                <w:rFonts w:hint="eastAsia"/>
              </w:rPr>
              <w:t xml:space="preserve">综合型</w:t>
            </w:r>
          </w:p>
        </w:tc>
        <w:tc>
          <w:tcPr/>
          <w:p>
            <w:pPr>
              <w:pStyle w:val="Compact"/>
              <w:jc w:val="center"/>
            </w:pPr>
            <w:r>
              <w:t xml:space="preserve">9,500</w:t>
            </w:r>
          </w:p>
        </w:tc>
      </w:tr>
      <w:tr>
        <w:tc>
          <w:tcPr/>
          <w:p>
            <w:pPr>
              <w:pStyle w:val="Compact"/>
              <w:jc w:val="center"/>
            </w:pPr>
            <w:r>
              <w:t xml:space="preserve">4</w:t>
            </w:r>
          </w:p>
        </w:tc>
        <w:tc>
          <w:tcPr/>
          <w:p>
            <w:pPr>
              <w:pStyle w:val="Compact"/>
              <w:jc w:val="center"/>
            </w:pPr>
            <w:r>
              <w:rPr>
                <w:rFonts w:hint="eastAsia"/>
              </w:rPr>
              <w:t xml:space="preserve">北京</w:t>
            </w:r>
          </w:p>
        </w:tc>
        <w:tc>
          <w:tcPr/>
          <w:p>
            <w:pPr>
              <w:pStyle w:val="Compact"/>
              <w:jc w:val="left"/>
            </w:pPr>
            <w:r>
              <w:rPr>
                <w:rFonts w:hint="eastAsia"/>
              </w:rPr>
              <w:t xml:space="preserve">北京市政务数据资源网</w:t>
            </w:r>
          </w:p>
        </w:tc>
        <w:tc>
          <w:tcPr/>
          <w:p>
            <w:pPr>
              <w:pStyle w:val="Compact"/>
              <w:jc w:val="center"/>
            </w:pPr>
            <w:r>
              <w:t xml:space="preserve">2016-12</w:t>
            </w:r>
          </w:p>
        </w:tc>
        <w:tc>
          <w:tcPr/>
          <w:p>
            <w:pPr>
              <w:pStyle w:val="Compact"/>
              <w:jc w:val="left"/>
            </w:pPr>
            <w:r>
              <w:rPr>
                <w:rFonts w:hint="eastAsia"/>
              </w:rPr>
              <w:t xml:space="preserve">市经济和信息化局</w:t>
            </w:r>
          </w:p>
        </w:tc>
        <w:tc>
          <w:tcPr/>
          <w:p>
            <w:pPr>
              <w:pStyle w:val="Compact"/>
              <w:jc w:val="center"/>
            </w:pPr>
            <w:r>
              <w:rPr>
                <w:rFonts w:hint="eastAsia"/>
              </w:rPr>
              <w:t xml:space="preserve">综合型</w:t>
            </w:r>
          </w:p>
        </w:tc>
        <w:tc>
          <w:tcPr/>
          <w:p>
            <w:pPr>
              <w:pStyle w:val="Compact"/>
              <w:jc w:val="center"/>
            </w:pPr>
            <w:r>
              <w:t xml:space="preserve">8,200</w:t>
            </w:r>
          </w:p>
        </w:tc>
      </w:tr>
      <w:tr>
        <w:tc>
          <w:tcPr/>
          <w:p>
            <w:pPr>
              <w:pStyle w:val="Compact"/>
              <w:jc w:val="center"/>
            </w:pPr>
            <w:r>
              <w:t xml:space="preserve">5</w:t>
            </w:r>
          </w:p>
        </w:tc>
        <w:tc>
          <w:tcPr/>
          <w:p>
            <w:pPr>
              <w:pStyle w:val="Compact"/>
              <w:jc w:val="center"/>
            </w:pPr>
            <w:r>
              <w:rPr>
                <w:rFonts w:hint="eastAsia"/>
              </w:rPr>
              <w:t xml:space="preserve">山东</w:t>
            </w:r>
          </w:p>
        </w:tc>
        <w:tc>
          <w:tcPr/>
          <w:p>
            <w:pPr>
              <w:pStyle w:val="Compact"/>
              <w:jc w:val="left"/>
            </w:pPr>
            <w:r>
              <w:rPr>
                <w:rFonts w:hint="eastAsia"/>
              </w:rPr>
              <w:t xml:space="preserve">山东公共数据开放网</w:t>
            </w:r>
          </w:p>
        </w:tc>
        <w:tc>
          <w:tcPr/>
          <w:p>
            <w:pPr>
              <w:pStyle w:val="Compact"/>
              <w:jc w:val="center"/>
            </w:pPr>
            <w:r>
              <w:t xml:space="preserve">2017-06</w:t>
            </w:r>
          </w:p>
        </w:tc>
        <w:tc>
          <w:tcPr/>
          <w:p>
            <w:pPr>
              <w:pStyle w:val="Compact"/>
              <w:jc w:val="left"/>
            </w:pPr>
            <w:r>
              <w:rPr>
                <w:rFonts w:hint="eastAsia"/>
              </w:rPr>
              <w:t xml:space="preserve">省大数据局</w:t>
            </w:r>
          </w:p>
        </w:tc>
        <w:tc>
          <w:tcPr/>
          <w:p>
            <w:pPr>
              <w:pStyle w:val="Compact"/>
              <w:jc w:val="center"/>
            </w:pPr>
            <w:r>
              <w:rPr>
                <w:rFonts w:hint="eastAsia"/>
              </w:rPr>
              <w:t xml:space="preserve">综合型</w:t>
            </w:r>
          </w:p>
        </w:tc>
        <w:tc>
          <w:tcPr/>
          <w:p>
            <w:pPr>
              <w:pStyle w:val="Compact"/>
              <w:jc w:val="center"/>
            </w:pPr>
            <w:r>
              <w:t xml:space="preserve">60,000</w:t>
            </w:r>
          </w:p>
        </w:tc>
      </w:tr>
      <w:tr>
        <w:tc>
          <w:tcPr/>
          <w:p>
            <w:pPr>
              <w:pStyle w:val="Compact"/>
              <w:jc w:val="center"/>
            </w:pPr>
            <w:r>
              <w:t xml:space="preserve">6</w:t>
            </w:r>
          </w:p>
        </w:tc>
        <w:tc>
          <w:tcPr/>
          <w:p>
            <w:pPr>
              <w:pStyle w:val="Compact"/>
              <w:jc w:val="center"/>
            </w:pPr>
            <w:r>
              <w:rPr>
                <w:rFonts w:hint="eastAsia"/>
              </w:rPr>
              <w:t xml:space="preserve">江苏</w:t>
            </w:r>
          </w:p>
        </w:tc>
        <w:tc>
          <w:tcPr/>
          <w:p>
            <w:pPr>
              <w:pStyle w:val="Compact"/>
              <w:jc w:val="left"/>
            </w:pPr>
            <w:r>
              <w:rPr>
                <w:rFonts w:hint="eastAsia"/>
              </w:rPr>
              <w:t xml:space="preserve">江苏政务数据开放平台</w:t>
            </w:r>
          </w:p>
        </w:tc>
        <w:tc>
          <w:tcPr/>
          <w:p>
            <w:pPr>
              <w:pStyle w:val="Compact"/>
              <w:jc w:val="center"/>
            </w:pPr>
            <w:r>
              <w:t xml:space="preserve">2017-09</w:t>
            </w:r>
          </w:p>
        </w:tc>
        <w:tc>
          <w:tcPr/>
          <w:p>
            <w:pPr>
              <w:pStyle w:val="Compact"/>
              <w:jc w:val="left"/>
            </w:pPr>
            <w:r>
              <w:rPr>
                <w:rFonts w:hint="eastAsia"/>
              </w:rPr>
              <w:t xml:space="preserve">省大数据管理中心</w:t>
            </w:r>
          </w:p>
        </w:tc>
        <w:tc>
          <w:tcPr/>
          <w:p>
            <w:pPr>
              <w:pStyle w:val="Compact"/>
              <w:jc w:val="center"/>
            </w:pPr>
            <w:r>
              <w:rPr>
                <w:rFonts w:hint="eastAsia"/>
              </w:rPr>
              <w:t xml:space="preserve">综合型</w:t>
            </w:r>
          </w:p>
        </w:tc>
        <w:tc>
          <w:tcPr/>
          <w:p>
            <w:pPr>
              <w:pStyle w:val="Compact"/>
              <w:jc w:val="center"/>
            </w:pPr>
            <w:r>
              <w:t xml:space="preserve">7,800</w:t>
            </w:r>
          </w:p>
        </w:tc>
      </w:tr>
      <w:tr>
        <w:tc>
          <w:tcPr/>
          <w:p>
            <w:pPr>
              <w:pStyle w:val="Compact"/>
              <w:jc w:val="center"/>
            </w:pPr>
            <w:r>
              <w:t xml:space="preserve">7</w:t>
            </w:r>
          </w:p>
        </w:tc>
        <w:tc>
          <w:tcPr/>
          <w:p>
            <w:pPr>
              <w:pStyle w:val="Compact"/>
              <w:jc w:val="center"/>
            </w:pPr>
            <w:r>
              <w:rPr>
                <w:rFonts w:hint="eastAsia"/>
              </w:rPr>
              <w:t xml:space="preserve">福建</w:t>
            </w:r>
          </w:p>
        </w:tc>
        <w:tc>
          <w:tcPr/>
          <w:p>
            <w:pPr>
              <w:pStyle w:val="Compact"/>
              <w:jc w:val="left"/>
            </w:pPr>
            <w:r>
              <w:rPr>
                <w:rFonts w:hint="eastAsia"/>
              </w:rPr>
              <w:t xml:space="preserve">福建公共数据资源开发服务平台</w:t>
            </w:r>
          </w:p>
        </w:tc>
        <w:tc>
          <w:tcPr/>
          <w:p>
            <w:pPr>
              <w:pStyle w:val="Compact"/>
              <w:jc w:val="center"/>
            </w:pPr>
            <w:r>
              <w:t xml:space="preserve">2018-03</w:t>
            </w:r>
          </w:p>
        </w:tc>
        <w:tc>
          <w:tcPr/>
          <w:p>
            <w:pPr>
              <w:pStyle w:val="Compact"/>
              <w:jc w:val="left"/>
            </w:pPr>
            <w:r>
              <w:rPr>
                <w:rFonts w:hint="eastAsia"/>
              </w:rPr>
              <w:t xml:space="preserve">省数字办</w:t>
            </w:r>
          </w:p>
        </w:tc>
        <w:tc>
          <w:tcPr/>
          <w:p>
            <w:pPr>
              <w:pStyle w:val="Compact"/>
              <w:jc w:val="center"/>
            </w:pPr>
            <w:r>
              <w:rPr>
                <w:rFonts w:hint="eastAsia"/>
              </w:rPr>
              <w:t xml:space="preserve">主题型</w:t>
            </w:r>
          </w:p>
        </w:tc>
        <w:tc>
          <w:tcPr/>
          <w:p>
            <w:pPr>
              <w:pStyle w:val="Compact"/>
              <w:jc w:val="center"/>
            </w:pPr>
            <w:r>
              <w:t xml:space="preserve">5,600</w:t>
            </w:r>
          </w:p>
        </w:tc>
      </w:tr>
      <w:tr>
        <w:tc>
          <w:tcPr/>
          <w:p>
            <w:pPr>
              <w:pStyle w:val="Compact"/>
              <w:jc w:val="center"/>
            </w:pPr>
            <w:r>
              <w:t xml:space="preserve">8</w:t>
            </w:r>
          </w:p>
        </w:tc>
        <w:tc>
          <w:tcPr/>
          <w:p>
            <w:pPr>
              <w:pStyle w:val="Compact"/>
              <w:jc w:val="center"/>
            </w:pPr>
            <w:r>
              <w:rPr>
                <w:rFonts w:hint="eastAsia"/>
              </w:rPr>
              <w:t xml:space="preserve">四川</w:t>
            </w:r>
          </w:p>
        </w:tc>
        <w:tc>
          <w:tcPr/>
          <w:p>
            <w:pPr>
              <w:pStyle w:val="Compact"/>
              <w:jc w:val="left"/>
            </w:pPr>
            <w:r>
              <w:rPr>
                <w:rFonts w:hint="eastAsia"/>
              </w:rPr>
              <w:t xml:space="preserve">四川公共数据开放网</w:t>
            </w:r>
          </w:p>
        </w:tc>
        <w:tc>
          <w:tcPr/>
          <w:p>
            <w:pPr>
              <w:pStyle w:val="Compact"/>
              <w:jc w:val="center"/>
            </w:pPr>
            <w:r>
              <w:t xml:space="preserve">2018-06</w:t>
            </w:r>
          </w:p>
        </w:tc>
        <w:tc>
          <w:tcPr/>
          <w:p>
            <w:pPr>
              <w:pStyle w:val="Compact"/>
              <w:jc w:val="left"/>
            </w:pPr>
            <w:r>
              <w:rPr>
                <w:rFonts w:hint="eastAsia"/>
              </w:rPr>
              <w:t xml:space="preserve">省大数据中心</w:t>
            </w:r>
          </w:p>
        </w:tc>
        <w:tc>
          <w:tcPr/>
          <w:p>
            <w:pPr>
              <w:pStyle w:val="Compact"/>
              <w:jc w:val="center"/>
            </w:pPr>
            <w:r>
              <w:rPr>
                <w:rFonts w:hint="eastAsia"/>
              </w:rPr>
              <w:t xml:space="preserve">主题型</w:t>
            </w:r>
          </w:p>
        </w:tc>
        <w:tc>
          <w:tcPr/>
          <w:p>
            <w:pPr>
              <w:pStyle w:val="Compact"/>
              <w:jc w:val="center"/>
            </w:pPr>
            <w:r>
              <w:t xml:space="preserve">4,900</w:t>
            </w:r>
          </w:p>
        </w:tc>
      </w:tr>
      <w:tr>
        <w:tc>
          <w:tcPr/>
          <w:p>
            <w:pPr>
              <w:pStyle w:val="Compact"/>
              <w:jc w:val="center"/>
            </w:pPr>
            <w:r>
              <w:t xml:space="preserve">9</w:t>
            </w:r>
          </w:p>
        </w:tc>
        <w:tc>
          <w:tcPr/>
          <w:p>
            <w:pPr>
              <w:pStyle w:val="Compact"/>
              <w:jc w:val="center"/>
            </w:pPr>
            <w:r>
              <w:rPr>
                <w:rFonts w:hint="eastAsia"/>
              </w:rPr>
              <w:t xml:space="preserve">贵州</w:t>
            </w:r>
          </w:p>
        </w:tc>
        <w:tc>
          <w:tcPr/>
          <w:p>
            <w:pPr>
              <w:pStyle w:val="Compact"/>
              <w:jc w:val="left"/>
            </w:pPr>
            <w:r>
              <w:rPr>
                <w:rFonts w:hint="eastAsia"/>
              </w:rPr>
              <w:t xml:space="preserve">贵州省政府数据开放平台</w:t>
            </w:r>
          </w:p>
        </w:tc>
        <w:tc>
          <w:tcPr/>
          <w:p>
            <w:pPr>
              <w:pStyle w:val="Compact"/>
              <w:jc w:val="center"/>
            </w:pPr>
            <w:r>
              <w:t xml:space="preserve">2015-05</w:t>
            </w:r>
          </w:p>
        </w:tc>
        <w:tc>
          <w:tcPr/>
          <w:p>
            <w:pPr>
              <w:pStyle w:val="Compact"/>
              <w:jc w:val="left"/>
            </w:pPr>
            <w:r>
              <w:rPr>
                <w:rFonts w:hint="eastAsia"/>
              </w:rPr>
              <w:t xml:space="preserve">省大数据局</w:t>
            </w:r>
          </w:p>
        </w:tc>
        <w:tc>
          <w:tcPr/>
          <w:p>
            <w:pPr>
              <w:pStyle w:val="Compact"/>
              <w:jc w:val="center"/>
            </w:pPr>
            <w:r>
              <w:rPr>
                <w:rFonts w:hint="eastAsia"/>
              </w:rPr>
              <w:t xml:space="preserve">综合型</w:t>
            </w:r>
          </w:p>
        </w:tc>
        <w:tc>
          <w:tcPr/>
          <w:p>
            <w:pPr>
              <w:pStyle w:val="Compact"/>
              <w:jc w:val="center"/>
            </w:pPr>
            <w:r>
              <w:t xml:space="preserve">28,000</w:t>
            </w:r>
          </w:p>
        </w:tc>
      </w:tr>
      <w:tr>
        <w:tc>
          <w:tcPr/>
          <w:p>
            <w:pPr>
              <w:pStyle w:val="Compact"/>
              <w:jc w:val="center"/>
            </w:pPr>
            <w:r>
              <w:t xml:space="preserve">10</w:t>
            </w:r>
          </w:p>
        </w:tc>
        <w:tc>
          <w:tcPr/>
          <w:p>
            <w:pPr>
              <w:pStyle w:val="Compact"/>
              <w:jc w:val="center"/>
            </w:pPr>
            <w:r>
              <w:rPr>
                <w:rFonts w:hint="eastAsia"/>
              </w:rPr>
              <w:t xml:space="preserve">湖北</w:t>
            </w:r>
          </w:p>
        </w:tc>
        <w:tc>
          <w:tcPr/>
          <w:p>
            <w:pPr>
              <w:pStyle w:val="Compact"/>
              <w:jc w:val="left"/>
            </w:pPr>
            <w:r>
              <w:rPr>
                <w:rFonts w:hint="eastAsia"/>
              </w:rPr>
              <w:t xml:space="preserve">湖北公共数据开放平台</w:t>
            </w:r>
          </w:p>
        </w:tc>
        <w:tc>
          <w:tcPr/>
          <w:p>
            <w:pPr>
              <w:pStyle w:val="Compact"/>
              <w:jc w:val="center"/>
            </w:pPr>
            <w:r>
              <w:t xml:space="preserve">2018-09</w:t>
            </w:r>
          </w:p>
        </w:tc>
        <w:tc>
          <w:tcPr/>
          <w:p>
            <w:pPr>
              <w:pStyle w:val="Compact"/>
              <w:jc w:val="left"/>
            </w:pPr>
            <w:r>
              <w:rPr>
                <w:rFonts w:hint="eastAsia"/>
              </w:rPr>
              <w:t xml:space="preserve">省政务办</w:t>
            </w:r>
          </w:p>
        </w:tc>
        <w:tc>
          <w:tcPr/>
          <w:p>
            <w:pPr>
              <w:pStyle w:val="Compact"/>
              <w:jc w:val="center"/>
            </w:pPr>
            <w:r>
              <w:rPr>
                <w:rFonts w:hint="eastAsia"/>
              </w:rPr>
              <w:t xml:space="preserve">主题型</w:t>
            </w:r>
          </w:p>
        </w:tc>
        <w:tc>
          <w:tcPr/>
          <w:p>
            <w:pPr>
              <w:pStyle w:val="Compact"/>
              <w:jc w:val="center"/>
            </w:pPr>
            <w:r>
              <w:t xml:space="preserve">3,800</w:t>
            </w:r>
          </w:p>
        </w:tc>
      </w:tr>
      <w:tr>
        <w:tc>
          <w:tcPr/>
          <w:p>
            <w:pPr>
              <w:pStyle w:val="Compact"/>
              <w:jc w:val="center"/>
            </w:pPr>
            <w:r>
              <w:t xml:space="preserve">11</w:t>
            </w:r>
          </w:p>
        </w:tc>
        <w:tc>
          <w:tcPr/>
          <w:p>
            <w:pPr>
              <w:pStyle w:val="Compact"/>
              <w:jc w:val="center"/>
            </w:pPr>
            <w:r>
              <w:rPr>
                <w:rFonts w:hint="eastAsia"/>
              </w:rPr>
              <w:t xml:space="preserve">河南</w:t>
            </w:r>
          </w:p>
        </w:tc>
        <w:tc>
          <w:tcPr/>
          <w:p>
            <w:pPr>
              <w:pStyle w:val="Compact"/>
              <w:jc w:val="left"/>
            </w:pPr>
            <w:r>
              <w:rPr>
                <w:rFonts w:hint="eastAsia"/>
              </w:rPr>
              <w:t xml:space="preserve">河南公共数据开放平台</w:t>
            </w:r>
          </w:p>
        </w:tc>
        <w:tc>
          <w:tcPr/>
          <w:p>
            <w:pPr>
              <w:pStyle w:val="Compact"/>
              <w:jc w:val="center"/>
            </w:pPr>
            <w:r>
              <w:t xml:space="preserve">2019-01</w:t>
            </w:r>
          </w:p>
        </w:tc>
        <w:tc>
          <w:tcPr/>
          <w:p>
            <w:pPr>
              <w:pStyle w:val="Compact"/>
              <w:jc w:val="left"/>
            </w:pPr>
            <w:r>
              <w:rPr>
                <w:rFonts w:hint="eastAsia"/>
              </w:rPr>
              <w:t xml:space="preserve">省大数据局</w:t>
            </w:r>
          </w:p>
        </w:tc>
        <w:tc>
          <w:tcPr/>
          <w:p>
            <w:pPr>
              <w:pStyle w:val="Compact"/>
              <w:jc w:val="center"/>
            </w:pPr>
            <w:r>
              <w:rPr>
                <w:rFonts w:hint="eastAsia"/>
              </w:rPr>
              <w:t xml:space="preserve">主题型</w:t>
            </w:r>
          </w:p>
        </w:tc>
        <w:tc>
          <w:tcPr/>
          <w:p>
            <w:pPr>
              <w:pStyle w:val="Compact"/>
              <w:jc w:val="center"/>
            </w:pPr>
            <w:r>
              <w:t xml:space="preserve">3,200</w:t>
            </w:r>
          </w:p>
        </w:tc>
      </w:tr>
      <w:tr>
        <w:tc>
          <w:tcPr/>
          <w:p>
            <w:pPr>
              <w:pStyle w:val="Compact"/>
              <w:jc w:val="center"/>
            </w:pPr>
            <w:r>
              <w:t xml:space="preserve">12</w:t>
            </w:r>
          </w:p>
        </w:tc>
        <w:tc>
          <w:tcPr/>
          <w:p>
            <w:pPr>
              <w:pStyle w:val="Compact"/>
              <w:jc w:val="center"/>
            </w:pPr>
            <w:r>
              <w:rPr>
                <w:rFonts w:hint="eastAsia"/>
              </w:rPr>
              <w:t xml:space="preserve">湖南</w:t>
            </w:r>
          </w:p>
        </w:tc>
        <w:tc>
          <w:tcPr/>
          <w:p>
            <w:pPr>
              <w:pStyle w:val="Compact"/>
              <w:jc w:val="left"/>
            </w:pPr>
            <w:r>
              <w:rPr>
                <w:rFonts w:hint="eastAsia"/>
              </w:rPr>
              <w:t xml:space="preserve">湖南政务数据开放平台</w:t>
            </w:r>
          </w:p>
        </w:tc>
        <w:tc>
          <w:tcPr/>
          <w:p>
            <w:pPr>
              <w:pStyle w:val="Compact"/>
              <w:jc w:val="center"/>
            </w:pPr>
            <w:r>
              <w:t xml:space="preserve">2019-03</w:t>
            </w:r>
          </w:p>
        </w:tc>
        <w:tc>
          <w:tcPr/>
          <w:p>
            <w:pPr>
              <w:pStyle w:val="Compact"/>
              <w:jc w:val="left"/>
            </w:pPr>
            <w:r>
              <w:rPr>
                <w:rFonts w:hint="eastAsia"/>
              </w:rPr>
              <w:t xml:space="preserve">省政务局</w:t>
            </w:r>
          </w:p>
        </w:tc>
        <w:tc>
          <w:tcPr/>
          <w:p>
            <w:pPr>
              <w:pStyle w:val="Compact"/>
              <w:jc w:val="center"/>
            </w:pPr>
            <w:r>
              <w:rPr>
                <w:rFonts w:hint="eastAsia"/>
              </w:rPr>
              <w:t xml:space="preserve">主题型</w:t>
            </w:r>
          </w:p>
        </w:tc>
        <w:tc>
          <w:tcPr/>
          <w:p>
            <w:pPr>
              <w:pStyle w:val="Compact"/>
              <w:jc w:val="center"/>
            </w:pPr>
            <w:r>
              <w:t xml:space="preserve">2,900</w:t>
            </w:r>
          </w:p>
        </w:tc>
      </w:tr>
      <w:tr>
        <w:tc>
          <w:tcPr/>
          <w:p>
            <w:pPr>
              <w:pStyle w:val="Compact"/>
              <w:jc w:val="center"/>
            </w:pPr>
            <w:r>
              <w:t xml:space="preserve">13</w:t>
            </w:r>
          </w:p>
        </w:tc>
        <w:tc>
          <w:tcPr/>
          <w:p>
            <w:pPr>
              <w:pStyle w:val="Compact"/>
              <w:jc w:val="center"/>
            </w:pPr>
            <w:r>
              <w:rPr>
                <w:rFonts w:hint="eastAsia"/>
              </w:rPr>
              <w:t xml:space="preserve">安徽</w:t>
            </w:r>
          </w:p>
        </w:tc>
        <w:tc>
          <w:tcPr/>
          <w:p>
            <w:pPr>
              <w:pStyle w:val="Compact"/>
              <w:jc w:val="left"/>
            </w:pPr>
            <w:r>
              <w:rPr>
                <w:rFonts w:hint="eastAsia"/>
              </w:rPr>
              <w:t xml:space="preserve">安徽数据资源开放平台</w:t>
            </w:r>
          </w:p>
        </w:tc>
        <w:tc>
          <w:tcPr/>
          <w:p>
            <w:pPr>
              <w:pStyle w:val="Compact"/>
              <w:jc w:val="center"/>
            </w:pPr>
            <w:r>
              <w:t xml:space="preserve">2019-06</w:t>
            </w:r>
          </w:p>
        </w:tc>
        <w:tc>
          <w:tcPr/>
          <w:p>
            <w:pPr>
              <w:pStyle w:val="Compact"/>
              <w:jc w:val="left"/>
            </w:pPr>
            <w:r>
              <w:rPr>
                <w:rFonts w:hint="eastAsia"/>
              </w:rPr>
              <w:t xml:space="preserve">省数据资源局</w:t>
            </w:r>
          </w:p>
        </w:tc>
        <w:tc>
          <w:tcPr/>
          <w:p>
            <w:pPr>
              <w:pStyle w:val="Compact"/>
              <w:jc w:val="center"/>
            </w:pPr>
            <w:r>
              <w:rPr>
                <w:rFonts w:hint="eastAsia"/>
              </w:rPr>
              <w:t xml:space="preserve">基础型</w:t>
            </w:r>
          </w:p>
        </w:tc>
        <w:tc>
          <w:tcPr/>
          <w:p>
            <w:pPr>
              <w:pStyle w:val="Compact"/>
              <w:jc w:val="center"/>
            </w:pPr>
            <w:r>
              <w:t xml:space="preserve">2,500</w:t>
            </w:r>
          </w:p>
        </w:tc>
      </w:tr>
      <w:tr>
        <w:tc>
          <w:tcPr/>
          <w:p>
            <w:pPr>
              <w:pStyle w:val="Compact"/>
              <w:jc w:val="center"/>
            </w:pPr>
            <w:r>
              <w:t xml:space="preserve">14</w:t>
            </w:r>
          </w:p>
        </w:tc>
        <w:tc>
          <w:tcPr/>
          <w:p>
            <w:pPr>
              <w:pStyle w:val="Compact"/>
              <w:jc w:val="center"/>
            </w:pPr>
            <w:r>
              <w:rPr>
                <w:rFonts w:hint="eastAsia"/>
              </w:rPr>
              <w:t xml:space="preserve">江西</w:t>
            </w:r>
          </w:p>
        </w:tc>
        <w:tc>
          <w:tcPr/>
          <w:p>
            <w:pPr>
              <w:pStyle w:val="Compact"/>
              <w:jc w:val="left"/>
            </w:pPr>
            <w:r>
              <w:rPr>
                <w:rFonts w:hint="eastAsia"/>
              </w:rPr>
              <w:t xml:space="preserve">江西数据开放平台</w:t>
            </w:r>
          </w:p>
        </w:tc>
        <w:tc>
          <w:tcPr/>
          <w:p>
            <w:pPr>
              <w:pStyle w:val="Compact"/>
              <w:jc w:val="center"/>
            </w:pPr>
            <w:r>
              <w:t xml:space="preserve">2019-09</w:t>
            </w:r>
          </w:p>
        </w:tc>
        <w:tc>
          <w:tcPr/>
          <w:p>
            <w:pPr>
              <w:pStyle w:val="Compact"/>
              <w:jc w:val="left"/>
            </w:pPr>
            <w:r>
              <w:rPr>
                <w:rFonts w:hint="eastAsia"/>
              </w:rPr>
              <w:t xml:space="preserve">省信息中心</w:t>
            </w:r>
          </w:p>
        </w:tc>
        <w:tc>
          <w:tcPr/>
          <w:p>
            <w:pPr>
              <w:pStyle w:val="Compact"/>
              <w:jc w:val="center"/>
            </w:pPr>
            <w:r>
              <w:rPr>
                <w:rFonts w:hint="eastAsia"/>
              </w:rPr>
              <w:t xml:space="preserve">基础型</w:t>
            </w:r>
          </w:p>
        </w:tc>
        <w:tc>
          <w:tcPr/>
          <w:p>
            <w:pPr>
              <w:pStyle w:val="Compact"/>
              <w:jc w:val="center"/>
            </w:pPr>
            <w:r>
              <w:t xml:space="preserve">2,100</w:t>
            </w:r>
          </w:p>
        </w:tc>
      </w:tr>
      <w:tr>
        <w:tc>
          <w:tcPr/>
          <w:p>
            <w:pPr>
              <w:pStyle w:val="Compact"/>
              <w:jc w:val="center"/>
            </w:pPr>
            <w:r>
              <w:t xml:space="preserve">15</w:t>
            </w:r>
          </w:p>
        </w:tc>
        <w:tc>
          <w:tcPr/>
          <w:p>
            <w:pPr>
              <w:pStyle w:val="Compact"/>
              <w:jc w:val="center"/>
            </w:pPr>
            <w:r>
              <w:rPr>
                <w:rFonts w:hint="eastAsia"/>
              </w:rPr>
              <w:t xml:space="preserve">重庆</w:t>
            </w:r>
          </w:p>
        </w:tc>
        <w:tc>
          <w:tcPr/>
          <w:p>
            <w:pPr>
              <w:pStyle w:val="Compact"/>
              <w:jc w:val="left"/>
            </w:pPr>
            <w:r>
              <w:rPr>
                <w:rFonts w:hint="eastAsia"/>
              </w:rPr>
              <w:t xml:space="preserve">重庆市公共数据开放平台</w:t>
            </w:r>
          </w:p>
        </w:tc>
        <w:tc>
          <w:tcPr/>
          <w:p>
            <w:pPr>
              <w:pStyle w:val="Compact"/>
              <w:jc w:val="center"/>
            </w:pPr>
            <w:r>
              <w:t xml:space="preserve">2018-12</w:t>
            </w:r>
          </w:p>
        </w:tc>
        <w:tc>
          <w:tcPr/>
          <w:p>
            <w:pPr>
              <w:pStyle w:val="Compact"/>
              <w:jc w:val="left"/>
            </w:pPr>
            <w:r>
              <w:rPr>
                <w:rFonts w:hint="eastAsia"/>
              </w:rPr>
              <w:t xml:space="preserve">市大数据局</w:t>
            </w:r>
          </w:p>
        </w:tc>
        <w:tc>
          <w:tcPr/>
          <w:p>
            <w:pPr>
              <w:pStyle w:val="Compact"/>
              <w:jc w:val="center"/>
            </w:pPr>
            <w:r>
              <w:rPr>
                <w:rFonts w:hint="eastAsia"/>
              </w:rPr>
              <w:t xml:space="preserve">主题型</w:t>
            </w:r>
          </w:p>
        </w:tc>
        <w:tc>
          <w:tcPr/>
          <w:p>
            <w:pPr>
              <w:pStyle w:val="Compact"/>
              <w:jc w:val="center"/>
            </w:pPr>
            <w:r>
              <w:t xml:space="preserve">4,200</w:t>
            </w:r>
          </w:p>
        </w:tc>
      </w:tr>
      <w:tr>
        <w:tc>
          <w:tcPr/>
          <w:p>
            <w:pPr>
              <w:pStyle w:val="Compact"/>
              <w:jc w:val="center"/>
            </w:pPr>
            <w:r>
              <w:t xml:space="preserve">16</w:t>
            </w:r>
          </w:p>
        </w:tc>
        <w:tc>
          <w:tcPr/>
          <w:p>
            <w:pPr>
              <w:pStyle w:val="Compact"/>
              <w:jc w:val="center"/>
            </w:pPr>
            <w:r>
              <w:rPr>
                <w:rFonts w:hint="eastAsia"/>
              </w:rPr>
              <w:t xml:space="preserve">天津</w:t>
            </w:r>
          </w:p>
        </w:tc>
        <w:tc>
          <w:tcPr/>
          <w:p>
            <w:pPr>
              <w:pStyle w:val="Compact"/>
              <w:jc w:val="left"/>
            </w:pPr>
            <w:r>
              <w:rPr>
                <w:rFonts w:hint="eastAsia"/>
              </w:rPr>
              <w:t xml:space="preserve">天津市信息资源统一开放平台</w:t>
            </w:r>
          </w:p>
        </w:tc>
        <w:tc>
          <w:tcPr/>
          <w:p>
            <w:pPr>
              <w:pStyle w:val="Compact"/>
              <w:jc w:val="center"/>
            </w:pPr>
            <w:r>
              <w:t xml:space="preserve">2017-03</w:t>
            </w:r>
          </w:p>
        </w:tc>
        <w:tc>
          <w:tcPr/>
          <w:p>
            <w:pPr>
              <w:pStyle w:val="Compact"/>
              <w:jc w:val="left"/>
            </w:pPr>
            <w:r>
              <w:rPr>
                <w:rFonts w:hint="eastAsia"/>
              </w:rPr>
              <w:t xml:space="preserve">市网信办</w:t>
            </w:r>
          </w:p>
        </w:tc>
        <w:tc>
          <w:tcPr/>
          <w:p>
            <w:pPr>
              <w:pStyle w:val="Compact"/>
              <w:jc w:val="center"/>
            </w:pPr>
            <w:r>
              <w:rPr>
                <w:rFonts w:hint="eastAsia"/>
              </w:rPr>
              <w:t xml:space="preserve">基础型</w:t>
            </w:r>
          </w:p>
        </w:tc>
        <w:tc>
          <w:tcPr/>
          <w:p>
            <w:pPr>
              <w:pStyle w:val="Compact"/>
              <w:jc w:val="center"/>
            </w:pPr>
            <w:r>
              <w:t xml:space="preserve">1,800</w:t>
            </w:r>
          </w:p>
        </w:tc>
      </w:tr>
      <w:tr>
        <w:tc>
          <w:tcPr/>
          <w:p>
            <w:pPr>
              <w:pStyle w:val="Compact"/>
              <w:jc w:val="center"/>
            </w:pPr>
            <w:r>
              <w:t xml:space="preserve">17</w:t>
            </w:r>
          </w:p>
        </w:tc>
        <w:tc>
          <w:tcPr/>
          <w:p>
            <w:pPr>
              <w:pStyle w:val="Compact"/>
              <w:jc w:val="center"/>
            </w:pPr>
            <w:r>
              <w:rPr>
                <w:rFonts w:hint="eastAsia"/>
              </w:rPr>
              <w:t xml:space="preserve">河北</w:t>
            </w:r>
          </w:p>
        </w:tc>
        <w:tc>
          <w:tcPr/>
          <w:p>
            <w:pPr>
              <w:pStyle w:val="Compact"/>
              <w:jc w:val="left"/>
            </w:pPr>
            <w:r>
              <w:rPr>
                <w:rFonts w:hint="eastAsia"/>
              </w:rPr>
              <w:t xml:space="preserve">河北公共数据开放平台</w:t>
            </w:r>
          </w:p>
        </w:tc>
        <w:tc>
          <w:tcPr/>
          <w:p>
            <w:pPr>
              <w:pStyle w:val="Compact"/>
              <w:jc w:val="center"/>
            </w:pPr>
            <w:r>
              <w:t xml:space="preserve">2019-12</w:t>
            </w:r>
          </w:p>
        </w:tc>
        <w:tc>
          <w:tcPr/>
          <w:p>
            <w:pPr>
              <w:pStyle w:val="Compact"/>
              <w:jc w:val="left"/>
            </w:pPr>
            <w:r>
              <w:rPr>
                <w:rFonts w:hint="eastAsia"/>
              </w:rPr>
              <w:t xml:space="preserve">省政务办</w:t>
            </w:r>
          </w:p>
        </w:tc>
        <w:tc>
          <w:tcPr/>
          <w:p>
            <w:pPr>
              <w:pStyle w:val="Compact"/>
              <w:jc w:val="center"/>
            </w:pPr>
            <w:r>
              <w:rPr>
                <w:rFonts w:hint="eastAsia"/>
              </w:rPr>
              <w:t xml:space="preserve">基础型</w:t>
            </w:r>
          </w:p>
        </w:tc>
        <w:tc>
          <w:tcPr/>
          <w:p>
            <w:pPr>
              <w:pStyle w:val="Compact"/>
              <w:jc w:val="center"/>
            </w:pPr>
            <w:r>
              <w:t xml:space="preserve">1,500</w:t>
            </w:r>
          </w:p>
        </w:tc>
      </w:tr>
      <w:tr>
        <w:tc>
          <w:tcPr/>
          <w:p>
            <w:pPr>
              <w:pStyle w:val="Compact"/>
              <w:jc w:val="center"/>
            </w:pPr>
            <w:r>
              <w:t xml:space="preserve">18</w:t>
            </w:r>
          </w:p>
        </w:tc>
        <w:tc>
          <w:tcPr/>
          <w:p>
            <w:pPr>
              <w:pStyle w:val="Compact"/>
              <w:jc w:val="center"/>
            </w:pPr>
            <w:r>
              <w:rPr>
                <w:rFonts w:hint="eastAsia"/>
              </w:rPr>
              <w:t xml:space="preserve">山西</w:t>
            </w:r>
          </w:p>
        </w:tc>
        <w:tc>
          <w:tcPr/>
          <w:p>
            <w:pPr>
              <w:pStyle w:val="Compact"/>
              <w:jc w:val="left"/>
            </w:pPr>
            <w:r>
              <w:rPr>
                <w:rFonts w:hint="eastAsia"/>
              </w:rPr>
              <w:t xml:space="preserve">山西数据开放平台</w:t>
            </w:r>
          </w:p>
        </w:tc>
        <w:tc>
          <w:tcPr/>
          <w:p>
            <w:pPr>
              <w:pStyle w:val="Compact"/>
              <w:jc w:val="center"/>
            </w:pPr>
            <w:r>
              <w:t xml:space="preserve">2020-03</w:t>
            </w:r>
          </w:p>
        </w:tc>
        <w:tc>
          <w:tcPr/>
          <w:p>
            <w:pPr>
              <w:pStyle w:val="Compact"/>
              <w:jc w:val="left"/>
            </w:pPr>
            <w:r>
              <w:rPr>
                <w:rFonts w:hint="eastAsia"/>
              </w:rPr>
              <w:t xml:space="preserve">省大数据中心</w:t>
            </w:r>
          </w:p>
        </w:tc>
        <w:tc>
          <w:tcPr/>
          <w:p>
            <w:pPr>
              <w:pStyle w:val="Compact"/>
              <w:jc w:val="center"/>
            </w:pPr>
            <w:r>
              <w:rPr>
                <w:rFonts w:hint="eastAsia"/>
              </w:rPr>
              <w:t xml:space="preserve">基础型</w:t>
            </w:r>
          </w:p>
        </w:tc>
        <w:tc>
          <w:tcPr/>
          <w:p>
            <w:pPr>
              <w:pStyle w:val="Compact"/>
              <w:jc w:val="center"/>
            </w:pPr>
            <w:r>
              <w:t xml:space="preserve">1,200</w:t>
            </w:r>
          </w:p>
        </w:tc>
      </w:tr>
      <w:tr>
        <w:tc>
          <w:tcPr/>
          <w:p>
            <w:pPr>
              <w:pStyle w:val="Compact"/>
              <w:jc w:val="center"/>
            </w:pPr>
            <w:r>
              <w:t xml:space="preserve">19</w:t>
            </w:r>
          </w:p>
        </w:tc>
        <w:tc>
          <w:tcPr/>
          <w:p>
            <w:pPr>
              <w:pStyle w:val="Compact"/>
              <w:jc w:val="center"/>
            </w:pPr>
            <w:r>
              <w:rPr>
                <w:rFonts w:hint="eastAsia"/>
              </w:rPr>
              <w:t xml:space="preserve">辽宁</w:t>
            </w:r>
          </w:p>
        </w:tc>
        <w:tc>
          <w:tcPr/>
          <w:p>
            <w:pPr>
              <w:pStyle w:val="Compact"/>
              <w:jc w:val="left"/>
            </w:pPr>
            <w:r>
              <w:rPr>
                <w:rFonts w:hint="eastAsia"/>
              </w:rPr>
              <w:t xml:space="preserve">辽宁公共数据开放平台</w:t>
            </w:r>
          </w:p>
        </w:tc>
        <w:tc>
          <w:tcPr/>
          <w:p>
            <w:pPr>
              <w:pStyle w:val="Compact"/>
              <w:jc w:val="center"/>
            </w:pPr>
            <w:r>
              <w:t xml:space="preserve">2020-06</w:t>
            </w:r>
          </w:p>
        </w:tc>
        <w:tc>
          <w:tcPr/>
          <w:p>
            <w:pPr>
              <w:pStyle w:val="Compact"/>
              <w:jc w:val="left"/>
            </w:pPr>
            <w:r>
              <w:rPr>
                <w:rFonts w:hint="eastAsia"/>
              </w:rPr>
              <w:t xml:space="preserve">省信息中心</w:t>
            </w:r>
          </w:p>
        </w:tc>
        <w:tc>
          <w:tcPr/>
          <w:p>
            <w:pPr>
              <w:pStyle w:val="Compact"/>
              <w:jc w:val="center"/>
            </w:pPr>
            <w:r>
              <w:rPr>
                <w:rFonts w:hint="eastAsia"/>
              </w:rPr>
              <w:t xml:space="preserve">基础型</w:t>
            </w:r>
          </w:p>
        </w:tc>
        <w:tc>
          <w:tcPr/>
          <w:p>
            <w:pPr>
              <w:pStyle w:val="Compact"/>
              <w:jc w:val="center"/>
            </w:pPr>
            <w:r>
              <w:t xml:space="preserve">1,000</w:t>
            </w:r>
          </w:p>
        </w:tc>
      </w:tr>
      <w:tr>
        <w:tc>
          <w:tcPr/>
          <w:p>
            <w:pPr>
              <w:pStyle w:val="Compact"/>
              <w:jc w:val="center"/>
            </w:pPr>
            <w:r>
              <w:t xml:space="preserve">20</w:t>
            </w:r>
          </w:p>
        </w:tc>
        <w:tc>
          <w:tcPr/>
          <w:p>
            <w:pPr>
              <w:pStyle w:val="Compact"/>
              <w:jc w:val="center"/>
            </w:pPr>
            <w:r>
              <w:rPr>
                <w:rFonts w:hint="eastAsia"/>
              </w:rPr>
              <w:t xml:space="preserve">云南</w:t>
            </w:r>
          </w:p>
        </w:tc>
        <w:tc>
          <w:tcPr/>
          <w:p>
            <w:pPr>
              <w:pStyle w:val="Compact"/>
              <w:jc w:val="left"/>
            </w:pPr>
            <w:r>
              <w:rPr>
                <w:rFonts w:hint="eastAsia"/>
              </w:rPr>
              <w:t xml:space="preserve">云南公共数据开放平台</w:t>
            </w:r>
          </w:p>
        </w:tc>
        <w:tc>
          <w:tcPr/>
          <w:p>
            <w:pPr>
              <w:pStyle w:val="Compact"/>
              <w:jc w:val="center"/>
            </w:pPr>
            <w:r>
              <w:t xml:space="preserve">2021-03</w:t>
            </w:r>
          </w:p>
        </w:tc>
        <w:tc>
          <w:tcPr/>
          <w:p>
            <w:pPr>
              <w:pStyle w:val="Compact"/>
              <w:jc w:val="left"/>
            </w:pPr>
            <w:r>
              <w:rPr>
                <w:rFonts w:hint="eastAsia"/>
              </w:rPr>
              <w:t xml:space="preserve">省大数据局</w:t>
            </w:r>
          </w:p>
        </w:tc>
        <w:tc>
          <w:tcPr/>
          <w:p>
            <w:pPr>
              <w:pStyle w:val="Compact"/>
              <w:jc w:val="center"/>
            </w:pPr>
            <w:r>
              <w:rPr>
                <w:rFonts w:hint="eastAsia"/>
              </w:rPr>
              <w:t xml:space="preserve">基础型</w:t>
            </w:r>
          </w:p>
        </w:tc>
        <w:tc>
          <w:tcPr/>
          <w:p>
            <w:pPr>
              <w:pStyle w:val="Compact"/>
              <w:jc w:val="center"/>
            </w:pPr>
            <w:r>
              <w:t xml:space="preserve">600</w:t>
            </w:r>
          </w:p>
        </w:tc>
      </w:tr>
      <w:tr>
        <w:tc>
          <w:tcPr/>
          <w:p>
            <w:pPr>
              <w:pStyle w:val="Compact"/>
              <w:jc w:val="center"/>
            </w:pPr>
            <w:r>
              <w:t xml:space="preserve">21</w:t>
            </w:r>
          </w:p>
        </w:tc>
        <w:tc>
          <w:tcPr/>
          <w:p>
            <w:pPr>
              <w:pStyle w:val="Compact"/>
              <w:jc w:val="center"/>
            </w:pPr>
            <w:r>
              <w:rPr>
                <w:rFonts w:hint="eastAsia"/>
              </w:rPr>
              <w:t xml:space="preserve">广西</w:t>
            </w:r>
          </w:p>
        </w:tc>
        <w:tc>
          <w:tcPr/>
          <w:p>
            <w:pPr>
              <w:pStyle w:val="Compact"/>
              <w:jc w:val="left"/>
            </w:pPr>
            <w:r>
              <w:rPr>
                <w:rFonts w:hint="eastAsia"/>
              </w:rPr>
              <w:t xml:space="preserve">广西公共数据开放平台</w:t>
            </w:r>
          </w:p>
        </w:tc>
        <w:tc>
          <w:tcPr/>
          <w:p>
            <w:pPr>
              <w:pStyle w:val="Compact"/>
              <w:jc w:val="center"/>
            </w:pPr>
            <w:r>
              <w:t xml:space="preserve">2021-06</w:t>
            </w:r>
          </w:p>
        </w:tc>
        <w:tc>
          <w:tcPr/>
          <w:p>
            <w:pPr>
              <w:pStyle w:val="Compact"/>
              <w:jc w:val="left"/>
            </w:pPr>
            <w:r>
              <w:rPr>
                <w:rFonts w:hint="eastAsia"/>
              </w:rPr>
              <w:t xml:space="preserve">自治区大数据局</w:t>
            </w:r>
          </w:p>
        </w:tc>
        <w:tc>
          <w:tcPr/>
          <w:p>
            <w:pPr>
              <w:pStyle w:val="Compact"/>
              <w:jc w:val="center"/>
            </w:pPr>
            <w:r>
              <w:rPr>
                <w:rFonts w:hint="eastAsia"/>
              </w:rPr>
              <w:t xml:space="preserve">基础型</w:t>
            </w:r>
          </w:p>
        </w:tc>
        <w:tc>
          <w:tcPr/>
          <w:p>
            <w:pPr>
              <w:pStyle w:val="Compact"/>
              <w:jc w:val="center"/>
            </w:pPr>
            <w:r>
              <w:t xml:space="preserve">550</w:t>
            </w:r>
          </w:p>
        </w:tc>
      </w:tr>
      <w:tr>
        <w:tc>
          <w:tcPr/>
          <w:p>
            <w:pPr>
              <w:pStyle w:val="Compact"/>
              <w:jc w:val="center"/>
            </w:pPr>
            <w:r>
              <w:t xml:space="preserve">22</w:t>
            </w:r>
          </w:p>
        </w:tc>
        <w:tc>
          <w:tcPr/>
          <w:p>
            <w:pPr>
              <w:pStyle w:val="Compact"/>
              <w:jc w:val="center"/>
            </w:pPr>
            <w:r>
              <w:rPr>
                <w:rFonts w:hint="eastAsia"/>
              </w:rPr>
              <w:t xml:space="preserve">海南</w:t>
            </w:r>
          </w:p>
        </w:tc>
        <w:tc>
          <w:tcPr/>
          <w:p>
            <w:pPr>
              <w:pStyle w:val="Compact"/>
              <w:jc w:val="left"/>
            </w:pPr>
            <w:r>
              <w:rPr>
                <w:rFonts w:hint="eastAsia"/>
              </w:rPr>
              <w:t xml:space="preserve">海南数据开放平台</w:t>
            </w:r>
          </w:p>
        </w:tc>
        <w:tc>
          <w:tcPr/>
          <w:p>
            <w:pPr>
              <w:pStyle w:val="Compact"/>
              <w:jc w:val="center"/>
            </w:pPr>
            <w:r>
              <w:t xml:space="preserve">2021-09</w:t>
            </w:r>
          </w:p>
        </w:tc>
        <w:tc>
          <w:tcPr/>
          <w:p>
            <w:pPr>
              <w:pStyle w:val="Compact"/>
              <w:jc w:val="left"/>
            </w:pPr>
            <w:r>
              <w:rPr>
                <w:rFonts w:hint="eastAsia"/>
              </w:rPr>
              <w:t xml:space="preserve">省大数据局</w:t>
            </w:r>
          </w:p>
        </w:tc>
        <w:tc>
          <w:tcPr/>
          <w:p>
            <w:pPr>
              <w:pStyle w:val="Compact"/>
              <w:jc w:val="center"/>
            </w:pPr>
            <w:r>
              <w:rPr>
                <w:rFonts w:hint="eastAsia"/>
              </w:rPr>
              <w:t xml:space="preserve">基础型</w:t>
            </w:r>
          </w:p>
        </w:tc>
        <w:tc>
          <w:tcPr/>
          <w:p>
            <w:pPr>
              <w:pStyle w:val="Compact"/>
              <w:jc w:val="center"/>
            </w:pPr>
            <w:r>
              <w:t xml:space="preserve">500</w:t>
            </w:r>
          </w:p>
        </w:tc>
      </w:tr>
      <w:tr>
        <w:tc>
          <w:tcPr/>
          <w:p>
            <w:pPr>
              <w:pStyle w:val="Compact"/>
              <w:jc w:val="center"/>
            </w:pPr>
            <w:r>
              <w:t xml:space="preserve">23</w:t>
            </w:r>
          </w:p>
        </w:tc>
        <w:tc>
          <w:tcPr/>
          <w:p>
            <w:pPr>
              <w:pStyle w:val="Compact"/>
              <w:jc w:val="center"/>
            </w:pPr>
            <w:r>
              <w:rPr>
                <w:rFonts w:hint="eastAsia"/>
              </w:rPr>
              <w:t xml:space="preserve">陕西</w:t>
            </w:r>
          </w:p>
        </w:tc>
        <w:tc>
          <w:tcPr/>
          <w:p>
            <w:pPr>
              <w:pStyle w:val="Compact"/>
              <w:jc w:val="left"/>
            </w:pPr>
            <w:r>
              <w:rPr>
                <w:rFonts w:hint="eastAsia"/>
              </w:rPr>
              <w:t xml:space="preserve">陕西公共数据开放平台</w:t>
            </w:r>
          </w:p>
        </w:tc>
        <w:tc>
          <w:tcPr/>
          <w:p>
            <w:pPr>
              <w:pStyle w:val="Compact"/>
              <w:jc w:val="center"/>
            </w:pPr>
            <w:r>
              <w:t xml:space="preserve">2021-12</w:t>
            </w:r>
          </w:p>
        </w:tc>
        <w:tc>
          <w:tcPr/>
          <w:p>
            <w:pPr>
              <w:pStyle w:val="Compact"/>
              <w:jc w:val="left"/>
            </w:pPr>
            <w:r>
              <w:rPr>
                <w:rFonts w:hint="eastAsia"/>
              </w:rPr>
              <w:t xml:space="preserve">省政务大数据局</w:t>
            </w:r>
          </w:p>
        </w:tc>
        <w:tc>
          <w:tcPr/>
          <w:p>
            <w:pPr>
              <w:pStyle w:val="Compact"/>
              <w:jc w:val="center"/>
            </w:pPr>
            <w:r>
              <w:rPr>
                <w:rFonts w:hint="eastAsia"/>
              </w:rPr>
              <w:t xml:space="preserve">基础型</w:t>
            </w:r>
          </w:p>
        </w:tc>
        <w:tc>
          <w:tcPr/>
          <w:p>
            <w:pPr>
              <w:pStyle w:val="Compact"/>
              <w:jc w:val="center"/>
            </w:pPr>
            <w:r>
              <w:t xml:space="preserve">450</w:t>
            </w:r>
          </w:p>
        </w:tc>
      </w:tr>
      <w:tr>
        <w:tc>
          <w:tcPr/>
          <w:p>
            <w:pPr>
              <w:pStyle w:val="Compact"/>
              <w:jc w:val="center"/>
            </w:pPr>
            <w:r>
              <w:t xml:space="preserve">24</w:t>
            </w:r>
          </w:p>
        </w:tc>
        <w:tc>
          <w:tcPr/>
          <w:p>
            <w:pPr>
              <w:pStyle w:val="Compact"/>
              <w:jc w:val="center"/>
            </w:pPr>
            <w:r>
              <w:rPr>
                <w:rFonts w:hint="eastAsia"/>
              </w:rPr>
              <w:t xml:space="preserve">黑龙江</w:t>
            </w:r>
          </w:p>
        </w:tc>
        <w:tc>
          <w:tcPr/>
          <w:p>
            <w:pPr>
              <w:pStyle w:val="Compact"/>
              <w:jc w:val="left"/>
            </w:pPr>
            <w:r>
              <w:rPr>
                <w:rFonts w:hint="eastAsia"/>
              </w:rPr>
              <w:t xml:space="preserve">黑龙江公共数据开放平台</w:t>
            </w:r>
          </w:p>
        </w:tc>
        <w:tc>
          <w:tcPr/>
          <w:p>
            <w:pPr>
              <w:pStyle w:val="Compact"/>
              <w:jc w:val="center"/>
            </w:pPr>
            <w:r>
              <w:t xml:space="preserve">2020-12</w:t>
            </w:r>
          </w:p>
        </w:tc>
        <w:tc>
          <w:tcPr/>
          <w:p>
            <w:pPr>
              <w:pStyle w:val="Compact"/>
              <w:jc w:val="left"/>
            </w:pPr>
            <w:r>
              <w:rPr>
                <w:rFonts w:hint="eastAsia"/>
              </w:rPr>
              <w:t xml:space="preserve">省大数据中心</w:t>
            </w:r>
          </w:p>
        </w:tc>
        <w:tc>
          <w:tcPr/>
          <w:p>
            <w:pPr>
              <w:pStyle w:val="Compact"/>
              <w:jc w:val="center"/>
            </w:pPr>
            <w:r>
              <w:rPr>
                <w:rFonts w:hint="eastAsia"/>
              </w:rPr>
              <w:t xml:space="preserve">基础型</w:t>
            </w:r>
          </w:p>
        </w:tc>
        <w:tc>
          <w:tcPr/>
          <w:p>
            <w:pPr>
              <w:pStyle w:val="Compact"/>
              <w:jc w:val="center"/>
            </w:pPr>
            <w:r>
              <w:t xml:space="preserve">700</w:t>
            </w:r>
          </w:p>
        </w:tc>
      </w:tr>
      <w:tr>
        <w:tc>
          <w:tcPr/>
          <w:p>
            <w:pPr>
              <w:pStyle w:val="Compact"/>
              <w:jc w:val="center"/>
            </w:pPr>
            <w:r>
              <w:t xml:space="preserve">25</w:t>
            </w:r>
          </w:p>
        </w:tc>
        <w:tc>
          <w:tcPr/>
          <w:p>
            <w:pPr>
              <w:pStyle w:val="Compact"/>
              <w:jc w:val="center"/>
            </w:pPr>
            <w:r>
              <w:rPr>
                <w:rFonts w:hint="eastAsia"/>
              </w:rPr>
              <w:t xml:space="preserve">吉林</w:t>
            </w:r>
          </w:p>
        </w:tc>
        <w:tc>
          <w:tcPr/>
          <w:p>
            <w:pPr>
              <w:pStyle w:val="Compact"/>
              <w:jc w:val="left"/>
            </w:pPr>
            <w:r>
              <w:rPr>
                <w:rFonts w:hint="eastAsia"/>
              </w:rPr>
              <w:t xml:space="preserve">吉林数据开放平台</w:t>
            </w:r>
          </w:p>
        </w:tc>
        <w:tc>
          <w:tcPr/>
          <w:p>
            <w:pPr>
              <w:pStyle w:val="Compact"/>
              <w:jc w:val="center"/>
            </w:pPr>
            <w:r>
              <w:t xml:space="preserve">2020-09</w:t>
            </w:r>
          </w:p>
        </w:tc>
        <w:tc>
          <w:tcPr/>
          <w:p>
            <w:pPr>
              <w:pStyle w:val="Compact"/>
              <w:jc w:val="left"/>
            </w:pPr>
            <w:r>
              <w:rPr>
                <w:rFonts w:hint="eastAsia"/>
              </w:rPr>
              <w:t xml:space="preserve">省政务局</w:t>
            </w:r>
          </w:p>
        </w:tc>
        <w:tc>
          <w:tcPr/>
          <w:p>
            <w:pPr>
              <w:pStyle w:val="Compact"/>
              <w:jc w:val="center"/>
            </w:pPr>
            <w:r>
              <w:rPr>
                <w:rFonts w:hint="eastAsia"/>
              </w:rPr>
              <w:t xml:space="preserve">基础型</w:t>
            </w:r>
          </w:p>
        </w:tc>
        <w:tc>
          <w:tcPr/>
          <w:p>
            <w:pPr>
              <w:pStyle w:val="Compact"/>
              <w:jc w:val="center"/>
            </w:pPr>
            <w:r>
              <w:t xml:space="preserve">800</w:t>
            </w:r>
          </w:p>
        </w:tc>
      </w:tr>
      <w:tr>
        <w:tc>
          <w:tcPr/>
          <w:p>
            <w:pPr>
              <w:pStyle w:val="Compact"/>
              <w:jc w:val="center"/>
            </w:pPr>
            <w:r>
              <w:t xml:space="preserve">26</w:t>
            </w:r>
          </w:p>
        </w:tc>
        <w:tc>
          <w:tcPr/>
          <w:p>
            <w:pPr>
              <w:pStyle w:val="Compact"/>
              <w:jc w:val="center"/>
            </w:pPr>
            <w:r>
              <w:rPr>
                <w:rFonts w:hint="eastAsia"/>
              </w:rPr>
              <w:t xml:space="preserve">新疆</w:t>
            </w:r>
          </w:p>
        </w:tc>
        <w:tc>
          <w:tcPr/>
          <w:p>
            <w:pPr>
              <w:pStyle w:val="Compact"/>
              <w:jc w:val="left"/>
            </w:pPr>
            <w:r>
              <w:rPr>
                <w:rFonts w:hint="eastAsia"/>
              </w:rPr>
              <w:t xml:space="preserve">新疆政务数据开放平台</w:t>
            </w:r>
          </w:p>
        </w:tc>
        <w:tc>
          <w:tcPr/>
          <w:p>
            <w:pPr>
              <w:pStyle w:val="Compact"/>
              <w:jc w:val="center"/>
            </w:pPr>
            <w:r>
              <w:t xml:space="preserve">2022-03</w:t>
            </w:r>
          </w:p>
        </w:tc>
        <w:tc>
          <w:tcPr/>
          <w:p>
            <w:pPr>
              <w:pStyle w:val="Compact"/>
              <w:jc w:val="left"/>
            </w:pPr>
            <w:r>
              <w:rPr>
                <w:rFonts w:hint="eastAsia"/>
              </w:rPr>
              <w:t xml:space="preserve">自治区大数据中心</w:t>
            </w:r>
          </w:p>
        </w:tc>
        <w:tc>
          <w:tcPr/>
          <w:p>
            <w:pPr>
              <w:pStyle w:val="Compact"/>
              <w:jc w:val="center"/>
            </w:pPr>
            <w:r>
              <w:rPr>
                <w:rFonts w:hint="eastAsia"/>
              </w:rPr>
              <w:t xml:space="preserve">基础型</w:t>
            </w:r>
          </w:p>
        </w:tc>
        <w:tc>
          <w:tcPr/>
          <w:p>
            <w:pPr>
              <w:pStyle w:val="Compact"/>
              <w:jc w:val="center"/>
            </w:pPr>
            <w:r>
              <w:t xml:space="preserve">400</w:t>
            </w:r>
          </w:p>
        </w:tc>
      </w:tr>
      <w:tr>
        <w:tc>
          <w:tcPr/>
          <w:p>
            <w:pPr>
              <w:pStyle w:val="Compact"/>
              <w:jc w:val="center"/>
            </w:pPr>
            <w:r>
              <w:t xml:space="preserve">27</w:t>
            </w:r>
          </w:p>
        </w:tc>
        <w:tc>
          <w:tcPr/>
          <w:p>
            <w:pPr>
              <w:pStyle w:val="Compact"/>
              <w:jc w:val="center"/>
            </w:pPr>
            <w:r>
              <w:rPr>
                <w:rFonts w:hint="eastAsia"/>
              </w:rPr>
              <w:t xml:space="preserve">宁夏</w:t>
            </w:r>
          </w:p>
        </w:tc>
        <w:tc>
          <w:tcPr/>
          <w:p>
            <w:pPr>
              <w:pStyle w:val="Compact"/>
              <w:jc w:val="left"/>
            </w:pPr>
            <w:r>
              <w:rPr>
                <w:rFonts w:hint="eastAsia"/>
              </w:rPr>
              <w:t xml:space="preserve">宁夏数据开放平台</w:t>
            </w:r>
          </w:p>
        </w:tc>
        <w:tc>
          <w:tcPr/>
          <w:p>
            <w:pPr>
              <w:pStyle w:val="Compact"/>
              <w:jc w:val="center"/>
            </w:pPr>
            <w:r>
              <w:t xml:space="preserve">2022-06</w:t>
            </w:r>
          </w:p>
        </w:tc>
        <w:tc>
          <w:tcPr/>
          <w:p>
            <w:pPr>
              <w:pStyle w:val="Compact"/>
              <w:jc w:val="left"/>
            </w:pPr>
            <w:r>
              <w:rPr>
                <w:rFonts w:hint="eastAsia"/>
              </w:rPr>
              <w:t xml:space="preserve">自治区政务大厅</w:t>
            </w:r>
          </w:p>
        </w:tc>
        <w:tc>
          <w:tcPr/>
          <w:p>
            <w:pPr>
              <w:pStyle w:val="Compact"/>
              <w:jc w:val="center"/>
            </w:pPr>
            <w:r>
              <w:rPr>
                <w:rFonts w:hint="eastAsia"/>
              </w:rPr>
              <w:t xml:space="preserve">基础型</w:t>
            </w:r>
          </w:p>
        </w:tc>
        <w:tc>
          <w:tcPr/>
          <w:p>
            <w:pPr>
              <w:pStyle w:val="Compact"/>
              <w:jc w:val="center"/>
            </w:pPr>
            <w:r>
              <w:t xml:space="preserve">350</w:t>
            </w:r>
          </w:p>
        </w:tc>
      </w:tr>
      <w:tr>
        <w:tc>
          <w:tcPr/>
          <w:p>
            <w:pPr>
              <w:pStyle w:val="Compact"/>
              <w:jc w:val="center"/>
            </w:pPr>
            <w:r>
              <w:t xml:space="preserve">28</w:t>
            </w:r>
          </w:p>
        </w:tc>
        <w:tc>
          <w:tcPr/>
          <w:p>
            <w:pPr>
              <w:pStyle w:val="Compact"/>
              <w:jc w:val="center"/>
            </w:pPr>
            <w:r>
              <w:rPr>
                <w:rFonts w:hint="eastAsia"/>
              </w:rPr>
              <w:t xml:space="preserve">青海</w:t>
            </w:r>
          </w:p>
        </w:tc>
        <w:tc>
          <w:tcPr/>
          <w:p>
            <w:pPr>
              <w:pStyle w:val="Compact"/>
              <w:jc w:val="left"/>
            </w:pPr>
            <w:r>
              <w:rPr>
                <w:rFonts w:hint="eastAsia"/>
              </w:rPr>
              <w:t xml:space="preserve">青海数据开放平台</w:t>
            </w:r>
          </w:p>
        </w:tc>
        <w:tc>
          <w:tcPr/>
          <w:p>
            <w:pPr>
              <w:pStyle w:val="Compact"/>
              <w:jc w:val="center"/>
            </w:pPr>
            <w:r>
              <w:t xml:space="preserve">2022-09</w:t>
            </w:r>
          </w:p>
        </w:tc>
        <w:tc>
          <w:tcPr/>
          <w:p>
            <w:pPr>
              <w:pStyle w:val="Compact"/>
              <w:jc w:val="left"/>
            </w:pPr>
            <w:r>
              <w:rPr>
                <w:rFonts w:hint="eastAsia"/>
              </w:rPr>
              <w:t xml:space="preserve">省信息中心</w:t>
            </w:r>
          </w:p>
        </w:tc>
        <w:tc>
          <w:tcPr/>
          <w:p>
            <w:pPr>
              <w:pStyle w:val="Compact"/>
              <w:jc w:val="center"/>
            </w:pPr>
            <w:r>
              <w:rPr>
                <w:rFonts w:hint="eastAsia"/>
              </w:rPr>
              <w:t xml:space="preserve">基础型</w:t>
            </w:r>
          </w:p>
        </w:tc>
        <w:tc>
          <w:tcPr/>
          <w:p>
            <w:pPr>
              <w:pStyle w:val="Compact"/>
              <w:jc w:val="center"/>
            </w:pPr>
            <w:r>
              <w:t xml:space="preserve">300</w:t>
            </w:r>
          </w:p>
        </w:tc>
      </w:tr>
    </w:tbl>
    <w:p>
      <w:pPr>
        <w:pStyle w:val="BodyText"/>
        <w:spacing w:line="360" w:lineRule="auto"/>
      </w:pPr>
      <w:r>
        <w:rPr>
          <w:rFonts w:hint="eastAsia" w:ascii="宋体" w:hAnsi="宋体" w:eastAsia="宋体"/>
          <w:i/>
          <w:iCs/>
          <w:color w:val="000000"/>
          <w:sz w:val="24"/>
        </w:rPr>
        <w:t xml:space="preserve">数据来源：OGD-Collector</w:t>
      </w:r>
      <w:r>
        <w:rPr>
          <w:rFonts w:ascii="宋体" w:hAnsi="宋体" w:eastAsia="宋体"/>
          <w:i/>
          <w:iCs/>
          <w:color w:val="000000"/>
          <w:sz w:val="24"/>
        </w:rPr>
        <w:t xml:space="preserve"> </w:t>
      </w:r>
      <w:r>
        <w:rPr>
          <w:rFonts w:hint="eastAsia" w:ascii="宋体" w:hAnsi="宋体" w:eastAsia="宋体"/>
          <w:i/>
          <w:iCs/>
          <w:color w:val="000000"/>
          <w:sz w:val="24"/>
        </w:rPr>
        <w:t xml:space="preserve">Pro采集系统，2025年3月</w:t>
      </w:r>
    </w:p>
    <w:p>
      <w:pPr>
        <w:pStyle w:val="BodyText"/>
        <w:spacing w:line="360" w:lineRule="auto"/>
      </w:pPr>
      <w:r>
        <w:rPr>
          <w:rFonts w:hint="eastAsia" w:ascii="宋体" w:hAnsi="宋体" w:eastAsia="宋体"/>
          <w:color w:val="000000"/>
          <w:sz w:val="24"/>
        </w:rPr>
        <w:t xml:space="preserve">28个样本平台在数据集规模、平台类型和运营年限方面存在显著差异。图4-2展示了样本平台的数据集规模分布。</w:t>
      </w:r>
    </w:p>
    <w:p>
      <w:pPr>
        <w:pStyle w:val="CaptionedFigure"/>
        <w:spacing w:line="360" w:lineRule="auto"/>
      </w:pPr>
      <w:r>
        <w:rPr>
          <w:rFonts w:ascii="宋体" w:hAnsi="宋体" w:eastAsia="宋体"/>
          <w:color w:val="000000"/>
          <w:sz w:val="24"/>
        </w:rPr>
        <w:drawing>
          <wp:inline>
            <wp:extent cx="5334000" cy="3541058"/>
            <wp:effectExtent b="0" l="0" r="0" t="0"/>
            <wp:docPr descr="图4-2 样本平台数据集规模分布" title="" id="141" name="Picture"/>
            <a:graphic>
              <a:graphicData uri="http://schemas.openxmlformats.org/drawingml/2006/picture">
                <pic:pic>
                  <pic:nvPicPr>
                    <pic:cNvPr descr="static/thesis_02_datasets.png" id="142" name="Picture"/>
                    <pic:cNvPicPr>
                      <a:picLocks noChangeArrowheads="1" noChangeAspect="1"/>
                    </pic:cNvPicPr>
                  </pic:nvPicPr>
                  <pic:blipFill>
                    <a:blip r:embed="rId140"/>
                    <a:stretch>
                      <a:fillRect/>
                    </a:stretch>
                  </pic:blipFill>
                  <pic:spPr bwMode="auto">
                    <a:xfrm>
                      <a:off x="0" y="0"/>
                      <a:ext cx="5334000" cy="3541058"/>
                    </a:xfrm>
                    <a:prstGeom prst="rect">
                      <a:avLst/>
                    </a:prstGeom>
                    <a:noFill/>
                    <a:ln w="9525">
                      <a:noFill/>
                      <a:headEnd/>
                      <a:tailEnd/>
                    </a:ln>
                  </pic:spPr>
                </pic:pic>
              </a:graphicData>
            </a:graphic>
          </wp:inline>
        </w:drawing>
      </w:r>
    </w:p>
    <w:p>
      <w:pPr>
        <w:pStyle w:val="ImageCaption"/>
        <w:spacing w:line="360" w:lineRule="auto"/>
      </w:pPr>
      <w:r>
        <w:rPr>
          <w:rFonts w:hint="eastAsia" w:ascii="宋体" w:hAnsi="宋体" w:eastAsia="宋体"/>
          <w:color w:val="000000"/>
          <w:sz w:val="24"/>
        </w:rPr>
        <w:t xml:space="preserve">图4-2</w:t>
      </w:r>
      <w:r>
        <w:rPr>
          <w:rFonts w:ascii="宋体" w:hAnsi="宋体" w:eastAsia="宋体"/>
          <w:color w:val="000000"/>
          <w:sz w:val="24"/>
        </w:rPr>
        <w:t xml:space="preserve"> </w:t>
      </w:r>
      <w:r>
        <w:rPr>
          <w:rFonts w:hint="eastAsia" w:ascii="宋体" w:hAnsi="宋体" w:eastAsia="宋体"/>
          <w:color w:val="000000"/>
          <w:sz w:val="24"/>
        </w:rPr>
        <w:t xml:space="preserve">样本平台数据集规模分布</w:t>
      </w:r>
    </w:p>
    <w:p>
      <w:pPr>
        <w:pStyle w:val="BodyText"/>
        <w:spacing w:line="360" w:lineRule="auto"/>
      </w:pPr>
      <w:r>
        <w:rPr>
          <w:rFonts w:hint="eastAsia" w:ascii="宋体" w:hAnsi="宋体" w:eastAsia="宋体"/>
          <w:b/>
          <w:bCs/>
          <w:color w:val="000000"/>
          <w:sz w:val="24"/>
        </w:rPr>
        <w:t xml:space="preserve">图4-2</w:t>
      </w:r>
      <w:r>
        <w:rPr>
          <w:rFonts w:ascii="宋体" w:hAnsi="宋体" w:eastAsia="宋体"/>
          <w:b/>
          <w:bCs/>
          <w:color w:val="000000"/>
          <w:sz w:val="24"/>
        </w:rPr>
        <w:t xml:space="preserve"> </w:t>
      </w:r>
      <w:r>
        <w:rPr>
          <w:rFonts w:hint="eastAsia" w:ascii="宋体" w:hAnsi="宋体" w:eastAsia="宋体"/>
          <w:b/>
          <w:bCs/>
          <w:color w:val="000000"/>
          <w:sz w:val="24"/>
        </w:rPr>
        <w:t xml:space="preserve">样本平台数据集规模分布</w:t>
      </w:r>
    </w:p>
    <w:p>
      <w:pPr>
        <w:pStyle w:val="BodyText"/>
        <w:spacing w:line="360" w:lineRule="auto"/>
      </w:pPr>
      <w:r>
        <w:rPr>
          <w:rFonts w:hint="eastAsia" w:ascii="宋体" w:hAnsi="宋体" w:eastAsia="宋体"/>
          <w:i/>
          <w:iCs/>
          <w:color w:val="000000"/>
          <w:sz w:val="24"/>
        </w:rPr>
        <w:t xml:space="preserve">数据来源：OGD-Collector</w:t>
      </w:r>
      <w:r>
        <w:rPr>
          <w:rFonts w:ascii="宋体" w:hAnsi="宋体" w:eastAsia="宋体"/>
          <w:i/>
          <w:iCs/>
          <w:color w:val="000000"/>
          <w:sz w:val="24"/>
        </w:rPr>
        <w:t xml:space="preserve"> </w:t>
      </w:r>
      <w:r>
        <w:rPr>
          <w:rFonts w:hint="eastAsia" w:ascii="宋体" w:hAnsi="宋体" w:eastAsia="宋体"/>
          <w:i/>
          <w:iCs/>
          <w:color w:val="000000"/>
          <w:sz w:val="24"/>
        </w:rPr>
        <w:t xml:space="preserve">Pro采集系统，2025年3月</w:t>
      </w:r>
    </w:p>
    <w:p>
      <w:pPr>
        <w:pStyle w:val="BodyText"/>
        <w:spacing w:line="360" w:lineRule="auto"/>
      </w:pPr>
      <w:r>
        <w:rPr>
          <w:rFonts w:hint="eastAsia" w:ascii="宋体" w:hAnsi="宋体" w:eastAsia="宋体"/>
          <w:color w:val="000000"/>
          <w:sz w:val="24"/>
        </w:rPr>
        <w:t xml:space="preserve">如图4-2所示，28个平台的数据集规模呈现明显的幂律分布特征——少数平台（山东、贵州、浙江）拥有大量数据集（超过1万条），而多数平台（约60%）的数据集数量不足5000条。这种分布形态反映了我国省级数据开放平台发展的不均衡性。</w:t>
      </w:r>
    </w:p>
    <w:bookmarkStart w:id="143" w:name="样本选取"/>
    <w:p>
      <w:pPr>
        <w:pStyle w:val="Heading4"/>
        <w:spacing w:line="360" w:lineRule="auto"/>
      </w:pPr>
      <w:r>
        <w:rPr>
          <w:rFonts w:ascii="宋体" w:hAnsi="宋体" w:eastAsia="宋体"/>
          <w:color w:val="000000"/>
          <w:sz w:val="24"/>
        </w:rPr>
        <w:t xml:space="preserve">4.2.1 </w:t>
      </w:r>
      <w:r>
        <w:rPr>
          <w:rFonts w:hint="eastAsia" w:ascii="宋体" w:hAnsi="宋体" w:eastAsia="宋体"/>
          <w:color w:val="000000"/>
          <w:sz w:val="24"/>
        </w:rPr>
        <w:t xml:space="preserve">样本选取</w:t>
      </w:r>
    </w:p>
    <w:p>
      <w:pPr>
        <w:pStyle w:val="FirstParagraph"/>
        <w:spacing w:line="360" w:lineRule="auto"/>
      </w:pPr>
      <w:r>
        <w:rPr>
          <w:rFonts w:hint="eastAsia" w:ascii="宋体" w:hAnsi="宋体" w:eastAsia="宋体"/>
          <w:color w:val="000000"/>
          <w:sz w:val="24"/>
        </w:rPr>
        <w:t xml:space="preserve">本研究以中国省级政府数据开放平台为研究对象。截至2025年3月，全国31个省级行政区中，28个建有独立的政府数据开放平台，3个（青海、甘肃、西藏）未建独立平台但依托其他形式提供数据开放服务。</w:t>
      </w:r>
    </w:p>
    <w:p>
      <w:pPr>
        <w:pStyle w:val="BodyText"/>
        <w:spacing w:line="360" w:lineRule="auto"/>
      </w:pPr>
      <w:r>
        <w:rPr>
          <w:rFonts w:hint="eastAsia" w:ascii="宋体" w:hAnsi="宋体" w:eastAsia="宋体"/>
          <w:color w:val="000000"/>
          <w:sz w:val="24"/>
        </w:rPr>
        <w:t xml:space="preserve">本研究的样本选取遵循以下原则。第一，平台独立性原则——样本平台应为独立的、专门化的数据开放平台，而非内嵌于政务服务平台的数据开放板块。这是因为独立平台通常拥有更完善的功能、更丰富的数据和更专业的运营团队，其绩效水平更能反映数据开放的真实状况。第二，数据可得性原则——样本平台的数据应能够通过公开渠道获取，包括平台网站访问、API接口调用、公开报告查阅等。第三，时间一致性原则——所有样本数据的采集时间应尽可能一致，以确保横向比较的公平性。</w:t>
      </w:r>
    </w:p>
    <w:p>
      <w:pPr>
        <w:pStyle w:val="BodyText"/>
        <w:spacing w:line="360" w:lineRule="auto"/>
      </w:pPr>
      <w:r>
        <w:rPr>
          <w:rFonts w:hint="eastAsia" w:ascii="宋体" w:hAnsi="宋体" w:eastAsia="宋体"/>
          <w:color w:val="000000"/>
          <w:sz w:val="24"/>
        </w:rPr>
        <w:t xml:space="preserve">基于上述原则，本研究选取了28个建有独立数据开放平台的省级行政区作为样本。其中，22个平台的数据质量满足定量评估的要求（数据集数量、更新频率、功能完备性等达到最低标准），被纳入核心样本；6个平台因数据缺失严重或功能极不完善，仅作为参考样本进行定性描述。此外，8个未建独立平台的省份被纳入补充分析，以全面反映中国省级数据开放的整体状况。</w:t>
      </w:r>
    </w:p>
    <w:bookmarkEnd w:id="143"/>
    <w:bookmarkStart w:id="144" w:name="数据来源"/>
    <w:p>
      <w:pPr>
        <w:pStyle w:val="Heading4"/>
        <w:spacing w:line="360" w:lineRule="auto"/>
      </w:pPr>
      <w:r>
        <w:rPr>
          <w:rFonts w:ascii="宋体" w:hAnsi="宋体" w:eastAsia="宋体"/>
          <w:color w:val="000000"/>
          <w:sz w:val="24"/>
        </w:rPr>
        <w:t xml:space="preserve">4.2.2 </w:t>
      </w:r>
      <w:r>
        <w:rPr>
          <w:rFonts w:hint="eastAsia" w:ascii="宋体" w:hAnsi="宋体" w:eastAsia="宋体"/>
          <w:color w:val="000000"/>
          <w:sz w:val="24"/>
        </w:rPr>
        <w:t xml:space="preserve">数据来源</w:t>
      </w:r>
    </w:p>
    <w:p>
      <w:pPr>
        <w:pStyle w:val="FirstParagraph"/>
        <w:spacing w:line="360" w:lineRule="auto"/>
      </w:pPr>
      <w:r>
        <w:rPr>
          <w:rFonts w:hint="eastAsia" w:ascii="宋体" w:hAnsi="宋体" w:eastAsia="宋体"/>
          <w:color w:val="000000"/>
          <w:sz w:val="24"/>
        </w:rPr>
        <w:t xml:space="preserve">本研究的数据来源包括以下几个方面。</w:t>
      </w:r>
    </w:p>
    <w:p>
      <w:pPr>
        <w:pStyle w:val="BodyText"/>
        <w:spacing w:line="360" w:lineRule="auto"/>
      </w:pPr>
      <w:r>
        <w:rPr>
          <w:rFonts w:hint="eastAsia" w:ascii="宋体" w:hAnsi="宋体" w:eastAsia="宋体"/>
          <w:b/>
          <w:bCs/>
          <w:color w:val="000000"/>
          <w:sz w:val="24"/>
        </w:rPr>
        <w:t xml:space="preserve">平台自动化采集数据。</w:t>
      </w:r>
      <w:r>
        <w:rPr>
          <w:rFonts w:ascii="宋体" w:hAnsi="宋体" w:eastAsia="宋体"/>
          <w:color w:val="000000"/>
          <w:sz w:val="24"/>
        </w:rPr>
        <w:t xml:space="preserve"> </w:t>
      </w:r>
      <w:r>
        <w:rPr>
          <w:rFonts w:hint="eastAsia" w:ascii="宋体" w:hAnsi="宋体" w:eastAsia="宋体"/>
          <w:color w:val="000000"/>
          <w:sz w:val="24"/>
        </w:rPr>
        <w:t xml:space="preserve">通过自主开发的数据采集系统（OGD-Collector</w:t>
      </w:r>
      <w:r>
        <w:rPr>
          <w:rFonts w:ascii="宋体" w:hAnsi="宋体" w:eastAsia="宋体"/>
          <w:color w:val="000000"/>
          <w:sz w:val="24"/>
        </w:rPr>
        <w:t xml:space="preserve"> </w:t>
      </w:r>
      <w:r>
        <w:rPr>
          <w:rFonts w:hint="eastAsia" w:ascii="宋体" w:hAnsi="宋体" w:eastAsia="宋体"/>
          <w:color w:val="000000"/>
          <w:sz w:val="24"/>
        </w:rPr>
        <w:t xml:space="preserve">Pro），对28个平台的数据集信息、平台功能信息、应用成果信息进行自动化采集。采集的数据包括：数据集标题、描述、主题分类、发布机构、更新日期、数据格式、下载链接；平台功能模块（检索、预览、下载、API、可视化、反馈）；应用成果名称、描述、链接、类型等。自动化采集的时间为2025年3月1日至3月31日，所有数据带有时间戳，确保数据的可追溯性。</w:t>
      </w:r>
    </w:p>
    <w:p>
      <w:pPr>
        <w:pStyle w:val="BodyText"/>
        <w:spacing w:line="360" w:lineRule="auto"/>
      </w:pPr>
      <w:r>
        <w:rPr>
          <w:rFonts w:hint="eastAsia" w:ascii="宋体" w:hAnsi="宋体" w:eastAsia="宋体"/>
          <w:b/>
          <w:bCs/>
          <w:color w:val="000000"/>
          <w:sz w:val="24"/>
        </w:rPr>
        <w:t xml:space="preserve">平台人工核验数据。</w:t>
      </w:r>
      <w:r>
        <w:rPr>
          <w:rFonts w:ascii="宋体" w:hAnsi="宋体" w:eastAsia="宋体"/>
          <w:color w:val="000000"/>
          <w:sz w:val="24"/>
        </w:rPr>
        <w:t xml:space="preserve"> </w:t>
      </w:r>
      <w:r>
        <w:rPr>
          <w:rFonts w:hint="eastAsia" w:ascii="宋体" w:hAnsi="宋体" w:eastAsia="宋体"/>
          <w:color w:val="000000"/>
          <w:sz w:val="24"/>
        </w:rPr>
        <w:t xml:space="preserve">对于自动化采集难以准确获取的数据（如数据质量、元数据完整性、API文档质量等），本研究组织了人工核验。人工核验由3名经过培训的研究助理独立完成，对同一指标进行交叉核验，取多数意见作为最终结果。人工核验的指标包括：数据准确性（抽样检查10个数据集的错误率）、元数据完整性（检查必填字段的填写率）、API文档质量（评估文档的完整性、准确性和易读性）、平台用户体验（评估界面设计、导航逻辑、响应速度等）。</w:t>
      </w:r>
    </w:p>
    <w:p>
      <w:pPr>
        <w:pStyle w:val="BodyText"/>
        <w:spacing w:line="360" w:lineRule="auto"/>
      </w:pPr>
      <w:r>
        <w:rPr>
          <w:rFonts w:hint="eastAsia" w:ascii="宋体" w:hAnsi="宋体" w:eastAsia="宋体"/>
          <w:b/>
          <w:bCs/>
          <w:color w:val="000000"/>
          <w:sz w:val="24"/>
        </w:rPr>
        <w:t xml:space="preserve">公开统计数据。</w:t>
      </w:r>
      <w:r>
        <w:rPr>
          <w:rFonts w:ascii="宋体" w:hAnsi="宋体" w:eastAsia="宋体"/>
          <w:color w:val="000000"/>
          <w:sz w:val="24"/>
        </w:rPr>
        <w:t xml:space="preserve"> </w:t>
      </w:r>
      <w:r>
        <w:rPr>
          <w:rFonts w:hint="eastAsia" w:ascii="宋体" w:hAnsi="宋体" w:eastAsia="宋体"/>
          <w:color w:val="000000"/>
          <w:sz w:val="24"/>
        </w:rPr>
        <w:t xml:space="preserve">包括各省份的GDP、人口、互联网普及率、数字产业规模等宏观经济数据，来源于国家统计局、各省统计局和《中国统计年鉴》。此外，还包括开放数林指数的历年评估数据，来源于复旦大学数字与移动治理实验室公开发布的报告。</w:t>
      </w:r>
    </w:p>
    <w:p>
      <w:pPr>
        <w:pStyle w:val="BodyText"/>
        <w:spacing w:line="360" w:lineRule="auto"/>
      </w:pPr>
      <w:r>
        <w:rPr>
          <w:rFonts w:hint="eastAsia" w:ascii="宋体" w:hAnsi="宋体" w:eastAsia="宋体"/>
          <w:b/>
          <w:bCs/>
          <w:color w:val="000000"/>
          <w:sz w:val="24"/>
        </w:rPr>
        <w:t xml:space="preserve">政策文件和报告。</w:t>
      </w:r>
      <w:r>
        <w:rPr>
          <w:rFonts w:ascii="宋体" w:hAnsi="宋体" w:eastAsia="宋体"/>
          <w:color w:val="000000"/>
          <w:sz w:val="24"/>
        </w:rPr>
        <w:t xml:space="preserve"> </w:t>
      </w:r>
      <w:r>
        <w:rPr>
          <w:rFonts w:hint="eastAsia" w:ascii="宋体" w:hAnsi="宋体" w:eastAsia="宋体"/>
          <w:color w:val="000000"/>
          <w:sz w:val="24"/>
        </w:rPr>
        <w:t xml:space="preserve">包括国家和省级层面的数据开放政策文件、数据开放管理办法、数据标准规范等，来源于各级政府官方网站和公文数据库。这些文件用于评估”制度环境”和”政策体系”指标。</w:t>
      </w:r>
    </w:p>
    <w:bookmarkEnd w:id="144"/>
    <w:bookmarkStart w:id="145" w:name="数据质量控制"/>
    <w:p>
      <w:pPr>
        <w:pStyle w:val="Heading4"/>
        <w:spacing w:line="360" w:lineRule="auto"/>
      </w:pPr>
      <w:r>
        <w:rPr>
          <w:rFonts w:ascii="宋体" w:hAnsi="宋体" w:eastAsia="宋体"/>
          <w:color w:val="000000"/>
          <w:sz w:val="24"/>
        </w:rPr>
        <w:t xml:space="preserve">4.2.3 </w:t>
      </w:r>
      <w:r>
        <w:rPr>
          <w:rFonts w:hint="eastAsia" w:ascii="宋体" w:hAnsi="宋体" w:eastAsia="宋体"/>
          <w:color w:val="000000"/>
          <w:sz w:val="24"/>
        </w:rPr>
        <w:t xml:space="preserve">数据质量控制</w:t>
      </w:r>
    </w:p>
    <w:p>
      <w:pPr>
        <w:pStyle w:val="FirstParagraph"/>
        <w:spacing w:line="360" w:lineRule="auto"/>
      </w:pPr>
      <w:r>
        <w:rPr>
          <w:rFonts w:hint="eastAsia" w:ascii="宋体" w:hAnsi="宋体" w:eastAsia="宋体"/>
          <w:color w:val="000000"/>
          <w:sz w:val="24"/>
        </w:rPr>
        <w:t xml:space="preserve">数据质量是实证研究的生命线。本研究从数据采集、数据清洗、数据核验三个环节控制数据质量。</w:t>
      </w:r>
    </w:p>
    <w:p>
      <w:pPr>
        <w:pStyle w:val="BodyText"/>
        <w:spacing w:line="360" w:lineRule="auto"/>
      </w:pPr>
      <w:r>
        <w:rPr>
          <w:rFonts w:hint="eastAsia" w:ascii="宋体" w:hAnsi="宋体" w:eastAsia="宋体"/>
          <w:b/>
          <w:bCs/>
          <w:color w:val="000000"/>
          <w:sz w:val="24"/>
        </w:rPr>
        <w:t xml:space="preserve">数据采集质量控制。</w:t>
      </w:r>
      <w:r>
        <w:rPr>
          <w:rFonts w:ascii="宋体" w:hAnsi="宋体" w:eastAsia="宋体"/>
          <w:color w:val="000000"/>
          <w:sz w:val="24"/>
        </w:rPr>
        <w:t xml:space="preserve"> </w:t>
      </w:r>
      <w:r>
        <w:rPr>
          <w:rFonts w:hint="eastAsia" w:ascii="宋体" w:hAnsi="宋体" w:eastAsia="宋体"/>
          <w:color w:val="000000"/>
          <w:sz w:val="24"/>
        </w:rPr>
        <w:t xml:space="preserve">自动化采集系统内置了数据校验机制——在采集过程中自动检查数据的完整性和一致性，对于缺失值、异常值和矛盾值进行标记和记录。例如，如果一个数据集的”更新日期”早于”发布日期”，系统会自动标记为异常数据，并进行人工复核。</w:t>
      </w:r>
    </w:p>
    <w:p>
      <w:pPr>
        <w:pStyle w:val="BodyText"/>
        <w:spacing w:line="360" w:lineRule="auto"/>
      </w:pPr>
      <w:r>
        <w:rPr>
          <w:rFonts w:hint="eastAsia" w:ascii="宋体" w:hAnsi="宋体" w:eastAsia="宋体"/>
          <w:b/>
          <w:bCs/>
          <w:color w:val="000000"/>
          <w:sz w:val="24"/>
        </w:rPr>
        <w:t xml:space="preserve">数据清洗质量控制。</w:t>
      </w:r>
      <w:r>
        <w:rPr>
          <w:rFonts w:ascii="宋体" w:hAnsi="宋体" w:eastAsia="宋体"/>
          <w:color w:val="000000"/>
          <w:sz w:val="24"/>
        </w:rPr>
        <w:t xml:space="preserve"> </w:t>
      </w:r>
      <w:r>
        <w:rPr>
          <w:rFonts w:hint="eastAsia" w:ascii="宋体" w:hAnsi="宋体" w:eastAsia="宋体"/>
          <w:color w:val="000000"/>
          <w:sz w:val="24"/>
        </w:rPr>
        <w:t xml:space="preserve">采集完成后，对原始数据进行系统清洗。清洗内容包括：去重（删除重复采集的数据集记录）、纠错（修正明显的数据录入错误）、补全（对于缺失值，优先从其他数据源补全；无法补全的，进行标记）、标准化（统一字段命名、编码规则和格式规范）。</w:t>
      </w:r>
    </w:p>
    <w:p>
      <w:pPr>
        <w:pStyle w:val="BodyText"/>
        <w:spacing w:line="360" w:lineRule="auto"/>
      </w:pPr>
      <w:r>
        <w:rPr>
          <w:rFonts w:hint="eastAsia" w:ascii="宋体" w:hAnsi="宋体" w:eastAsia="宋体"/>
          <w:b/>
          <w:bCs/>
          <w:color w:val="000000"/>
          <w:sz w:val="24"/>
        </w:rPr>
        <w:t xml:space="preserve">数据核验质量控制。</w:t>
      </w:r>
      <w:r>
        <w:rPr>
          <w:rFonts w:ascii="宋体" w:hAnsi="宋体" w:eastAsia="宋体"/>
          <w:color w:val="000000"/>
          <w:sz w:val="24"/>
        </w:rPr>
        <w:t xml:space="preserve"> </w:t>
      </w:r>
      <w:r>
        <w:rPr>
          <w:rFonts w:hint="eastAsia" w:ascii="宋体" w:hAnsi="宋体" w:eastAsia="宋体"/>
          <w:color w:val="000000"/>
          <w:sz w:val="24"/>
        </w:rPr>
        <w:t xml:space="preserve">采用”双人独立核验+第三方仲裁”的机制确保数据准确性。对于关键指标（如数据集数量、应用数量），由两名研究助理独立计数，如果两人的计数结果差异超过5%，则由第三方进行仲裁。对于主观性指标（如数据质量评分、平台用户体验评分），采用”多人评分取平均”的方式减少个人偏见的影响。</w:t>
      </w:r>
    </w:p>
    <w:bookmarkEnd w:id="145"/>
    <w:bookmarkEnd w:id="146"/>
    <w:bookmarkStart w:id="151" w:name="评估指标体系构建"/>
    <w:p>
      <w:pPr>
        <w:pStyle w:val="Heading3"/>
        <w:spacing w:line="360" w:lineRule="auto"/>
      </w:pPr>
      <w:r>
        <w:rPr>
          <w:rFonts w:ascii="黑体" w:hAnsi="黑体" w:eastAsia="黑体"/>
          <w:b/>
          <w:color w:val="000000"/>
          <w:sz w:val="24"/>
        </w:rPr>
        <w:t xml:space="preserve">4.3 </w:t>
      </w:r>
      <w:r>
        <w:rPr>
          <w:rFonts w:hint="eastAsia" w:ascii="黑体" w:hAnsi="黑体" w:eastAsia="黑体"/>
          <w:b/>
          <w:color w:val="000000"/>
          <w:sz w:val="24"/>
        </w:rPr>
        <w:t xml:space="preserve">评估指标体系构建</w:t>
      </w:r>
    </w:p>
    <w:bookmarkStart w:id="147" w:name="指标体系设计原则"/>
    <w:p>
      <w:pPr>
        <w:pStyle w:val="Heading4"/>
        <w:spacing w:line="360" w:lineRule="auto"/>
      </w:pPr>
      <w:r>
        <w:rPr>
          <w:rFonts w:ascii="宋体" w:hAnsi="宋体" w:eastAsia="宋体"/>
          <w:color w:val="000000"/>
          <w:sz w:val="24"/>
        </w:rPr>
        <w:t xml:space="preserve">4.3.1 </w:t>
      </w:r>
      <w:r>
        <w:rPr>
          <w:rFonts w:hint="eastAsia" w:ascii="宋体" w:hAnsi="宋体" w:eastAsia="宋体"/>
          <w:color w:val="000000"/>
          <w:sz w:val="24"/>
        </w:rPr>
        <w:t xml:space="preserve">指标体系设计原则</w:t>
      </w:r>
    </w:p>
    <w:p>
      <w:pPr>
        <w:pStyle w:val="FirstParagraph"/>
        <w:spacing w:line="360" w:lineRule="auto"/>
      </w:pPr>
      <w:r>
        <w:rPr>
          <w:rFonts w:hint="eastAsia" w:ascii="宋体" w:hAnsi="宋体" w:eastAsia="宋体"/>
          <w:color w:val="000000"/>
          <w:sz w:val="24"/>
        </w:rPr>
        <w:t xml:space="preserve">评估指标体系是绩效评估的核心工具，指标设计的科学性直接决定了评估结果的可信度。本研究在指标设计时遵循以下原则。</w:t>
      </w:r>
    </w:p>
    <w:p>
      <w:pPr>
        <w:pStyle w:val="BodyText"/>
        <w:spacing w:line="360" w:lineRule="auto"/>
      </w:pPr>
      <w:r>
        <w:rPr>
          <w:rFonts w:hint="eastAsia" w:ascii="宋体" w:hAnsi="宋体" w:eastAsia="宋体"/>
          <w:b/>
          <w:bCs/>
          <w:color w:val="000000"/>
          <w:sz w:val="24"/>
        </w:rPr>
        <w:t xml:space="preserve">系统性原则。</w:t>
      </w:r>
      <w:r>
        <w:rPr>
          <w:rFonts w:ascii="宋体" w:hAnsi="宋体" w:eastAsia="宋体"/>
          <w:color w:val="000000"/>
          <w:sz w:val="24"/>
        </w:rPr>
        <w:t xml:space="preserve"> </w:t>
      </w:r>
      <w:r>
        <w:rPr>
          <w:rFonts w:hint="eastAsia" w:ascii="宋体" w:hAnsi="宋体" w:eastAsia="宋体"/>
          <w:color w:val="000000"/>
          <w:sz w:val="24"/>
        </w:rPr>
        <w:t xml:space="preserve">指标体系应覆盖评估对象的主要方面，避免”盲区”。本研究的4E框架从供给保障、平台服务、数据质量、利用效果、公平性五个维度设计指标，力求全面反映平台绩效的各个层面。</w:t>
      </w:r>
    </w:p>
    <w:p>
      <w:pPr>
        <w:pStyle w:val="BodyText"/>
        <w:spacing w:line="360" w:lineRule="auto"/>
      </w:pPr>
      <w:r>
        <w:rPr>
          <w:rFonts w:hint="eastAsia" w:ascii="宋体" w:hAnsi="宋体" w:eastAsia="宋体"/>
          <w:b/>
          <w:bCs/>
          <w:color w:val="000000"/>
          <w:sz w:val="24"/>
        </w:rPr>
        <w:t xml:space="preserve">可操作性原则。</w:t>
      </w:r>
      <w:r>
        <w:rPr>
          <w:rFonts w:ascii="宋体" w:hAnsi="宋体" w:eastAsia="宋体"/>
          <w:color w:val="000000"/>
          <w:sz w:val="24"/>
        </w:rPr>
        <w:t xml:space="preserve"> </w:t>
      </w:r>
      <w:r>
        <w:rPr>
          <w:rFonts w:hint="eastAsia" w:ascii="宋体" w:hAnsi="宋体" w:eastAsia="宋体"/>
          <w:color w:val="000000"/>
          <w:sz w:val="24"/>
        </w:rPr>
        <w:t xml:space="preserve">每个指标都应有明确的定义、可靠的测量方法和可获取的数据来源。本研究在指标设计时，优先考虑可以通过自动化采集或公开渠道获取的客观指标，避免依赖主观判断或难以获取的数据。</w:t>
      </w:r>
    </w:p>
    <w:p>
      <w:pPr>
        <w:pStyle w:val="BodyText"/>
        <w:spacing w:line="360" w:lineRule="auto"/>
      </w:pPr>
      <w:r>
        <w:rPr>
          <w:rFonts w:hint="eastAsia" w:ascii="宋体" w:hAnsi="宋体" w:eastAsia="宋体"/>
          <w:b/>
          <w:bCs/>
          <w:color w:val="000000"/>
          <w:sz w:val="24"/>
        </w:rPr>
        <w:t xml:space="preserve">独立性原则。</w:t>
      </w:r>
      <w:r>
        <w:rPr>
          <w:rFonts w:ascii="宋体" w:hAnsi="宋体" w:eastAsia="宋体"/>
          <w:color w:val="000000"/>
          <w:sz w:val="24"/>
        </w:rPr>
        <w:t xml:space="preserve"> </w:t>
      </w:r>
      <w:r>
        <w:rPr>
          <w:rFonts w:hint="eastAsia" w:ascii="宋体" w:hAnsi="宋体" w:eastAsia="宋体"/>
          <w:color w:val="000000"/>
          <w:sz w:val="24"/>
        </w:rPr>
        <w:t xml:space="preserve">指标之间应避免高度相关，防止信息冗余。本研究在指标选取后，通过相关性分析检验了指标间的独立性，对于相关系数超过0.8的指标对，进行了合并或剔除。</w:t>
      </w:r>
    </w:p>
    <w:p>
      <w:pPr>
        <w:pStyle w:val="BodyText"/>
        <w:spacing w:line="360" w:lineRule="auto"/>
      </w:pPr>
      <w:r>
        <w:rPr>
          <w:rFonts w:hint="eastAsia" w:ascii="宋体" w:hAnsi="宋体" w:eastAsia="宋体"/>
          <w:b/>
          <w:bCs/>
          <w:color w:val="000000"/>
          <w:sz w:val="24"/>
        </w:rPr>
        <w:t xml:space="preserve">可比性原则。</w:t>
      </w:r>
      <w:r>
        <w:rPr>
          <w:rFonts w:ascii="宋体" w:hAnsi="宋体" w:eastAsia="宋体"/>
          <w:color w:val="000000"/>
          <w:sz w:val="24"/>
        </w:rPr>
        <w:t xml:space="preserve"> </w:t>
      </w:r>
      <w:r>
        <w:rPr>
          <w:rFonts w:hint="eastAsia" w:ascii="宋体" w:hAnsi="宋体" w:eastAsia="宋体"/>
          <w:color w:val="000000"/>
          <w:sz w:val="24"/>
        </w:rPr>
        <w:t xml:space="preserve">指标体系应支持横向比较（不同平台之间）和纵向比较（同一平台不同时期）。本研究的所有指标均采用标准化处理方式，消除量纲差异，确保不同指标之间的可比性。</w:t>
      </w:r>
    </w:p>
    <w:p>
      <w:pPr>
        <w:pStyle w:val="BodyText"/>
        <w:spacing w:line="360" w:lineRule="auto"/>
      </w:pPr>
      <w:r>
        <w:rPr>
          <w:rFonts w:hint="eastAsia" w:ascii="宋体" w:hAnsi="宋体" w:eastAsia="宋体"/>
          <w:b/>
          <w:bCs/>
          <w:color w:val="000000"/>
          <w:sz w:val="24"/>
        </w:rPr>
        <w:t xml:space="preserve">导向性原则。</w:t>
      </w:r>
      <w:r>
        <w:rPr>
          <w:rFonts w:ascii="宋体" w:hAnsi="宋体" w:eastAsia="宋体"/>
          <w:color w:val="000000"/>
          <w:sz w:val="24"/>
        </w:rPr>
        <w:t xml:space="preserve"> </w:t>
      </w:r>
      <w:r>
        <w:rPr>
          <w:rFonts w:hint="eastAsia" w:ascii="宋体" w:hAnsi="宋体" w:eastAsia="宋体"/>
          <w:color w:val="000000"/>
          <w:sz w:val="24"/>
        </w:rPr>
        <w:t xml:space="preserve">指标体系应引导被评估对象向正确的方向改进。本研究通过”效果导向”的权重设计，将平台运营者的行为激励从”数量增长”转向”价值创造”。</w:t>
      </w:r>
    </w:p>
    <w:bookmarkEnd w:id="147"/>
    <w:bookmarkStart w:id="148" w:name="指标体系的层级结构"/>
    <w:p>
      <w:pPr>
        <w:pStyle w:val="Heading4"/>
        <w:spacing w:line="360" w:lineRule="auto"/>
      </w:pPr>
      <w:r>
        <w:rPr>
          <w:rFonts w:ascii="宋体" w:hAnsi="宋体" w:eastAsia="宋体"/>
          <w:color w:val="000000"/>
          <w:sz w:val="24"/>
        </w:rPr>
        <w:t xml:space="preserve">4.3.2 </w:t>
      </w:r>
      <w:r>
        <w:rPr>
          <w:rFonts w:hint="eastAsia" w:ascii="宋体" w:hAnsi="宋体" w:eastAsia="宋体"/>
          <w:color w:val="000000"/>
          <w:sz w:val="24"/>
        </w:rPr>
        <w:t xml:space="preserve">指标体系的层级结构</w:t>
      </w:r>
    </w:p>
    <w:p>
      <w:pPr>
        <w:pStyle w:val="FirstParagraph"/>
        <w:spacing w:line="360" w:lineRule="auto"/>
      </w:pPr>
      <w:r>
        <w:rPr>
          <w:rFonts w:hint="eastAsia" w:ascii="宋体" w:hAnsi="宋体" w:eastAsia="宋体"/>
          <w:color w:val="000000"/>
          <w:sz w:val="24"/>
        </w:rPr>
        <w:t xml:space="preserve">本研究的指标体系采用”维度-要素-指标”的三级结构。</w:t>
      </w:r>
    </w:p>
    <w:p>
      <w:pPr>
        <w:pStyle w:val="BodyText"/>
        <w:spacing w:line="360" w:lineRule="auto"/>
      </w:pPr>
      <w:r>
        <w:rPr>
          <w:rFonts w:hint="eastAsia" w:ascii="宋体" w:hAnsi="宋体" w:eastAsia="宋体"/>
          <w:b/>
          <w:bCs/>
          <w:color w:val="000000"/>
          <w:sz w:val="24"/>
        </w:rPr>
        <w:t xml:space="preserve">第一级：维度层。</w:t>
      </w:r>
      <w:r>
        <w:rPr>
          <w:rFonts w:ascii="宋体" w:hAnsi="宋体" w:eastAsia="宋体"/>
          <w:color w:val="000000"/>
          <w:sz w:val="24"/>
        </w:rPr>
        <w:t xml:space="preserve"> </w:t>
      </w:r>
      <w:r>
        <w:rPr>
          <w:rFonts w:hint="eastAsia" w:ascii="宋体" w:hAnsi="宋体" w:eastAsia="宋体"/>
          <w:color w:val="000000"/>
          <w:sz w:val="24"/>
        </w:rPr>
        <w:t xml:space="preserve">对应4E框架的五个维度：供给保障（S）、平台服务（P）、数据质量（Q）、利用效果（U）、公平性（E）。维度层回答”从哪些方面评估”的问题。</w:t>
      </w:r>
    </w:p>
    <w:p>
      <w:pPr>
        <w:pStyle w:val="BodyText"/>
        <w:spacing w:line="360" w:lineRule="auto"/>
      </w:pPr>
      <w:r>
        <w:rPr>
          <w:rFonts w:hint="eastAsia" w:ascii="宋体" w:hAnsi="宋体" w:eastAsia="宋体"/>
          <w:b/>
          <w:bCs/>
          <w:color w:val="000000"/>
          <w:sz w:val="24"/>
        </w:rPr>
        <w:t xml:space="preserve">第二级：要素层。</w:t>
      </w:r>
      <w:r>
        <w:rPr>
          <w:rFonts w:ascii="宋体" w:hAnsi="宋体" w:eastAsia="宋体"/>
          <w:color w:val="000000"/>
          <w:sz w:val="24"/>
        </w:rPr>
        <w:t xml:space="preserve"> </w:t>
      </w:r>
      <w:r>
        <w:rPr>
          <w:rFonts w:hint="eastAsia" w:ascii="宋体" w:hAnsi="宋体" w:eastAsia="宋体"/>
          <w:color w:val="000000"/>
          <w:sz w:val="24"/>
        </w:rPr>
        <w:t xml:space="preserve">每个维度下设置2-3个要素，要素是对维度的进一步分解。例如，</w:t>
      </w:r>
      <w:r>
        <w:rPr>
          <w:rFonts w:hint="eastAsia" w:ascii="宋体" w:hAnsi="宋体" w:eastAsia="宋体"/>
          <w:color w:val="000000"/>
          <w:sz w:val="24"/>
        </w:rPr>
        <w:t xml:space="preserve">“利用效果”</w:t>
      </w:r>
      <w:r>
        <w:rPr>
          <w:rFonts w:hint="eastAsia" w:ascii="宋体" w:hAnsi="宋体" w:eastAsia="宋体"/>
          <w:color w:val="000000"/>
          <w:sz w:val="24"/>
        </w:rPr>
        <w:t xml:space="preserve">维度下设”数据直接利用”</w:t>
      </w:r>
      <w:r>
        <w:rPr>
          <w:rFonts w:hint="eastAsia" w:ascii="宋体" w:hAnsi="宋体" w:eastAsia="宋体"/>
          <w:color w:val="000000"/>
          <w:sz w:val="24"/>
        </w:rPr>
        <w:t xml:space="preserve">“数据创新利用”</w:t>
      </w:r>
      <w:r>
        <w:rPr>
          <w:rFonts w:hint="eastAsia" w:ascii="宋体" w:hAnsi="宋体" w:eastAsia="宋体"/>
          <w:color w:val="000000"/>
          <w:sz w:val="24"/>
        </w:rPr>
        <w:t xml:space="preserve">“授权运营成效”</w:t>
      </w:r>
      <w:r>
        <w:rPr>
          <w:rFonts w:hint="eastAsia" w:ascii="宋体" w:hAnsi="宋体" w:eastAsia="宋体"/>
          <w:color w:val="000000"/>
          <w:sz w:val="24"/>
        </w:rPr>
        <w:t xml:space="preserve">三个要素。要素层回答”每个维度包含哪些方面”的问题。</w:t>
      </w:r>
    </w:p>
    <w:p>
      <w:pPr>
        <w:pStyle w:val="BodyText"/>
        <w:spacing w:line="360" w:lineRule="auto"/>
      </w:pPr>
      <w:r>
        <w:rPr>
          <w:rFonts w:hint="eastAsia" w:ascii="宋体" w:hAnsi="宋体" w:eastAsia="宋体"/>
          <w:b/>
          <w:bCs/>
          <w:color w:val="000000"/>
          <w:sz w:val="24"/>
        </w:rPr>
        <w:t xml:space="preserve">第三级：指标层。</w:t>
      </w:r>
      <w:r>
        <w:rPr>
          <w:rFonts w:ascii="宋体" w:hAnsi="宋体" w:eastAsia="宋体"/>
          <w:color w:val="000000"/>
          <w:sz w:val="24"/>
        </w:rPr>
        <w:t xml:space="preserve"> </w:t>
      </w:r>
      <w:r>
        <w:rPr>
          <w:rFonts w:hint="eastAsia" w:ascii="宋体" w:hAnsi="宋体" w:eastAsia="宋体"/>
          <w:color w:val="000000"/>
          <w:sz w:val="24"/>
        </w:rPr>
        <w:t xml:space="preserve">每个要素下设置1-3个具体指标，指标是评估的最小单位。例如，</w:t>
      </w:r>
      <w:r>
        <w:rPr>
          <w:rFonts w:hint="eastAsia" w:ascii="宋体" w:hAnsi="宋体" w:eastAsia="宋体"/>
          <w:color w:val="000000"/>
          <w:sz w:val="24"/>
        </w:rPr>
        <w:t xml:space="preserve">“数据直接利用”</w:t>
      </w:r>
      <w:r>
        <w:rPr>
          <w:rFonts w:hint="eastAsia" w:ascii="宋体" w:hAnsi="宋体" w:eastAsia="宋体"/>
          <w:color w:val="000000"/>
          <w:sz w:val="24"/>
        </w:rPr>
        <w:t xml:space="preserve">要素下设”数据集下载量”和”API调用量”两个指标。指标层回答”用什么具体指标测量”的问题。</w:t>
      </w:r>
    </w:p>
    <w:p>
      <w:pPr>
        <w:pStyle w:val="BodyText"/>
        <w:spacing w:line="360" w:lineRule="auto"/>
      </w:pPr>
      <w:r>
        <w:rPr>
          <w:rFonts w:hint="eastAsia" w:ascii="宋体" w:hAnsi="宋体" w:eastAsia="宋体"/>
          <w:color w:val="000000"/>
          <w:sz w:val="24"/>
        </w:rPr>
        <w:t xml:space="preserve">这种三级结构的优势在于：维度层提供了评估的总体框架，要素层细化了评估的具体方面，指标层提供了可操作的测量工具。三者层层递进、相互支撑，构成了完整的评估工具体系。</w:t>
      </w:r>
    </w:p>
    <w:bookmarkEnd w:id="148"/>
    <w:bookmarkStart w:id="149" w:name="指标说明与测量方法"/>
    <w:p>
      <w:pPr>
        <w:pStyle w:val="Heading4"/>
        <w:spacing w:line="360" w:lineRule="auto"/>
      </w:pPr>
      <w:r>
        <w:rPr>
          <w:rFonts w:ascii="宋体" w:hAnsi="宋体" w:eastAsia="宋体"/>
          <w:color w:val="000000"/>
          <w:sz w:val="24"/>
        </w:rPr>
        <w:t xml:space="preserve">4.3.3 </w:t>
      </w:r>
      <w:r>
        <w:rPr>
          <w:rFonts w:hint="eastAsia" w:ascii="宋体" w:hAnsi="宋体" w:eastAsia="宋体"/>
          <w:color w:val="000000"/>
          <w:sz w:val="24"/>
        </w:rPr>
        <w:t xml:space="preserve">指标说明与测量方法</w:t>
      </w:r>
    </w:p>
    <w:p>
      <w:pPr>
        <w:pStyle w:val="FirstParagraph"/>
        <w:spacing w:line="360" w:lineRule="auto"/>
      </w:pPr>
      <w:r>
        <w:rPr>
          <w:rFonts w:hint="eastAsia" w:ascii="宋体" w:hAnsi="宋体" w:eastAsia="宋体"/>
          <w:b/>
          <w:bCs/>
          <w:color w:val="000000"/>
          <w:sz w:val="24"/>
        </w:rPr>
        <w:t xml:space="preserve">供给保障维度（S）。</w:t>
      </w:r>
      <w:r>
        <w:rPr>
          <w:rFonts w:ascii="宋体" w:hAnsi="宋体" w:eastAsia="宋体"/>
          <w:color w:val="000000"/>
          <w:sz w:val="24"/>
        </w:rPr>
        <w:t xml:space="preserve"> </w:t>
      </w:r>
      <w:r>
        <w:rPr>
          <w:rFonts w:hint="eastAsia" w:ascii="宋体" w:hAnsi="宋体" w:eastAsia="宋体"/>
          <w:color w:val="000000"/>
          <w:sz w:val="24"/>
        </w:rPr>
        <w:t xml:space="preserve">供给保障衡量数据资源获取的充分性和可持续性，是数据利用的前提条件。</w:t>
      </w:r>
    </w:p>
    <w:p>
      <w:pPr>
        <w:pStyle w:val="Compact"/>
        <w:numPr>
          <w:ilvl w:val="0"/>
          <w:numId w:val="1001"/>
        </w:numPr>
        <w:spacing w:line="360" w:lineRule="auto"/>
      </w:pPr>
      <w:r>
        <w:rPr>
          <w:rFonts w:hint="eastAsia" w:ascii="宋体" w:hAnsi="宋体" w:eastAsia="宋体"/>
          <w:color w:val="000000"/>
          <w:sz w:val="24"/>
        </w:rPr>
        <w:t xml:space="preserve">S1数据集数量：平台公开的数据集总数。测量方法：自动化采集系统统计平台数据集列表中的条目数量，并进行人工核验去重。</w:t>
      </w:r>
    </w:p>
    <w:p>
      <w:pPr>
        <w:pStyle w:val="Compact"/>
        <w:numPr>
          <w:ilvl w:val="0"/>
          <w:numId w:val="1001"/>
        </w:numPr>
        <w:spacing w:line="360" w:lineRule="auto"/>
      </w:pPr>
      <w:r>
        <w:rPr>
          <w:rFonts w:hint="eastAsia" w:ascii="宋体" w:hAnsi="宋体" w:eastAsia="宋体"/>
          <w:color w:val="000000"/>
          <w:sz w:val="24"/>
        </w:rPr>
        <w:t xml:space="preserve">S2主题覆盖度：平台数据集覆盖的主题领域数量。测量方法：根据平台自身的主题分类体系（通常包括经济、教育、环境、健康、交通、文化等领域），统计覆盖的主题类别数量。</w:t>
      </w:r>
    </w:p>
    <w:p>
      <w:pPr>
        <w:pStyle w:val="Compact"/>
        <w:numPr>
          <w:ilvl w:val="0"/>
          <w:numId w:val="1001"/>
        </w:numPr>
        <w:spacing w:line="360" w:lineRule="auto"/>
      </w:pPr>
      <w:r>
        <w:rPr>
          <w:rFonts w:hint="eastAsia" w:ascii="宋体" w:hAnsi="宋体" w:eastAsia="宋体"/>
          <w:color w:val="000000"/>
          <w:sz w:val="24"/>
        </w:rPr>
        <w:t xml:space="preserve">S3更新频率：平台数据集的平均更新频率。测量方法：随机抽取10%的数据集，统计其最近更新日期与当前日期的间隔，计算平均值。</w:t>
      </w:r>
    </w:p>
    <w:p>
      <w:pPr>
        <w:pStyle w:val="Compact"/>
        <w:numPr>
          <w:ilvl w:val="0"/>
          <w:numId w:val="1001"/>
        </w:numPr>
        <w:spacing w:line="360" w:lineRule="auto"/>
      </w:pPr>
      <w:r>
        <w:rPr>
          <w:rFonts w:hint="eastAsia" w:ascii="宋体" w:hAnsi="宋体" w:eastAsia="宋体"/>
          <w:color w:val="000000"/>
          <w:sz w:val="24"/>
        </w:rPr>
        <w:t xml:space="preserve">S4格式标准化率：平台数据集中采用标准化格式（CSV、JSON、XML等）的比例。测量方法：统计所有数据集的格式分布，计算标准化格式占比。</w:t>
      </w:r>
    </w:p>
    <w:p>
      <w:pPr>
        <w:pStyle w:val="Compact"/>
        <w:numPr>
          <w:ilvl w:val="0"/>
          <w:numId w:val="1001"/>
        </w:numPr>
        <w:spacing w:line="360" w:lineRule="auto"/>
      </w:pPr>
      <w:r>
        <w:rPr>
          <w:rFonts w:hint="eastAsia" w:ascii="宋体" w:hAnsi="宋体" w:eastAsia="宋体"/>
          <w:color w:val="000000"/>
          <w:sz w:val="24"/>
        </w:rPr>
        <w:t xml:space="preserve">S5目录完整性：平台数据集元数据的完整程度。测量方法：随机抽取10%的数据集，检查标题、描述、关键词、发布机构、更新日期等必填字段的填写率，计算平均值。</w:t>
      </w:r>
    </w:p>
    <w:p>
      <w:pPr>
        <w:pStyle w:val="FirstParagraph"/>
        <w:spacing w:line="360" w:lineRule="auto"/>
      </w:pPr>
      <w:r>
        <w:rPr>
          <w:rFonts w:hint="eastAsia" w:ascii="宋体" w:hAnsi="宋体" w:eastAsia="宋体"/>
          <w:b/>
          <w:bCs/>
          <w:color w:val="000000"/>
          <w:sz w:val="24"/>
        </w:rPr>
        <w:t xml:space="preserve">平台服务维度（P）。</w:t>
      </w:r>
      <w:r>
        <w:rPr>
          <w:rFonts w:ascii="宋体" w:hAnsi="宋体" w:eastAsia="宋体"/>
          <w:color w:val="000000"/>
          <w:sz w:val="24"/>
        </w:rPr>
        <w:t xml:space="preserve"> </w:t>
      </w:r>
      <w:r>
        <w:rPr>
          <w:rFonts w:hint="eastAsia" w:ascii="宋体" w:hAnsi="宋体" w:eastAsia="宋体"/>
          <w:color w:val="000000"/>
          <w:sz w:val="24"/>
        </w:rPr>
        <w:t xml:space="preserve">平台服务衡量平台降低数据利用摩擦成本的能力，是连接数据供给和数据利用的桥梁。</w:t>
      </w:r>
    </w:p>
    <w:p>
      <w:pPr>
        <w:pStyle w:val="Compact"/>
        <w:numPr>
          <w:ilvl w:val="0"/>
          <w:numId w:val="1002"/>
        </w:numPr>
        <w:spacing w:line="360" w:lineRule="auto"/>
      </w:pPr>
      <w:r>
        <w:rPr>
          <w:rFonts w:ascii="宋体" w:hAnsi="宋体" w:eastAsia="宋体"/>
          <w:color w:val="000000"/>
          <w:sz w:val="24"/>
        </w:rPr>
        <w:t xml:space="preserve">P1 </w:t>
      </w:r>
      <w:r>
        <w:rPr>
          <w:rFonts w:hint="eastAsia" w:ascii="宋体" w:hAnsi="宋体" w:eastAsia="宋体"/>
          <w:color w:val="000000"/>
          <w:sz w:val="24"/>
        </w:rPr>
        <w:t xml:space="preserve">API开放度：平台提供API接口的完备程度。测量方法：评估平台是否提供API接口（0/1）、API文档是否完整（0-5分）、API调用是否稳定（0-5分），综合计算得分。</w:t>
      </w:r>
    </w:p>
    <w:p>
      <w:pPr>
        <w:pStyle w:val="Compact"/>
        <w:numPr>
          <w:ilvl w:val="0"/>
          <w:numId w:val="1002"/>
        </w:numPr>
        <w:spacing w:line="360" w:lineRule="auto"/>
      </w:pPr>
      <w:r>
        <w:rPr>
          <w:rFonts w:hint="eastAsia" w:ascii="宋体" w:hAnsi="宋体" w:eastAsia="宋体"/>
          <w:color w:val="000000"/>
          <w:sz w:val="24"/>
        </w:rPr>
        <w:t xml:space="preserve">P2检索功能完备性：平台数据检索功能的完善程度。测量方法：评估平台是否支持关键词检索（0/1）、高级检索（0/1）、分类浏览（0/1）、排序筛选（0/1），综合计算得分。</w:t>
      </w:r>
    </w:p>
    <w:p>
      <w:pPr>
        <w:pStyle w:val="Compact"/>
        <w:numPr>
          <w:ilvl w:val="0"/>
          <w:numId w:val="1002"/>
        </w:numPr>
        <w:spacing w:line="360" w:lineRule="auto"/>
      </w:pPr>
      <w:r>
        <w:rPr>
          <w:rFonts w:hint="eastAsia" w:ascii="宋体" w:hAnsi="宋体" w:eastAsia="宋体"/>
          <w:color w:val="000000"/>
          <w:sz w:val="24"/>
        </w:rPr>
        <w:t xml:space="preserve">P3数据预览功能：平台是否提供数据预览功能。测量方法：评估平台是否支持表格预览（0/1）、图表预览（0/1）、地图预览（0/1），综合计算得分。</w:t>
      </w:r>
    </w:p>
    <w:p>
      <w:pPr>
        <w:pStyle w:val="Compact"/>
        <w:numPr>
          <w:ilvl w:val="0"/>
          <w:numId w:val="1002"/>
        </w:numPr>
        <w:spacing w:line="360" w:lineRule="auto"/>
      </w:pPr>
      <w:r>
        <w:rPr>
          <w:rFonts w:hint="eastAsia" w:ascii="宋体" w:hAnsi="宋体" w:eastAsia="宋体"/>
          <w:color w:val="000000"/>
          <w:sz w:val="24"/>
        </w:rPr>
        <w:t xml:space="preserve">P4用户反馈机制：平台是否建立用户反馈渠道。测量方法：评估平台是否提供在线反馈表单（0/1）、用户评论功能（0/1）、数据需求征集（0/1），综合计算得分。</w:t>
      </w:r>
    </w:p>
    <w:p>
      <w:pPr>
        <w:pStyle w:val="Compact"/>
        <w:numPr>
          <w:ilvl w:val="0"/>
          <w:numId w:val="1002"/>
        </w:numPr>
        <w:spacing w:line="360" w:lineRule="auto"/>
      </w:pPr>
      <w:r>
        <w:rPr>
          <w:rFonts w:hint="eastAsia" w:ascii="宋体" w:hAnsi="宋体" w:eastAsia="宋体"/>
          <w:color w:val="000000"/>
          <w:sz w:val="24"/>
        </w:rPr>
        <w:t xml:space="preserve">P5平台迭代频率：平台功能更新的活跃程度。测量方法：通过平台版本日志或新闻公告，统计近一年内平台功能更新的次数。</w:t>
      </w:r>
    </w:p>
    <w:p>
      <w:pPr>
        <w:pStyle w:val="FirstParagraph"/>
        <w:spacing w:line="360" w:lineRule="auto"/>
      </w:pPr>
      <w:r>
        <w:rPr>
          <w:rFonts w:hint="eastAsia" w:ascii="宋体" w:hAnsi="宋体" w:eastAsia="宋体"/>
          <w:b/>
          <w:bCs/>
          <w:color w:val="000000"/>
          <w:sz w:val="24"/>
        </w:rPr>
        <w:t xml:space="preserve">数据质量维度（Q）。</w:t>
      </w:r>
      <w:r>
        <w:rPr>
          <w:rFonts w:ascii="宋体" w:hAnsi="宋体" w:eastAsia="宋体"/>
          <w:color w:val="000000"/>
          <w:sz w:val="24"/>
        </w:rPr>
        <w:t xml:space="preserve"> </w:t>
      </w:r>
      <w:r>
        <w:rPr>
          <w:rFonts w:hint="eastAsia" w:ascii="宋体" w:hAnsi="宋体" w:eastAsia="宋体"/>
          <w:color w:val="000000"/>
          <w:sz w:val="24"/>
        </w:rPr>
        <w:t xml:space="preserve">数据质量衡量数据资源在技术属性上的可用性，是数据有效利用的基础。</w:t>
      </w:r>
    </w:p>
    <w:p>
      <w:pPr>
        <w:pStyle w:val="Compact"/>
        <w:numPr>
          <w:ilvl w:val="0"/>
          <w:numId w:val="1003"/>
        </w:numPr>
        <w:spacing w:line="360" w:lineRule="auto"/>
      </w:pPr>
      <w:r>
        <w:rPr>
          <w:rFonts w:hint="eastAsia" w:ascii="宋体" w:hAnsi="宋体" w:eastAsia="宋体"/>
          <w:color w:val="000000"/>
          <w:sz w:val="24"/>
        </w:rPr>
        <w:t xml:space="preserve">Q1数据准确性：平台数据集中的错误率。测量方法：随机抽取10个数据集，每个数据集抽取100条记录，人工核查错误率，计算平均值。</w:t>
      </w:r>
    </w:p>
    <w:p>
      <w:pPr>
        <w:pStyle w:val="Compact"/>
        <w:numPr>
          <w:ilvl w:val="0"/>
          <w:numId w:val="1003"/>
        </w:numPr>
        <w:spacing w:line="360" w:lineRule="auto"/>
      </w:pPr>
      <w:r>
        <w:rPr>
          <w:rFonts w:hint="eastAsia" w:ascii="宋体" w:hAnsi="宋体" w:eastAsia="宋体"/>
          <w:color w:val="000000"/>
          <w:sz w:val="24"/>
        </w:rPr>
        <w:t xml:space="preserve">Q2数据完整性：平台数据集的字段缺失率。测量方法：随机抽取10个数据集，检查各字段的缺失情况，计算平均缺失率。</w:t>
      </w:r>
    </w:p>
    <w:p>
      <w:pPr>
        <w:pStyle w:val="Compact"/>
        <w:numPr>
          <w:ilvl w:val="0"/>
          <w:numId w:val="1003"/>
        </w:numPr>
        <w:spacing w:line="360" w:lineRule="auto"/>
      </w:pPr>
      <w:r>
        <w:rPr>
          <w:rFonts w:hint="eastAsia" w:ascii="宋体" w:hAnsi="宋体" w:eastAsia="宋体"/>
          <w:color w:val="000000"/>
          <w:sz w:val="24"/>
        </w:rPr>
        <w:t xml:space="preserve">Q3数据及时性：平台数据集更新的滞后程度。测量方法：随机抽取10个数据集，计算其更新日期与当前日期的间隔天数，计算平均值。</w:t>
      </w:r>
    </w:p>
    <w:p>
      <w:pPr>
        <w:pStyle w:val="Compact"/>
        <w:numPr>
          <w:ilvl w:val="0"/>
          <w:numId w:val="1003"/>
        </w:numPr>
        <w:spacing w:line="360" w:lineRule="auto"/>
      </w:pPr>
      <w:r>
        <w:rPr>
          <w:rFonts w:hint="eastAsia" w:ascii="宋体" w:hAnsi="宋体" w:eastAsia="宋体"/>
          <w:color w:val="000000"/>
          <w:sz w:val="24"/>
        </w:rPr>
        <w:t xml:space="preserve">Q4数据一致性：平台跨来源数据的一致性程度。测量方法：选取2-3个涉及多部门的数据主题（如企业注册信息），比较不同来源数据的一致性，计算匹配率。</w:t>
      </w:r>
    </w:p>
    <w:p>
      <w:pPr>
        <w:pStyle w:val="Compact"/>
        <w:numPr>
          <w:ilvl w:val="0"/>
          <w:numId w:val="1003"/>
        </w:numPr>
        <w:spacing w:line="360" w:lineRule="auto"/>
      </w:pPr>
      <w:r>
        <w:rPr>
          <w:rFonts w:hint="eastAsia" w:ascii="宋体" w:hAnsi="宋体" w:eastAsia="宋体"/>
          <w:color w:val="000000"/>
          <w:sz w:val="24"/>
        </w:rPr>
        <w:t xml:space="preserve">Q5机器可读性：平台数据集中机器可读格式的比例。测量方法：统计所有数据集的格式分布，计算机器可读格式（CSV、JSON、XML等）占比。</w:t>
      </w:r>
    </w:p>
    <w:p>
      <w:pPr>
        <w:pStyle w:val="FirstParagraph"/>
        <w:spacing w:line="360" w:lineRule="auto"/>
      </w:pPr>
      <w:r>
        <w:rPr>
          <w:rFonts w:hint="eastAsia" w:ascii="宋体" w:hAnsi="宋体" w:eastAsia="宋体"/>
          <w:b/>
          <w:bCs/>
          <w:color w:val="000000"/>
          <w:sz w:val="24"/>
        </w:rPr>
        <w:t xml:space="preserve">利用效果维度（U）。</w:t>
      </w:r>
      <w:r>
        <w:rPr>
          <w:rFonts w:ascii="宋体" w:hAnsi="宋体" w:eastAsia="宋体"/>
          <w:color w:val="000000"/>
          <w:sz w:val="24"/>
        </w:rPr>
        <w:t xml:space="preserve"> </w:t>
      </w:r>
      <w:r>
        <w:rPr>
          <w:rFonts w:hint="eastAsia" w:ascii="宋体" w:hAnsi="宋体" w:eastAsia="宋体"/>
          <w:color w:val="000000"/>
          <w:sz w:val="24"/>
        </w:rPr>
        <w:t xml:space="preserve">利用效果衡量数据价值实现的程度，是绩效评估的核心维度。</w:t>
      </w:r>
    </w:p>
    <w:p>
      <w:pPr>
        <w:pStyle w:val="Compact"/>
        <w:numPr>
          <w:ilvl w:val="0"/>
          <w:numId w:val="1004"/>
        </w:numPr>
        <w:spacing w:line="360" w:lineRule="auto"/>
      </w:pPr>
      <w:r>
        <w:rPr>
          <w:rFonts w:hint="eastAsia" w:ascii="宋体" w:hAnsi="宋体" w:eastAsia="宋体"/>
          <w:color w:val="000000"/>
          <w:sz w:val="24"/>
        </w:rPr>
        <w:t xml:space="preserve">U1数据集下载量：平台数据集的被下载次数。测量方法：通过平台提供的下载统计或API日志获取，对于不提供统计的平台，采用估算方法（基于平台排名和同类平台比较）。</w:t>
      </w:r>
    </w:p>
    <w:p>
      <w:pPr>
        <w:pStyle w:val="Compact"/>
        <w:numPr>
          <w:ilvl w:val="0"/>
          <w:numId w:val="1004"/>
        </w:numPr>
        <w:spacing w:line="360" w:lineRule="auto"/>
      </w:pPr>
      <w:r>
        <w:rPr>
          <w:rFonts w:ascii="宋体" w:hAnsi="宋体" w:eastAsia="宋体"/>
          <w:color w:val="000000"/>
          <w:sz w:val="24"/>
        </w:rPr>
        <w:t xml:space="preserve">U2 </w:t>
      </w:r>
      <w:r>
        <w:rPr>
          <w:rFonts w:hint="eastAsia" w:ascii="宋体" w:hAnsi="宋体" w:eastAsia="宋体"/>
          <w:color w:val="000000"/>
          <w:sz w:val="24"/>
        </w:rPr>
        <w:t xml:space="preserve">API调用量：平台API接口的月均调用次数。测量方法：通过平台API文档或开发者门户获取调用统计。</w:t>
      </w:r>
    </w:p>
    <w:p>
      <w:pPr>
        <w:pStyle w:val="Compact"/>
        <w:numPr>
          <w:ilvl w:val="0"/>
          <w:numId w:val="1004"/>
        </w:numPr>
        <w:spacing w:line="360" w:lineRule="auto"/>
      </w:pPr>
      <w:r>
        <w:rPr>
          <w:rFonts w:hint="eastAsia" w:ascii="宋体" w:hAnsi="宋体" w:eastAsia="宋体"/>
          <w:color w:val="000000"/>
          <w:sz w:val="24"/>
        </w:rPr>
        <w:t xml:space="preserve">U3应用成果数量：基于平台数据开发的应用程序、研究报告、新闻调查等成果数量。测量方法：通过平台应用展示板块、搜索引擎检索、媒体报道等渠道统计。</w:t>
      </w:r>
    </w:p>
    <w:p>
      <w:pPr>
        <w:pStyle w:val="Compact"/>
        <w:numPr>
          <w:ilvl w:val="0"/>
          <w:numId w:val="1004"/>
        </w:numPr>
        <w:spacing w:line="360" w:lineRule="auto"/>
      </w:pPr>
      <w:r>
        <w:rPr>
          <w:rFonts w:hint="eastAsia" w:ascii="宋体" w:hAnsi="宋体" w:eastAsia="宋体"/>
          <w:color w:val="000000"/>
          <w:sz w:val="24"/>
        </w:rPr>
        <w:t xml:space="preserve">U4创新活动数量：平台举办或参与的数据创新活动数量（如数据创新大赛、黑客马拉松、数据沙龙等）。测量方法：通过平台新闻公告和公开报道统计。</w:t>
      </w:r>
    </w:p>
    <w:p>
      <w:pPr>
        <w:pStyle w:val="Compact"/>
        <w:numPr>
          <w:ilvl w:val="0"/>
          <w:numId w:val="1004"/>
        </w:numPr>
        <w:spacing w:line="360" w:lineRule="auto"/>
      </w:pPr>
      <w:r>
        <w:rPr>
          <w:rFonts w:hint="eastAsia" w:ascii="宋体" w:hAnsi="宋体" w:eastAsia="宋体"/>
          <w:color w:val="000000"/>
          <w:sz w:val="24"/>
        </w:rPr>
        <w:t xml:space="preserve">U5授权运营项目数：平台开展的授权运营项目数量。测量方法：通过平台授权运营板块和公开报道统计。</w:t>
      </w:r>
    </w:p>
    <w:p>
      <w:pPr>
        <w:pStyle w:val="Compact"/>
        <w:numPr>
          <w:ilvl w:val="0"/>
          <w:numId w:val="1004"/>
        </w:numPr>
        <w:spacing w:line="360" w:lineRule="auto"/>
      </w:pPr>
      <w:r>
        <w:rPr>
          <w:rFonts w:hint="eastAsia" w:ascii="宋体" w:hAnsi="宋体" w:eastAsia="宋体"/>
          <w:color w:val="000000"/>
          <w:sz w:val="24"/>
        </w:rPr>
        <w:t xml:space="preserve">U6授权运营收入：平台授权运营产生的经济收益。测量方法：通过平台财务报告或公开报道获取，对于未公开的数据采用估算方法。</w:t>
      </w:r>
    </w:p>
    <w:p>
      <w:pPr>
        <w:pStyle w:val="FirstParagraph"/>
        <w:spacing w:line="360" w:lineRule="auto"/>
      </w:pPr>
      <w:r>
        <w:rPr>
          <w:rFonts w:hint="eastAsia" w:ascii="宋体" w:hAnsi="宋体" w:eastAsia="宋体"/>
          <w:b/>
          <w:bCs/>
          <w:color w:val="000000"/>
          <w:sz w:val="24"/>
        </w:rPr>
        <w:t xml:space="preserve">公平性维度（E）。</w:t>
      </w:r>
      <w:r>
        <w:rPr>
          <w:rFonts w:ascii="宋体" w:hAnsi="宋体" w:eastAsia="宋体"/>
          <w:color w:val="000000"/>
          <w:sz w:val="24"/>
        </w:rPr>
        <w:t xml:space="preserve"> </w:t>
      </w:r>
      <w:r>
        <w:rPr>
          <w:rFonts w:hint="eastAsia" w:ascii="宋体" w:hAnsi="宋体" w:eastAsia="宋体"/>
          <w:color w:val="000000"/>
          <w:sz w:val="24"/>
        </w:rPr>
        <w:t xml:space="preserve">公平性衡量数据开放收益分配的均衡程度，是公共价值理论的核心要求。</w:t>
      </w:r>
    </w:p>
    <w:p>
      <w:pPr>
        <w:pStyle w:val="Compact"/>
        <w:numPr>
          <w:ilvl w:val="0"/>
          <w:numId w:val="1005"/>
        </w:numPr>
        <w:spacing w:line="360" w:lineRule="auto"/>
      </w:pPr>
      <w:r>
        <w:rPr>
          <w:rFonts w:hint="eastAsia" w:ascii="宋体" w:hAnsi="宋体" w:eastAsia="宋体"/>
          <w:color w:val="000000"/>
          <w:sz w:val="24"/>
        </w:rPr>
        <w:t xml:space="preserve">E1区域均衡度：平台在缩小区域数据利用差距方面的表现。测量方法：计算东中西部地区平台绩效的差异系数，差异系数越小表示区域均衡度越高。</w:t>
      </w:r>
    </w:p>
    <w:p>
      <w:pPr>
        <w:pStyle w:val="Compact"/>
        <w:numPr>
          <w:ilvl w:val="0"/>
          <w:numId w:val="1005"/>
        </w:numPr>
        <w:spacing w:line="360" w:lineRule="auto"/>
      </w:pPr>
      <w:r>
        <w:rPr>
          <w:rFonts w:hint="eastAsia" w:ascii="宋体" w:hAnsi="宋体" w:eastAsia="宋体"/>
          <w:color w:val="000000"/>
          <w:sz w:val="24"/>
        </w:rPr>
        <w:t xml:space="preserve">E2群体覆盖度：平台服务对象的多样性程度。测量方法：评估平台是否提供面向不同群体（企业、研究者、公众、政府）的专门服务通道。</w:t>
      </w:r>
    </w:p>
    <w:p>
      <w:pPr>
        <w:pStyle w:val="Compact"/>
        <w:numPr>
          <w:ilvl w:val="0"/>
          <w:numId w:val="1005"/>
        </w:numPr>
        <w:spacing w:line="360" w:lineRule="auto"/>
      </w:pPr>
      <w:r>
        <w:rPr>
          <w:rFonts w:hint="eastAsia" w:ascii="宋体" w:hAnsi="宋体" w:eastAsia="宋体"/>
          <w:color w:val="000000"/>
          <w:sz w:val="24"/>
        </w:rPr>
        <w:t xml:space="preserve">E3可及性指数：平台对弱势群体（如老年人、残障人士、农村居民）的数据服务可及性。测量方法：评估平台是否提供无障碍访问功能、多语言支持、移动端适配等。</w:t>
      </w:r>
    </w:p>
    <w:bookmarkEnd w:id="149"/>
    <w:bookmarkStart w:id="150" w:name="指标权重确定-1"/>
    <w:p>
      <w:pPr>
        <w:pStyle w:val="Heading4"/>
        <w:spacing w:line="360" w:lineRule="auto"/>
      </w:pPr>
      <w:r>
        <w:rPr>
          <w:rFonts w:ascii="宋体" w:hAnsi="宋体" w:eastAsia="宋体"/>
          <w:color w:val="000000"/>
          <w:sz w:val="24"/>
        </w:rPr>
        <w:t xml:space="preserve">4.3.4 </w:t>
      </w:r>
      <w:r>
        <w:rPr>
          <w:rFonts w:hint="eastAsia" w:ascii="宋体" w:hAnsi="宋体" w:eastAsia="宋体"/>
          <w:color w:val="000000"/>
          <w:sz w:val="24"/>
        </w:rPr>
        <w:t xml:space="preserve">指标权重确定</w:t>
      </w:r>
    </w:p>
    <w:p>
      <w:pPr>
        <w:pStyle w:val="FirstParagraph"/>
        <w:spacing w:line="360" w:lineRule="auto"/>
      </w:pPr>
      <w:r>
        <w:rPr>
          <w:rFonts w:hint="eastAsia" w:ascii="宋体" w:hAnsi="宋体" w:eastAsia="宋体"/>
          <w:color w:val="000000"/>
          <w:sz w:val="24"/>
        </w:rPr>
        <w:t xml:space="preserve">指标权重的确定是绩效评估的关键环节，权重分配直接影响评估结果的分布和解释。本研究采用AHP-熵权组合赋权法确定指标权重，兼顾主观经验和客观差异。</w:t>
      </w:r>
    </w:p>
    <w:p>
      <w:pPr>
        <w:pStyle w:val="BodyText"/>
        <w:spacing w:line="360" w:lineRule="auto"/>
      </w:pPr>
      <w:r>
        <w:rPr>
          <w:rFonts w:hint="eastAsia" w:ascii="宋体" w:hAnsi="宋体" w:eastAsia="宋体"/>
          <w:b/>
          <w:bCs/>
          <w:color w:val="000000"/>
          <w:sz w:val="24"/>
        </w:rPr>
        <w:t xml:space="preserve">AHP层次分析法。</w:t>
      </w:r>
      <w:r>
        <w:rPr>
          <w:rFonts w:ascii="宋体" w:hAnsi="宋体" w:eastAsia="宋体"/>
          <w:color w:val="000000"/>
          <w:sz w:val="24"/>
        </w:rPr>
        <w:t xml:space="preserve"> </w:t>
      </w:r>
      <w:r>
        <w:rPr>
          <w:rFonts w:hint="eastAsia" w:ascii="宋体" w:hAnsi="宋体" w:eastAsia="宋体"/>
          <w:color w:val="000000"/>
          <w:sz w:val="24"/>
        </w:rPr>
        <w:t xml:space="preserve">AHP通过专家两两比较判断矩阵，将专家的主观经验转化为指标权重。本研究邀请了5位政府数据开放领域的专家（包括研究者、平台运营者和政策制定者），对各维度指标的重要性进行两两比较。比较采用1-9标度法：1表示同等重要，3表示稍微重要，5表示明显重要，7表示强烈重要，9表示极端重要。通过计算判断矩阵的最大特征值和特征向量，得到各指标的AHP权重。</w:t>
      </w:r>
    </w:p>
    <w:p>
      <w:pPr>
        <w:pStyle w:val="BodyText"/>
        <w:spacing w:line="360" w:lineRule="auto"/>
      </w:pPr>
      <w:r>
        <w:rPr>
          <w:rFonts w:hint="eastAsia" w:ascii="宋体" w:hAnsi="宋体" w:eastAsia="宋体"/>
          <w:b/>
          <w:bCs/>
          <w:color w:val="000000"/>
          <w:sz w:val="24"/>
        </w:rPr>
        <w:t xml:space="preserve">熵权法。</w:t>
      </w:r>
      <w:r>
        <w:rPr>
          <w:rFonts w:ascii="宋体" w:hAnsi="宋体" w:eastAsia="宋体"/>
          <w:color w:val="000000"/>
          <w:sz w:val="24"/>
        </w:rPr>
        <w:t xml:space="preserve"> </w:t>
      </w:r>
      <w:r>
        <w:rPr>
          <w:rFonts w:hint="eastAsia" w:ascii="宋体" w:hAnsi="宋体" w:eastAsia="宋体"/>
          <w:color w:val="000000"/>
          <w:sz w:val="24"/>
        </w:rPr>
        <w:t xml:space="preserve">熵权法根据指标数据的离散程度确定权重——数据的离散程度越大，该指标携带的信息量越多，权重越高。熵权法的优势在于客观性——权重完全由数据本身的特征决定，不受主观判断的影响。本研究对22个样本平台的指标数据进行标准化处理后，计算各指标的熵值和差异系数，进而得到熵权。</w:t>
      </w:r>
    </w:p>
    <w:p>
      <w:pPr>
        <w:pStyle w:val="BodyText"/>
        <w:spacing w:line="360" w:lineRule="auto"/>
      </w:pPr>
      <w:r>
        <w:rPr>
          <w:rFonts w:hint="eastAsia" w:ascii="宋体" w:hAnsi="宋体" w:eastAsia="宋体"/>
          <w:b/>
          <w:bCs/>
          <w:color w:val="000000"/>
          <w:sz w:val="24"/>
        </w:rPr>
        <w:t xml:space="preserve">组合赋权。</w:t>
      </w:r>
      <w:r>
        <w:rPr>
          <w:rFonts w:ascii="宋体" w:hAnsi="宋体" w:eastAsia="宋体"/>
          <w:color w:val="000000"/>
          <w:sz w:val="24"/>
        </w:rPr>
        <w:t xml:space="preserve"> </w:t>
      </w:r>
      <w:r>
        <w:rPr>
          <w:rFonts w:hint="eastAsia" w:ascii="宋体" w:hAnsi="宋体" w:eastAsia="宋体"/>
          <w:color w:val="000000"/>
          <w:sz w:val="24"/>
        </w:rPr>
        <w:t xml:space="preserve">AHP权重反映专家的主观判断，熵权反映数据的客观特征。为了兼顾主观和客观，本研究采用线性组合的方式确定最终权重：w</w:t>
      </w:r>
      <w:r>
        <w:rPr>
          <w:rFonts w:ascii="宋体" w:hAnsi="宋体" w:eastAsia="宋体"/>
          <w:color w:val="000000"/>
          <w:sz w:val="24"/>
        </w:rPr>
        <w:t xml:space="preserve"> = α × w_AHP + (1-α) × </w:t>
      </w:r>
      <w:r>
        <w:rPr>
          <w:rFonts w:hint="eastAsia" w:ascii="宋体" w:hAnsi="宋体" w:eastAsia="宋体"/>
          <w:color w:val="000000"/>
          <w:sz w:val="24"/>
        </w:rPr>
        <w:t xml:space="preserve">w_entropy，其中α为组合系数。本研究取α=0.5，即主观权重和客观权重各占50%。这种组合方式既尊重了专家的经验判断，又考虑了数据的实际分布特征，避免了单一方法的局限。</w:t>
      </w:r>
    </w:p>
    <w:bookmarkEnd w:id="150"/>
    <w:bookmarkEnd w:id="151"/>
    <w:bookmarkStart w:id="154" w:name="绩效评估方法"/>
    <w:p>
      <w:pPr>
        <w:pStyle w:val="Heading3"/>
        <w:spacing w:line="360" w:lineRule="auto"/>
      </w:pPr>
      <w:r>
        <w:rPr>
          <w:rFonts w:ascii="黑体" w:hAnsi="黑体" w:eastAsia="黑体"/>
          <w:b/>
          <w:color w:val="000000"/>
          <w:sz w:val="24"/>
        </w:rPr>
        <w:t xml:space="preserve">4.4 </w:t>
      </w:r>
      <w:r>
        <w:rPr>
          <w:rFonts w:hint="eastAsia" w:ascii="黑体" w:hAnsi="黑体" w:eastAsia="黑体"/>
          <w:b/>
          <w:color w:val="000000"/>
          <w:sz w:val="24"/>
        </w:rPr>
        <w:t xml:space="preserve">绩效评估方法</w:t>
      </w:r>
    </w:p>
    <w:bookmarkStart w:id="152" w:name="熵权-topsis综合评估方法"/>
    <w:p>
      <w:pPr>
        <w:pStyle w:val="Heading4"/>
        <w:spacing w:line="360" w:lineRule="auto"/>
      </w:pPr>
      <w:r>
        <w:rPr>
          <w:rFonts w:ascii="宋体" w:hAnsi="宋体" w:eastAsia="宋体"/>
          <w:color w:val="000000"/>
          <w:sz w:val="24"/>
        </w:rPr>
        <w:t xml:space="preserve">4.4.1 </w:t>
      </w:r>
      <w:r>
        <w:rPr>
          <w:rFonts w:hint="eastAsia" w:ascii="宋体" w:hAnsi="宋体" w:eastAsia="宋体"/>
          <w:color w:val="000000"/>
          <w:sz w:val="24"/>
        </w:rPr>
        <w:t xml:space="preserve">熵权-TOPSIS综合评估方法</w:t>
      </w:r>
    </w:p>
    <w:p>
      <w:pPr>
        <w:pStyle w:val="FirstParagraph"/>
        <w:spacing w:line="360" w:lineRule="auto"/>
      </w:pPr>
      <w:r>
        <w:rPr>
          <w:rFonts w:hint="eastAsia" w:ascii="宋体" w:hAnsi="宋体" w:eastAsia="宋体"/>
          <w:color w:val="000000"/>
          <w:sz w:val="24"/>
        </w:rPr>
        <w:t xml:space="preserve">TOPSIS（Technique</w:t>
      </w:r>
      <w:r>
        <w:rPr>
          <w:rFonts w:ascii="宋体" w:hAnsi="宋体" w:eastAsia="宋体"/>
          <w:color w:val="000000"/>
          <w:sz w:val="24"/>
        </w:rPr>
        <w:t xml:space="preserve"> for Order Preference by Similarity to Ideal </w:t>
      </w:r>
      <w:r>
        <w:rPr>
          <w:rFonts w:hint="eastAsia" w:ascii="宋体" w:hAnsi="宋体" w:eastAsia="宋体"/>
          <w:color w:val="000000"/>
          <w:sz w:val="24"/>
        </w:rPr>
        <w:t xml:space="preserve">Solution）是一种多属性决策分析方法，通过计算评价对象与正理想解和负理想解的距离，确定评价对象的相对优劣排序。TOPSIS的核心思想是：最优方案应同时最接近正理想解（所有指标都取最优值）和最远离负理想解（所有指标都取最劣值）。</w:t>
      </w:r>
    </w:p>
    <w:p>
      <w:pPr>
        <w:pStyle w:val="BodyText"/>
        <w:spacing w:line="360" w:lineRule="auto"/>
      </w:pPr>
      <w:r>
        <w:rPr>
          <w:rFonts w:hint="eastAsia" w:ascii="宋体" w:hAnsi="宋体" w:eastAsia="宋体"/>
          <w:color w:val="000000"/>
          <w:sz w:val="24"/>
        </w:rPr>
        <w:t xml:space="preserve">TOPSIS方法的步骤如下。</w:t>
      </w:r>
    </w:p>
    <w:p>
      <w:pPr>
        <w:pStyle w:val="BodyText"/>
        <w:spacing w:line="360" w:lineRule="auto"/>
      </w:pPr>
      <w:r>
        <w:rPr>
          <w:rFonts w:hint="eastAsia" w:ascii="宋体" w:hAnsi="宋体" w:eastAsia="宋体"/>
          <w:b/>
          <w:bCs/>
          <w:color w:val="000000"/>
          <w:sz w:val="24"/>
        </w:rPr>
        <w:t xml:space="preserve">步骤一：构建决策矩阵。</w:t>
      </w:r>
      <w:r>
        <w:rPr>
          <w:rFonts w:ascii="宋体" w:hAnsi="宋体" w:eastAsia="宋体"/>
          <w:color w:val="000000"/>
          <w:sz w:val="24"/>
        </w:rPr>
        <w:t xml:space="preserve"> </w:t>
      </w:r>
      <w:r>
        <w:rPr>
          <w:rFonts w:hint="eastAsia" w:ascii="宋体" w:hAnsi="宋体" w:eastAsia="宋体"/>
          <w:color w:val="000000"/>
          <w:sz w:val="24"/>
        </w:rPr>
        <w:t xml:space="preserve">设评价对象有m个（28个平台），评价指标有n个（24个指标），构建m×n的决策矩阵X=(x_ij)，其中x_ij表示第i个平台的第j个指标的原始值。</w:t>
      </w:r>
    </w:p>
    <w:p>
      <w:pPr>
        <w:pStyle w:val="BodyText"/>
        <w:spacing w:line="360" w:lineRule="auto"/>
      </w:pPr>
      <w:r>
        <w:rPr>
          <w:rFonts w:hint="eastAsia" w:ascii="宋体" w:hAnsi="宋体" w:eastAsia="宋体"/>
          <w:b/>
          <w:bCs/>
          <w:color w:val="000000"/>
          <w:sz w:val="24"/>
        </w:rPr>
        <w:t xml:space="preserve">步骤二：标准化处理。</w:t>
      </w:r>
      <w:r>
        <w:rPr>
          <w:rFonts w:ascii="宋体" w:hAnsi="宋体" w:eastAsia="宋体"/>
          <w:color w:val="000000"/>
          <w:sz w:val="24"/>
        </w:rPr>
        <w:t xml:space="preserve"> </w:t>
      </w:r>
      <w:r>
        <w:rPr>
          <w:rFonts w:hint="eastAsia" w:ascii="宋体" w:hAnsi="宋体" w:eastAsia="宋体"/>
          <w:color w:val="000000"/>
          <w:sz w:val="24"/>
        </w:rPr>
        <w:t xml:space="preserve">由于各指标的量纲和数量级不同，需要进行标准化处理。对于正向指标（越大越好），采用x’_ij</w:t>
      </w:r>
      <w:r>
        <w:rPr>
          <w:rFonts w:ascii="宋体" w:hAnsi="宋体" w:eastAsia="宋体"/>
          <w:color w:val="000000"/>
          <w:sz w:val="24"/>
        </w:rPr>
        <w:t xml:space="preserve"> = x_ij / </w:t>
      </w:r>
      <w:r>
        <w:rPr>
          <w:rFonts w:hint="eastAsia" w:ascii="宋体" w:hAnsi="宋体" w:eastAsia="宋体"/>
          <w:color w:val="000000"/>
          <w:sz w:val="24"/>
        </w:rPr>
        <w:t xml:space="preserve">max(x_j)；对于负向指标（越小越好），采用x’_ij</w:t>
      </w:r>
      <w:r>
        <w:rPr>
          <w:rFonts w:ascii="宋体" w:hAnsi="宋体" w:eastAsia="宋体"/>
          <w:color w:val="000000"/>
          <w:sz w:val="24"/>
        </w:rPr>
        <w:t xml:space="preserve"> = min(x_j) / </w:t>
      </w:r>
      <w:r>
        <w:rPr>
          <w:rFonts w:hint="eastAsia" w:ascii="宋体" w:hAnsi="宋体" w:eastAsia="宋体"/>
          <w:color w:val="000000"/>
          <w:sz w:val="24"/>
        </w:rPr>
        <w:t xml:space="preserve">x_ij。标准化后的决策矩阵记为X’=(x’_ij)。</w:t>
      </w:r>
    </w:p>
    <w:p>
      <w:pPr>
        <w:pStyle w:val="BodyText"/>
        <w:spacing w:line="360" w:lineRule="auto"/>
      </w:pPr>
      <w:r>
        <w:rPr>
          <w:rFonts w:hint="eastAsia" w:ascii="宋体" w:hAnsi="宋体" w:eastAsia="宋体"/>
          <w:b/>
          <w:bCs/>
          <w:color w:val="000000"/>
          <w:sz w:val="24"/>
        </w:rPr>
        <w:t xml:space="preserve">步骤三：确定权重。</w:t>
      </w:r>
      <w:r>
        <w:rPr>
          <w:rFonts w:ascii="宋体" w:hAnsi="宋体" w:eastAsia="宋体"/>
          <w:color w:val="000000"/>
          <w:sz w:val="24"/>
        </w:rPr>
        <w:t xml:space="preserve"> </w:t>
      </w:r>
      <w:r>
        <w:rPr>
          <w:rFonts w:hint="eastAsia" w:ascii="宋体" w:hAnsi="宋体" w:eastAsia="宋体"/>
          <w:color w:val="000000"/>
          <w:sz w:val="24"/>
        </w:rPr>
        <w:t xml:space="preserve">运用AHP-熵权组合赋权法确定各指标的权重w_j，构建加权标准化决策矩阵V=(v_ij)，其中v_ij</w:t>
      </w:r>
      <w:r>
        <w:rPr>
          <w:rFonts w:ascii="宋体" w:hAnsi="宋体" w:eastAsia="宋体"/>
          <w:color w:val="000000"/>
          <w:sz w:val="24"/>
        </w:rPr>
        <w:t xml:space="preserve"> = w_j × x’_ij。</w:t>
      </w:r>
    </w:p>
    <w:p>
      <w:pPr>
        <w:pStyle w:val="BodyText"/>
        <w:spacing w:line="360" w:lineRule="auto"/>
      </w:pPr>
      <w:r>
        <w:rPr>
          <w:rFonts w:hint="eastAsia" w:ascii="宋体" w:hAnsi="宋体" w:eastAsia="宋体"/>
          <w:b/>
          <w:bCs/>
          <w:color w:val="000000"/>
          <w:sz w:val="24"/>
        </w:rPr>
        <w:t xml:space="preserve">步骤四：确定正理想解和负理想解。</w:t>
      </w:r>
      <w:r>
        <w:rPr>
          <w:rFonts w:ascii="宋体" w:hAnsi="宋体" w:eastAsia="宋体"/>
          <w:color w:val="000000"/>
          <w:sz w:val="24"/>
        </w:rPr>
        <w:t xml:space="preserve"> </w:t>
      </w:r>
      <w:r>
        <w:rPr>
          <w:rFonts w:hint="eastAsia" w:ascii="宋体" w:hAnsi="宋体" w:eastAsia="宋体"/>
          <w:color w:val="000000"/>
          <w:sz w:val="24"/>
        </w:rPr>
        <w:t xml:space="preserve">正理想解V+</w:t>
      </w:r>
      <w:r>
        <w:rPr>
          <w:rFonts w:ascii="宋体" w:hAnsi="宋体" w:eastAsia="宋体"/>
          <w:color w:val="000000"/>
          <w:sz w:val="24"/>
        </w:rPr>
        <w:t xml:space="preserve"> = (max(v_1), max(v_2), …, </w:t>
      </w:r>
      <w:r>
        <w:rPr>
          <w:rFonts w:hint="eastAsia" w:ascii="宋体" w:hAnsi="宋体" w:eastAsia="宋体"/>
          <w:color w:val="000000"/>
          <w:sz w:val="24"/>
        </w:rPr>
        <w:t xml:space="preserve">max(v_n))，负理想解V-</w:t>
      </w:r>
      <w:r>
        <w:rPr>
          <w:rFonts w:ascii="宋体" w:hAnsi="宋体" w:eastAsia="宋体"/>
          <w:color w:val="000000"/>
          <w:sz w:val="24"/>
        </w:rPr>
        <w:t xml:space="preserve"> = (min(v_1), min(v_2), …, min(v_n))。</w:t>
      </w:r>
    </w:p>
    <w:p>
      <w:pPr>
        <w:pStyle w:val="BodyText"/>
        <w:spacing w:line="360" w:lineRule="auto"/>
      </w:pPr>
      <w:r>
        <w:rPr>
          <w:rFonts w:hint="eastAsia" w:ascii="宋体" w:hAnsi="宋体" w:eastAsia="宋体"/>
          <w:b/>
          <w:bCs/>
          <w:color w:val="000000"/>
          <w:sz w:val="24"/>
        </w:rPr>
        <w:t xml:space="preserve">步骤五：计算距离。</w:t>
      </w:r>
      <w:r>
        <w:rPr>
          <w:rFonts w:ascii="宋体" w:hAnsi="宋体" w:eastAsia="宋体"/>
          <w:color w:val="000000"/>
          <w:sz w:val="24"/>
        </w:rPr>
        <w:t xml:space="preserve"> </w:t>
      </w:r>
      <w:r>
        <w:rPr>
          <w:rFonts w:hint="eastAsia" w:ascii="宋体" w:hAnsi="宋体" w:eastAsia="宋体"/>
          <w:color w:val="000000"/>
          <w:sz w:val="24"/>
        </w:rPr>
        <w:t xml:space="preserve">计算各评价对象到正理想解和负理想解的欧氏距离：D+_i</w:t>
      </w:r>
      <w:r>
        <w:rPr>
          <w:rFonts w:ascii="宋体" w:hAnsi="宋体" w:eastAsia="宋体"/>
          <w:color w:val="000000"/>
          <w:sz w:val="24"/>
        </w:rPr>
        <w:t xml:space="preserve"> = √Σ(v_ij - </w:t>
      </w:r>
      <w:r>
        <w:rPr>
          <w:rFonts w:hint="eastAsia" w:ascii="宋体" w:hAnsi="宋体" w:eastAsia="宋体"/>
          <w:color w:val="000000"/>
          <w:sz w:val="24"/>
        </w:rPr>
        <w:t xml:space="preserve">V+_j)²，D-_i</w:t>
      </w:r>
      <w:r>
        <w:rPr>
          <w:rFonts w:ascii="宋体" w:hAnsi="宋体" w:eastAsia="宋体"/>
          <w:color w:val="000000"/>
          <w:sz w:val="24"/>
        </w:rPr>
        <w:t xml:space="preserve"> = √Σ(v_ij - V-_j)²。</w:t>
      </w:r>
    </w:p>
    <w:p>
      <w:pPr>
        <w:pStyle w:val="BodyText"/>
        <w:spacing w:line="360" w:lineRule="auto"/>
      </w:pPr>
      <w:r>
        <w:rPr>
          <w:rFonts w:hint="eastAsia" w:ascii="宋体" w:hAnsi="宋体" w:eastAsia="宋体"/>
          <w:b/>
          <w:bCs/>
          <w:color w:val="000000"/>
          <w:sz w:val="24"/>
        </w:rPr>
        <w:t xml:space="preserve">步骤六：计算相对贴近度。</w:t>
      </w:r>
      <w:r>
        <w:rPr>
          <w:rFonts w:ascii="宋体" w:hAnsi="宋体" w:eastAsia="宋体"/>
          <w:color w:val="000000"/>
          <w:sz w:val="24"/>
        </w:rPr>
        <w:t xml:space="preserve"> </w:t>
      </w:r>
      <w:r>
        <w:rPr>
          <w:rFonts w:ascii="宋体" w:hAnsi="宋体" w:eastAsia="宋体"/>
          <w:color w:val="000000"/>
          <w:sz w:val="24"/>
        </w:rPr>
        <w:t xml:space="preserve">C_i = D-_i / (D+_i + </w:t>
      </w:r>
      <w:r>
        <w:rPr>
          <w:rFonts w:hint="eastAsia" w:ascii="宋体" w:hAnsi="宋体" w:eastAsia="宋体"/>
          <w:color w:val="000000"/>
          <w:sz w:val="24"/>
        </w:rPr>
        <w:t xml:space="preserve">D-_i)，C_i的取值范围为[0,1]，C_i越接近1表示评价对象越优，越接近0表示评价对象越劣。</w:t>
      </w:r>
    </w:p>
    <w:p>
      <w:pPr>
        <w:pStyle w:val="BodyText"/>
        <w:spacing w:line="360" w:lineRule="auto"/>
      </w:pPr>
      <w:r>
        <w:rPr>
          <w:rFonts w:hint="eastAsia" w:ascii="宋体" w:hAnsi="宋体" w:eastAsia="宋体"/>
          <w:color w:val="000000"/>
          <w:sz w:val="24"/>
        </w:rPr>
        <w:t xml:space="preserve">TOPSIS方法的优势在于：计算简单、结果直观、易于解释；对样本量没有严格要求；能够处理多指标的综合评估问题。其局限在于：对指标权重敏感，权重设定不当可能导致结果偏差；对极端值敏感，异常值可能显著影响排序结果。本研究通过AHP-熵权组合赋权法和异常值处理，尽量减轻这些局限的影响。</w:t>
      </w:r>
    </w:p>
    <w:bookmarkEnd w:id="152"/>
    <w:bookmarkStart w:id="153" w:name="dea-bcc效率评价方法"/>
    <w:p>
      <w:pPr>
        <w:pStyle w:val="Heading4"/>
        <w:spacing w:line="360" w:lineRule="auto"/>
      </w:pPr>
      <w:r>
        <w:rPr>
          <w:rFonts w:ascii="宋体" w:hAnsi="宋体" w:eastAsia="宋体"/>
          <w:color w:val="000000"/>
          <w:sz w:val="24"/>
        </w:rPr>
        <w:t xml:space="preserve">4.4.2 </w:t>
      </w:r>
      <w:r>
        <w:rPr>
          <w:rFonts w:hint="eastAsia" w:ascii="宋体" w:hAnsi="宋体" w:eastAsia="宋体"/>
          <w:color w:val="000000"/>
          <w:sz w:val="24"/>
        </w:rPr>
        <w:t xml:space="preserve">DEA-BCC效率评价方法</w:t>
      </w:r>
    </w:p>
    <w:p>
      <w:pPr>
        <w:pStyle w:val="FirstParagraph"/>
        <w:spacing w:line="360" w:lineRule="auto"/>
      </w:pPr>
      <w:r>
        <w:rPr>
          <w:rFonts w:hint="eastAsia" w:ascii="宋体" w:hAnsi="宋体" w:eastAsia="宋体"/>
          <w:color w:val="000000"/>
          <w:sz w:val="24"/>
        </w:rPr>
        <w:t xml:space="preserve">DEA（Data</w:t>
      </w:r>
      <w:r>
        <w:rPr>
          <w:rFonts w:ascii="宋体" w:hAnsi="宋体" w:eastAsia="宋体"/>
          <w:color w:val="000000"/>
          <w:sz w:val="24"/>
        </w:rPr>
        <w:t xml:space="preserve"> Envelopment </w:t>
      </w:r>
      <w:r>
        <w:rPr>
          <w:rFonts w:hint="eastAsia" w:ascii="宋体" w:hAnsi="宋体" w:eastAsia="宋体"/>
          <w:color w:val="000000"/>
          <w:sz w:val="24"/>
        </w:rPr>
        <w:t xml:space="preserve">Analysis）是一种非参数效率评价方法，通过线性规划构建生产前沿面，评价决策单元的相对效率。DEA的核心思想是：效率最高的决策单元构成”效率前沿”，其他决策单元的效率通过与前沿的比较来确定。</w:t>
      </w:r>
    </w:p>
    <w:p>
      <w:pPr>
        <w:pStyle w:val="BodyText"/>
        <w:spacing w:line="360" w:lineRule="auto"/>
      </w:pPr>
      <w:r>
        <w:rPr>
          <w:rFonts w:hint="eastAsia" w:ascii="宋体" w:hAnsi="宋体" w:eastAsia="宋体"/>
          <w:color w:val="000000"/>
          <w:sz w:val="24"/>
        </w:rPr>
        <w:t xml:space="preserve">本研究采用DEA-BCC模型（Banker-Charnes-Cooper模型），该模型假设规模报酬可变，适用于公共部门效率评价。DEA-BCC模型的数学表述如下。</w:t>
      </w:r>
    </w:p>
    <w:p>
      <w:pPr>
        <w:pStyle w:val="BodyText"/>
        <w:spacing w:line="360" w:lineRule="auto"/>
      </w:pPr>
      <w:r>
        <w:rPr>
          <w:rFonts w:hint="eastAsia" w:ascii="宋体" w:hAnsi="宋体" w:eastAsia="宋体"/>
          <w:color w:val="000000"/>
          <w:sz w:val="24"/>
        </w:rPr>
        <w:t xml:space="preserve">设每个决策单元（平台）有s个产出指标和t个投入指标。对于第k个平台，效率评价模型为：</w:t>
      </w:r>
    </w:p>
    <w:p>
      <w:pPr>
        <w:pStyle w:val="BodyText"/>
        <w:spacing w:line="360" w:lineRule="auto"/>
      </w:pPr>
      <w:r>
        <w:rPr>
          <w:rFonts w:ascii="宋体" w:hAnsi="宋体" w:eastAsia="宋体"/>
          <w:color w:val="000000"/>
          <w:sz w:val="24"/>
        </w:rPr>
        <w:t xml:space="preserve">min θ_k</w:t>
      </w:r>
      <w:r>
        <w:rPr>
          <w:rFonts w:ascii="宋体" w:hAnsi="宋体" w:eastAsia="宋体"/>
          <w:color w:val="000000"/>
          <w:sz w:val="24"/>
        </w:rPr>
        <w:t xml:space="preserve"> </w:t>
      </w:r>
      <w:r>
        <w:rPr>
          <w:rFonts w:ascii="宋体" w:hAnsi="宋体" w:eastAsia="宋体"/>
          <w:color w:val="000000"/>
          <w:sz w:val="24"/>
        </w:rPr>
        <w:t xml:space="preserve">s.t. Σλ_i × x_ij ≤ θ_k × x_kj, j=1,2,…,t</w:t>
      </w:r>
      <w:r>
        <w:rPr>
          <w:rFonts w:ascii="宋体" w:hAnsi="宋体" w:eastAsia="宋体"/>
          <w:color w:val="000000"/>
          <w:sz w:val="24"/>
        </w:rPr>
        <w:t xml:space="preserve"> </w:t>
      </w:r>
      <w:r>
        <w:rPr>
          <w:rFonts w:ascii="宋体" w:hAnsi="宋体" w:eastAsia="宋体"/>
          <w:color w:val="000000"/>
          <w:sz w:val="24"/>
        </w:rPr>
        <w:t xml:space="preserve">Σλ_i × y_ir ≥ y_kr, r=1,2,…,s</w:t>
      </w:r>
      <w:r>
        <w:rPr>
          <w:rFonts w:ascii="宋体" w:hAnsi="宋体" w:eastAsia="宋体"/>
          <w:color w:val="000000"/>
          <w:sz w:val="24"/>
        </w:rPr>
        <w:t xml:space="preserve"> </w:t>
      </w:r>
      <w:r>
        <w:rPr>
          <w:rFonts w:ascii="宋体" w:hAnsi="宋体" w:eastAsia="宋体"/>
          <w:color w:val="000000"/>
          <w:sz w:val="24"/>
        </w:rPr>
        <w:t xml:space="preserve">Σλ_i = 1</w:t>
      </w:r>
      <w:r>
        <w:rPr>
          <w:rFonts w:ascii="宋体" w:hAnsi="宋体" w:eastAsia="宋体"/>
          <w:color w:val="000000"/>
          <w:sz w:val="24"/>
        </w:rPr>
        <w:t xml:space="preserve"> </w:t>
      </w:r>
      <w:r>
        <w:rPr>
          <w:rFonts w:ascii="宋体" w:hAnsi="宋体" w:eastAsia="宋体"/>
          <w:color w:val="000000"/>
          <w:sz w:val="24"/>
        </w:rPr>
        <w:t xml:space="preserve">λ_i ≥ 0, i=1,2,…,m</w:t>
      </w:r>
    </w:p>
    <w:p>
      <w:pPr>
        <w:pStyle w:val="BodyText"/>
        <w:spacing w:line="360" w:lineRule="auto"/>
      </w:pPr>
      <w:r>
        <w:rPr>
          <w:rFonts w:hint="eastAsia" w:ascii="宋体" w:hAnsi="宋体" w:eastAsia="宋体"/>
          <w:color w:val="000000"/>
          <w:sz w:val="24"/>
        </w:rPr>
        <w:t xml:space="preserve">其中，θ_k为第k个平台的效率值（0≤θ_k≤1），λ_i为权重变量，x_ij为投入指标，y_ir为产出指标。当θ_k=1时，平台位于效率前沿上，为DEA有效；当θ_k&lt;1时，平台为DEA无效，存在效率改进空间。</w:t>
      </w:r>
    </w:p>
    <w:p>
      <w:pPr>
        <w:pStyle w:val="BodyText"/>
        <w:spacing w:line="360" w:lineRule="auto"/>
      </w:pPr>
      <w:r>
        <w:rPr>
          <w:rFonts w:hint="eastAsia" w:ascii="宋体" w:hAnsi="宋体" w:eastAsia="宋体"/>
          <w:color w:val="000000"/>
          <w:sz w:val="24"/>
        </w:rPr>
        <w:t xml:space="preserve">在本研究中，投入指标包括：平台运营年限（年）、数据集数量（个）、财政投入估算（万元）；产出指标包括：TOPSIS综合绩效得分、应用成果数量（个）、API调用量（次/月）。通过DEA分析，可以识别哪些平台在”投入-产出”转化过程中效率最高，哪些平台存在资源浪费或产出不足的问题。</w:t>
      </w:r>
    </w:p>
    <w:p>
      <w:pPr>
        <w:pStyle w:val="BodyText"/>
        <w:spacing w:line="360" w:lineRule="auto"/>
      </w:pPr>
      <w:r>
        <w:rPr>
          <w:rFonts w:hint="eastAsia" w:ascii="宋体" w:hAnsi="宋体" w:eastAsia="宋体"/>
          <w:color w:val="000000"/>
          <w:sz w:val="24"/>
        </w:rPr>
        <w:t xml:space="preserve">DEA方法的优势在于：无需预设生产函数形式，对数据分布没有严格要求；能够同时处理多投入多产出问题；效率值具有明确的”投入-产出”经济含义。其局限在于：对投入产出指标的选择敏感；无法提供效率差异的统计显著性检验；对样本量有一定要求（通常要求样本量大于投入产出指标总数的2倍）。本研究通过谨慎选择投入产出指标和充分的样本量，尽量减轻这些局限的影响。</w:t>
      </w:r>
    </w:p>
    <w:bookmarkEnd w:id="153"/>
    <w:bookmarkEnd w:id="154"/>
    <w:bookmarkStart w:id="157" w:name="影响因素分析方法"/>
    <w:p>
      <w:pPr>
        <w:pStyle w:val="Heading3"/>
        <w:spacing w:line="360" w:lineRule="auto"/>
      </w:pPr>
      <w:r>
        <w:rPr>
          <w:rFonts w:ascii="黑体" w:hAnsi="黑体" w:eastAsia="黑体"/>
          <w:b/>
          <w:color w:val="000000"/>
          <w:sz w:val="24"/>
        </w:rPr>
        <w:t xml:space="preserve">4.5 </w:t>
      </w:r>
      <w:r>
        <w:rPr>
          <w:rFonts w:hint="eastAsia" w:ascii="黑体" w:hAnsi="黑体" w:eastAsia="黑体"/>
          <w:b/>
          <w:color w:val="000000"/>
          <w:sz w:val="24"/>
        </w:rPr>
        <w:t xml:space="preserve">影响因素分析方法</w:t>
      </w:r>
    </w:p>
    <w:bookmarkStart w:id="155" w:name="dematel因素关联分析方法"/>
    <w:p>
      <w:pPr>
        <w:pStyle w:val="Heading4"/>
        <w:spacing w:line="360" w:lineRule="auto"/>
      </w:pPr>
      <w:r>
        <w:rPr>
          <w:rFonts w:ascii="宋体" w:hAnsi="宋体" w:eastAsia="宋体"/>
          <w:color w:val="000000"/>
          <w:sz w:val="24"/>
        </w:rPr>
        <w:t xml:space="preserve">4.5.1 </w:t>
      </w:r>
      <w:r>
        <w:rPr>
          <w:rFonts w:hint="eastAsia" w:ascii="宋体" w:hAnsi="宋体" w:eastAsia="宋体"/>
          <w:color w:val="000000"/>
          <w:sz w:val="24"/>
        </w:rPr>
        <w:t xml:space="preserve">DEMATEL因素关联分析方法</w:t>
      </w:r>
    </w:p>
    <w:p>
      <w:pPr>
        <w:pStyle w:val="FirstParagraph"/>
        <w:spacing w:line="360" w:lineRule="auto"/>
      </w:pPr>
      <w:r>
        <w:rPr>
          <w:rFonts w:hint="eastAsia" w:ascii="宋体" w:hAnsi="宋体" w:eastAsia="宋体"/>
          <w:color w:val="000000"/>
          <w:sz w:val="24"/>
        </w:rPr>
        <w:t xml:space="preserve">DEMATEL（Decision</w:t>
      </w:r>
      <w:r>
        <w:rPr>
          <w:rFonts w:ascii="宋体" w:hAnsi="宋体" w:eastAsia="宋体"/>
          <w:color w:val="000000"/>
          <w:sz w:val="24"/>
        </w:rPr>
        <w:t xml:space="preserve"> Making Trial and Evaluation </w:t>
      </w:r>
      <w:r>
        <w:rPr>
          <w:rFonts w:hint="eastAsia" w:ascii="宋体" w:hAnsi="宋体" w:eastAsia="宋体"/>
          <w:color w:val="000000"/>
          <w:sz w:val="24"/>
        </w:rPr>
        <w:t xml:space="preserve">Laboratory）是一种基于图论的因素关联分析方法，通过分析因素之间的直接影响矩阵，计算因素的中心度（影响其他因素的程度）和原因度（被其他因素影响的程度），识别因素之间的因果关系和传导路径。</w:t>
      </w:r>
    </w:p>
    <w:p>
      <w:pPr>
        <w:pStyle w:val="BodyText"/>
        <w:spacing w:line="360" w:lineRule="auto"/>
      </w:pPr>
      <w:r>
        <w:rPr>
          <w:rFonts w:hint="eastAsia" w:ascii="宋体" w:hAnsi="宋体" w:eastAsia="宋体"/>
          <w:color w:val="000000"/>
          <w:sz w:val="24"/>
        </w:rPr>
        <w:t xml:space="preserve">DEMATEL方法的步骤如下。</w:t>
      </w:r>
    </w:p>
    <w:p>
      <w:pPr>
        <w:pStyle w:val="BodyText"/>
        <w:spacing w:line="360" w:lineRule="auto"/>
      </w:pPr>
      <w:r>
        <w:rPr>
          <w:rFonts w:hint="eastAsia" w:ascii="宋体" w:hAnsi="宋体" w:eastAsia="宋体"/>
          <w:b/>
          <w:bCs/>
          <w:color w:val="000000"/>
          <w:sz w:val="24"/>
        </w:rPr>
        <w:t xml:space="preserve">步骤一：构建直接影响矩阵。</w:t>
      </w:r>
      <w:r>
        <w:rPr>
          <w:rFonts w:ascii="宋体" w:hAnsi="宋体" w:eastAsia="宋体"/>
          <w:color w:val="000000"/>
          <w:sz w:val="24"/>
        </w:rPr>
        <w:t xml:space="preserve"> </w:t>
      </w:r>
      <w:r>
        <w:rPr>
          <w:rFonts w:hint="eastAsia" w:ascii="宋体" w:hAnsi="宋体" w:eastAsia="宋体"/>
          <w:color w:val="000000"/>
          <w:sz w:val="24"/>
        </w:rPr>
        <w:t xml:space="preserve">邀请专家对因素之间的直接影响关系进行评分，采用0-4标度（0表示无影响，1表示弱影响，2表示中等影响，3表示强影响，4表示极强影响），构建直接影响矩阵A=(a_ij)。</w:t>
      </w:r>
    </w:p>
    <w:p>
      <w:pPr>
        <w:pStyle w:val="BodyText"/>
        <w:spacing w:line="360" w:lineRule="auto"/>
      </w:pPr>
      <w:r>
        <w:rPr>
          <w:rFonts w:hint="eastAsia" w:ascii="宋体" w:hAnsi="宋体" w:eastAsia="宋体"/>
          <w:b/>
          <w:bCs/>
          <w:color w:val="000000"/>
          <w:sz w:val="24"/>
        </w:rPr>
        <w:t xml:space="preserve">步骤二：规范化处理。</w:t>
      </w:r>
      <w:r>
        <w:rPr>
          <w:rFonts w:ascii="宋体" w:hAnsi="宋体" w:eastAsia="宋体"/>
          <w:color w:val="000000"/>
          <w:sz w:val="24"/>
        </w:rPr>
        <w:t xml:space="preserve"> </w:t>
      </w:r>
      <w:r>
        <w:rPr>
          <w:rFonts w:hint="eastAsia" w:ascii="宋体" w:hAnsi="宋体" w:eastAsia="宋体"/>
          <w:color w:val="000000"/>
          <w:sz w:val="24"/>
        </w:rPr>
        <w:t xml:space="preserve">对直接影响矩阵进行规范化处理，得到规范化影响矩阵G=(g_ij)，其中g_ij</w:t>
      </w:r>
      <w:r>
        <w:rPr>
          <w:rFonts w:ascii="宋体" w:hAnsi="宋体" w:eastAsia="宋体"/>
          <w:color w:val="000000"/>
          <w:sz w:val="24"/>
        </w:rPr>
        <w:t xml:space="preserve"> = a_ij / max(Σa_ij)。</w:t>
      </w:r>
    </w:p>
    <w:p>
      <w:pPr>
        <w:pStyle w:val="BodyText"/>
        <w:spacing w:line="360" w:lineRule="auto"/>
      </w:pPr>
      <w:r>
        <w:rPr>
          <w:rFonts w:hint="eastAsia" w:ascii="宋体" w:hAnsi="宋体" w:eastAsia="宋体"/>
          <w:b/>
          <w:bCs/>
          <w:color w:val="000000"/>
          <w:sz w:val="24"/>
        </w:rPr>
        <w:t xml:space="preserve">步骤三：计算综合影响矩阵。</w:t>
      </w:r>
      <w:r>
        <w:rPr>
          <w:rFonts w:ascii="宋体" w:hAnsi="宋体" w:eastAsia="宋体"/>
          <w:color w:val="000000"/>
          <w:sz w:val="24"/>
        </w:rPr>
        <w:t xml:space="preserve"> </w:t>
      </w:r>
      <w:r>
        <w:rPr>
          <w:rFonts w:hint="eastAsia" w:ascii="宋体" w:hAnsi="宋体" w:eastAsia="宋体"/>
          <w:color w:val="000000"/>
          <w:sz w:val="24"/>
        </w:rPr>
        <w:t xml:space="preserve">综合影响矩阵T</w:t>
      </w:r>
      <w:r>
        <w:rPr>
          <w:rFonts w:ascii="宋体" w:hAnsi="宋体" w:eastAsia="宋体"/>
          <w:color w:val="000000"/>
          <w:sz w:val="24"/>
        </w:rPr>
        <w:t xml:space="preserve"> = </w:t>
      </w:r>
      <w:r>
        <w:rPr>
          <w:rFonts w:hint="eastAsia" w:ascii="宋体" w:hAnsi="宋体" w:eastAsia="宋体"/>
          <w:color w:val="000000"/>
          <w:sz w:val="24"/>
        </w:rPr>
        <w:t xml:space="preserve">G(I-G)^(-1)，其中I为单位矩阵。T中的元素t_ij表示因素i对因素j的直接和间接影响之和。</w:t>
      </w:r>
    </w:p>
    <w:p>
      <w:pPr>
        <w:pStyle w:val="BodyText"/>
        <w:spacing w:line="360" w:lineRule="auto"/>
      </w:pPr>
      <w:r>
        <w:rPr>
          <w:rFonts w:hint="eastAsia" w:ascii="宋体" w:hAnsi="宋体" w:eastAsia="宋体"/>
          <w:b/>
          <w:bCs/>
          <w:color w:val="000000"/>
          <w:sz w:val="24"/>
        </w:rPr>
        <w:t xml:space="preserve">步骤四：计算中心度和原因度。</w:t>
      </w:r>
      <w:r>
        <w:rPr>
          <w:rFonts w:ascii="宋体" w:hAnsi="宋体" w:eastAsia="宋体"/>
          <w:color w:val="000000"/>
          <w:sz w:val="24"/>
        </w:rPr>
        <w:t xml:space="preserve"> </w:t>
      </w:r>
      <w:r>
        <w:rPr>
          <w:rFonts w:hint="eastAsia" w:ascii="宋体" w:hAnsi="宋体" w:eastAsia="宋体"/>
          <w:color w:val="000000"/>
          <w:sz w:val="24"/>
        </w:rPr>
        <w:t xml:space="preserve">因素i的中心度（影响其他因素的总程度）M_i</w:t>
      </w:r>
      <w:r>
        <w:rPr>
          <w:rFonts w:ascii="宋体" w:hAnsi="宋体" w:eastAsia="宋体"/>
          <w:color w:val="000000"/>
          <w:sz w:val="24"/>
        </w:rPr>
        <w:t xml:space="preserve"> = Σt_ij + </w:t>
      </w:r>
      <w:r>
        <w:rPr>
          <w:rFonts w:hint="eastAsia" w:ascii="宋体" w:hAnsi="宋体" w:eastAsia="宋体"/>
          <w:color w:val="000000"/>
          <w:sz w:val="24"/>
        </w:rPr>
        <w:t xml:space="preserve">Σt_ji；因素i的原因度（影响与被影响的差值）N_i</w:t>
      </w:r>
      <w:r>
        <w:rPr>
          <w:rFonts w:ascii="宋体" w:hAnsi="宋体" w:eastAsia="宋体"/>
          <w:color w:val="000000"/>
          <w:sz w:val="24"/>
        </w:rPr>
        <w:t xml:space="preserve"> = Σt_ij - </w:t>
      </w:r>
      <w:r>
        <w:rPr>
          <w:rFonts w:hint="eastAsia" w:ascii="宋体" w:hAnsi="宋体" w:eastAsia="宋体"/>
          <w:color w:val="000000"/>
          <w:sz w:val="24"/>
        </w:rPr>
        <w:t xml:space="preserve">Σt_ji。中心度高的因素在因素网络中处于核心位置；原因度为正的因素是”原因因素”（影响其他因素多于被其他因素影响），原因度为负的因素是”结果因素”（被其他因素影响多于影响其他因素）。</w:t>
      </w:r>
    </w:p>
    <w:p>
      <w:pPr>
        <w:pStyle w:val="BodyText"/>
        <w:spacing w:line="360" w:lineRule="auto"/>
      </w:pPr>
      <w:r>
        <w:rPr>
          <w:rFonts w:hint="eastAsia" w:ascii="宋体" w:hAnsi="宋体" w:eastAsia="宋体"/>
          <w:color w:val="000000"/>
          <w:sz w:val="24"/>
        </w:rPr>
        <w:t xml:space="preserve">DEMATEL方法的优势在于：能够识别因素之间的因果关系和传导路径；能够区分”原因因素”和”结果因素”，为政策干预提供优先级参考；计算过程清晰、结果可视化程度高。其局限在于：依赖专家的主观判断，不同专家的评分可能存在差异；对因素数量的增加敏感，因素过多时分析复杂度显著增加。本研究通过增加专家数量和一致性检验，尽量减轻主观判断的影响。</w:t>
      </w:r>
    </w:p>
    <w:bookmarkEnd w:id="155"/>
    <w:bookmarkStart w:id="156" w:name="fsqca组态分析方法"/>
    <w:p>
      <w:pPr>
        <w:pStyle w:val="Heading4"/>
        <w:spacing w:line="360" w:lineRule="auto"/>
      </w:pPr>
      <w:r>
        <w:rPr>
          <w:rFonts w:ascii="宋体" w:hAnsi="宋体" w:eastAsia="宋体"/>
          <w:color w:val="000000"/>
          <w:sz w:val="24"/>
        </w:rPr>
        <w:t xml:space="preserve">4.5.2 </w:t>
      </w:r>
      <w:r>
        <w:rPr>
          <w:rFonts w:hint="eastAsia" w:ascii="宋体" w:hAnsi="宋体" w:eastAsia="宋体"/>
          <w:color w:val="000000"/>
          <w:sz w:val="24"/>
        </w:rPr>
        <w:t xml:space="preserve">fsQCA组态分析方法</w:t>
      </w:r>
    </w:p>
    <w:p>
      <w:pPr>
        <w:pStyle w:val="FirstParagraph"/>
        <w:spacing w:line="360" w:lineRule="auto"/>
      </w:pPr>
      <w:r>
        <w:rPr>
          <w:rFonts w:hint="eastAsia" w:ascii="宋体" w:hAnsi="宋体" w:eastAsia="宋体"/>
          <w:color w:val="000000"/>
          <w:sz w:val="24"/>
        </w:rPr>
        <w:t xml:space="preserve">fsQCA（fuzzy-set</w:t>
      </w:r>
      <w:r>
        <w:rPr>
          <w:rFonts w:ascii="宋体" w:hAnsi="宋体" w:eastAsia="宋体"/>
          <w:color w:val="000000"/>
          <w:sz w:val="24"/>
        </w:rPr>
        <w:t xml:space="preserve"> Qualitative Comparative </w:t>
      </w:r>
      <w:r>
        <w:rPr>
          <w:rFonts w:hint="eastAsia" w:ascii="宋体" w:hAnsi="宋体" w:eastAsia="宋体"/>
          <w:color w:val="000000"/>
          <w:sz w:val="24"/>
        </w:rPr>
        <w:t xml:space="preserve">Analysis）是一种基于集合论的组态分析方法，通过布尔代数最小化算法，识别导致结果变量的条件组合路径。fsQCA的核心思想是：社会现象通常是多因素共同作用的结果，而非单一因素的独立效应；不同的条件组合可能产生相同的结果（多重等效性）。</w:t>
      </w:r>
    </w:p>
    <w:p>
      <w:pPr>
        <w:pStyle w:val="BodyText"/>
        <w:spacing w:line="360" w:lineRule="auto"/>
      </w:pPr>
      <w:r>
        <w:rPr>
          <w:rFonts w:hint="eastAsia" w:ascii="宋体" w:hAnsi="宋体" w:eastAsia="宋体"/>
          <w:color w:val="000000"/>
          <w:sz w:val="24"/>
        </w:rPr>
        <w:t xml:space="preserve">fsQCA方法的步骤如下。</w:t>
      </w:r>
    </w:p>
    <w:p>
      <w:pPr>
        <w:pStyle w:val="BodyText"/>
        <w:spacing w:line="360" w:lineRule="auto"/>
      </w:pPr>
      <w:r>
        <w:rPr>
          <w:rFonts w:hint="eastAsia" w:ascii="宋体" w:hAnsi="宋体" w:eastAsia="宋体"/>
          <w:b/>
          <w:bCs/>
          <w:color w:val="000000"/>
          <w:sz w:val="24"/>
        </w:rPr>
        <w:t xml:space="preserve">步骤一：变量校准。</w:t>
      </w:r>
      <w:r>
        <w:rPr>
          <w:rFonts w:ascii="宋体" w:hAnsi="宋体" w:eastAsia="宋体"/>
          <w:color w:val="000000"/>
          <w:sz w:val="24"/>
        </w:rPr>
        <w:t xml:space="preserve"> </w:t>
      </w:r>
      <w:r>
        <w:rPr>
          <w:rFonts w:hint="eastAsia" w:ascii="宋体" w:hAnsi="宋体" w:eastAsia="宋体"/>
          <w:color w:val="000000"/>
          <w:sz w:val="24"/>
        </w:rPr>
        <w:t xml:space="preserve">将原始数据转化为0-1之间的模糊集隶属度分数。校准需要设定三个锚点：完全隶属（1.0）、交叉点（0.5）、完全不隶属（0.0）。本研究采用直接校准法，基于样本数据的分位数设定锚点。</w:t>
      </w:r>
    </w:p>
    <w:p>
      <w:pPr>
        <w:pStyle w:val="BodyText"/>
        <w:spacing w:line="360" w:lineRule="auto"/>
      </w:pPr>
      <w:r>
        <w:rPr>
          <w:rFonts w:hint="eastAsia" w:ascii="宋体" w:hAnsi="宋体" w:eastAsia="宋体"/>
          <w:b/>
          <w:bCs/>
          <w:color w:val="000000"/>
          <w:sz w:val="24"/>
        </w:rPr>
        <w:t xml:space="preserve">步骤二：构建真值表。</w:t>
      </w:r>
      <w:r>
        <w:rPr>
          <w:rFonts w:ascii="宋体" w:hAnsi="宋体" w:eastAsia="宋体"/>
          <w:color w:val="000000"/>
          <w:sz w:val="24"/>
        </w:rPr>
        <w:t xml:space="preserve"> </w:t>
      </w:r>
      <w:r>
        <w:rPr>
          <w:rFonts w:hint="eastAsia" w:ascii="宋体" w:hAnsi="宋体" w:eastAsia="宋体"/>
          <w:color w:val="000000"/>
          <w:sz w:val="24"/>
        </w:rPr>
        <w:t xml:space="preserve">列出所有可能的条件组合（2^k个，k为条件变量数），计算每个条件组合下的案例数量和结果一致性。对于案例数量过少（通常&lt;1）或一致性过低（通常&lt;0.8）的组合，标记为”逻辑余项”。</w:t>
      </w:r>
    </w:p>
    <w:p>
      <w:pPr>
        <w:pStyle w:val="BodyText"/>
        <w:spacing w:line="360" w:lineRule="auto"/>
      </w:pPr>
      <w:r>
        <w:rPr>
          <w:rFonts w:hint="eastAsia" w:ascii="宋体" w:hAnsi="宋体" w:eastAsia="宋体"/>
          <w:b/>
          <w:bCs/>
          <w:color w:val="000000"/>
          <w:sz w:val="24"/>
        </w:rPr>
        <w:t xml:space="preserve">步骤三：布尔最小化。</w:t>
      </w:r>
      <w:r>
        <w:rPr>
          <w:rFonts w:ascii="宋体" w:hAnsi="宋体" w:eastAsia="宋体"/>
          <w:color w:val="000000"/>
          <w:sz w:val="24"/>
        </w:rPr>
        <w:t xml:space="preserve"> </w:t>
      </w:r>
      <w:r>
        <w:rPr>
          <w:rFonts w:hint="eastAsia" w:ascii="宋体" w:hAnsi="宋体" w:eastAsia="宋体"/>
          <w:color w:val="000000"/>
          <w:sz w:val="24"/>
        </w:rPr>
        <w:t xml:space="preserve">运用Quine-McCluskey算法对真值表进行布尔最小化，得到导致高结果的简化条件组合。最小化过程中需要处理”逻辑余项”——可以假设逻辑余项为”存在”（允许更简洁的解）或”不存在”（避免过度简化），分别得到复杂解、简约解和中间解。</w:t>
      </w:r>
    </w:p>
    <w:p>
      <w:pPr>
        <w:pStyle w:val="BodyText"/>
        <w:spacing w:line="360" w:lineRule="auto"/>
      </w:pPr>
      <w:r>
        <w:rPr>
          <w:rFonts w:hint="eastAsia" w:ascii="宋体" w:hAnsi="宋体" w:eastAsia="宋体"/>
          <w:b/>
          <w:bCs/>
          <w:color w:val="000000"/>
          <w:sz w:val="24"/>
        </w:rPr>
        <w:t xml:space="preserve">步骤四：结果解释。</w:t>
      </w:r>
      <w:r>
        <w:rPr>
          <w:rFonts w:ascii="宋体" w:hAnsi="宋体" w:eastAsia="宋体"/>
          <w:color w:val="000000"/>
          <w:sz w:val="24"/>
        </w:rPr>
        <w:t xml:space="preserve"> </w:t>
      </w:r>
      <w:r>
        <w:rPr>
          <w:rFonts w:hint="eastAsia" w:ascii="宋体" w:hAnsi="宋体" w:eastAsia="宋体"/>
          <w:color w:val="000000"/>
          <w:sz w:val="24"/>
        </w:rPr>
        <w:t xml:space="preserve">分析简约解中的核心条件（在所有解中都出现的条件）和边缘条件（在部分解中出现的条件），解释各路径的理论含义。</w:t>
      </w:r>
    </w:p>
    <w:p>
      <w:pPr>
        <w:pStyle w:val="BodyText"/>
        <w:spacing w:line="360" w:lineRule="auto"/>
      </w:pPr>
      <w:r>
        <w:rPr>
          <w:rFonts w:hint="eastAsia" w:ascii="宋体" w:hAnsi="宋体" w:eastAsia="宋体"/>
          <w:color w:val="000000"/>
          <w:sz w:val="24"/>
        </w:rPr>
        <w:t xml:space="preserve">fsQCA方法的优势在于：能够揭示因素的组合效应和多重等效路径；能够处理小样本和中等样本；能够识别”必要条件”和”充分条件”。其局限在于：对校准锚点的设定敏感；结果解释存在一定的主观性；案例数量较少时结果的稳健性不足。本研究通过多种校准方案的比较分析和稳健性检验，确保结果的可靠性。</w:t>
      </w:r>
    </w:p>
    <w:bookmarkEnd w:id="156"/>
    <w:bookmarkEnd w:id="157"/>
    <w:bookmarkStart w:id="161" w:name="信度与效度检验"/>
    <w:p>
      <w:pPr>
        <w:pStyle w:val="Heading3"/>
        <w:spacing w:line="360" w:lineRule="auto"/>
      </w:pPr>
      <w:r>
        <w:rPr>
          <w:rFonts w:ascii="黑体" w:hAnsi="黑体" w:eastAsia="黑体"/>
          <w:b/>
          <w:color w:val="000000"/>
          <w:sz w:val="24"/>
        </w:rPr>
        <w:t xml:space="preserve">4.6 </w:t>
      </w:r>
      <w:r>
        <w:rPr>
          <w:rFonts w:hint="eastAsia" w:ascii="黑体" w:hAnsi="黑体" w:eastAsia="黑体"/>
          <w:b/>
          <w:color w:val="000000"/>
          <w:sz w:val="24"/>
        </w:rPr>
        <w:t xml:space="preserve">信度与效度检验</w:t>
      </w:r>
    </w:p>
    <w:bookmarkStart w:id="158" w:name="信度检验"/>
    <w:p>
      <w:pPr>
        <w:pStyle w:val="Heading4"/>
        <w:spacing w:line="360" w:lineRule="auto"/>
      </w:pPr>
      <w:r>
        <w:rPr>
          <w:rFonts w:ascii="宋体" w:hAnsi="宋体" w:eastAsia="宋体"/>
          <w:color w:val="000000"/>
          <w:sz w:val="24"/>
        </w:rPr>
        <w:t xml:space="preserve">4.6.1 </w:t>
      </w:r>
      <w:r>
        <w:rPr>
          <w:rFonts w:hint="eastAsia" w:ascii="宋体" w:hAnsi="宋体" w:eastAsia="宋体"/>
          <w:color w:val="000000"/>
          <w:sz w:val="24"/>
        </w:rPr>
        <w:t xml:space="preserve">信度检验</w:t>
      </w:r>
    </w:p>
    <w:p>
      <w:pPr>
        <w:pStyle w:val="FirstParagraph"/>
        <w:spacing w:line="360" w:lineRule="auto"/>
      </w:pPr>
      <w:r>
        <w:rPr>
          <w:rFonts w:hint="eastAsia" w:ascii="宋体" w:hAnsi="宋体" w:eastAsia="宋体"/>
          <w:color w:val="000000"/>
          <w:sz w:val="24"/>
        </w:rPr>
        <w:t xml:space="preserve">信度（Reliability）是指测量工具的稳定性和一致性，即多次测量结果的一致程度。本研究从以下方面检验信度。</w:t>
      </w:r>
    </w:p>
    <w:p>
      <w:pPr>
        <w:pStyle w:val="BodyText"/>
        <w:spacing w:line="360" w:lineRule="auto"/>
      </w:pPr>
      <w:r>
        <w:rPr>
          <w:rFonts w:hint="eastAsia" w:ascii="宋体" w:hAnsi="宋体" w:eastAsia="宋体"/>
          <w:b/>
          <w:bCs/>
          <w:color w:val="000000"/>
          <w:sz w:val="24"/>
        </w:rPr>
        <w:t xml:space="preserve">重测信度。</w:t>
      </w:r>
      <w:r>
        <w:rPr>
          <w:rFonts w:ascii="宋体" w:hAnsi="宋体" w:eastAsia="宋体"/>
          <w:color w:val="000000"/>
          <w:sz w:val="24"/>
        </w:rPr>
        <w:t xml:space="preserve"> </w:t>
      </w:r>
      <w:r>
        <w:rPr>
          <w:rFonts w:hint="eastAsia" w:ascii="宋体" w:hAnsi="宋体" w:eastAsia="宋体"/>
          <w:color w:val="000000"/>
          <w:sz w:val="24"/>
        </w:rPr>
        <w:t xml:space="preserve">对同一平台在不同时间点进行重复测量，检验测量结果的稳定性。本研究在2025年3月和4月对5个平台进行了两次测量，计算两次测量结果的相关系数。结果显示，两次测量的Pearson相关系数为0.94（p&lt;0.001），表明测量结果具有较高的稳定性。</w:t>
      </w:r>
    </w:p>
    <w:p>
      <w:pPr>
        <w:pStyle w:val="BodyText"/>
        <w:spacing w:line="360" w:lineRule="auto"/>
      </w:pPr>
      <w:r>
        <w:rPr>
          <w:rFonts w:hint="eastAsia" w:ascii="宋体" w:hAnsi="宋体" w:eastAsia="宋体"/>
          <w:b/>
          <w:bCs/>
          <w:color w:val="000000"/>
          <w:sz w:val="24"/>
        </w:rPr>
        <w:t xml:space="preserve">评分者信度。</w:t>
      </w:r>
      <w:r>
        <w:rPr>
          <w:rFonts w:ascii="宋体" w:hAnsi="宋体" w:eastAsia="宋体"/>
          <w:color w:val="000000"/>
          <w:sz w:val="24"/>
        </w:rPr>
        <w:t xml:space="preserve"> </w:t>
      </w:r>
      <w:r>
        <w:rPr>
          <w:rFonts w:hint="eastAsia" w:ascii="宋体" w:hAnsi="宋体" w:eastAsia="宋体"/>
          <w:color w:val="000000"/>
          <w:sz w:val="24"/>
        </w:rPr>
        <w:t xml:space="preserve">对于需要人工评分的指标（如数据质量、平台用户体验），检验不同评分者之间的一致性。本研究采用Cohen’s</w:t>
      </w:r>
      <w:r>
        <w:rPr>
          <w:rFonts w:ascii="宋体" w:hAnsi="宋体" w:eastAsia="宋体"/>
          <w:color w:val="000000"/>
          <w:sz w:val="24"/>
        </w:rPr>
        <w:t xml:space="preserve"> </w:t>
      </w:r>
      <w:r>
        <w:rPr>
          <w:rFonts w:hint="eastAsia" w:ascii="宋体" w:hAnsi="宋体" w:eastAsia="宋体"/>
          <w:color w:val="000000"/>
          <w:sz w:val="24"/>
        </w:rPr>
        <w:t xml:space="preserve">Kappa系数评估评分者信度，结果显示Kappa=0.82（p&lt;0.001），属于”几乎完全一致”水平。</w:t>
      </w:r>
    </w:p>
    <w:p>
      <w:pPr>
        <w:pStyle w:val="BodyText"/>
        <w:spacing w:line="360" w:lineRule="auto"/>
      </w:pPr>
      <w:r>
        <w:rPr>
          <w:rFonts w:hint="eastAsia" w:ascii="宋体" w:hAnsi="宋体" w:eastAsia="宋体"/>
          <w:b/>
          <w:bCs/>
          <w:color w:val="000000"/>
          <w:sz w:val="24"/>
        </w:rPr>
        <w:t xml:space="preserve">内部一致性。</w:t>
      </w:r>
      <w:r>
        <w:rPr>
          <w:rFonts w:ascii="宋体" w:hAnsi="宋体" w:eastAsia="宋体"/>
          <w:color w:val="000000"/>
          <w:sz w:val="24"/>
        </w:rPr>
        <w:t xml:space="preserve"> </w:t>
      </w:r>
      <w:r>
        <w:rPr>
          <w:rFonts w:hint="eastAsia" w:ascii="宋体" w:hAnsi="宋体" w:eastAsia="宋体"/>
          <w:color w:val="000000"/>
          <w:sz w:val="24"/>
        </w:rPr>
        <w:t xml:space="preserve">检验同一维度下各指标之间的相关性。本研究采用Cronbach’s</w:t>
      </w:r>
      <w:r>
        <w:rPr>
          <w:rFonts w:ascii="宋体" w:hAnsi="宋体" w:eastAsia="宋体"/>
          <w:color w:val="000000"/>
          <w:sz w:val="24"/>
        </w:rPr>
        <w:t xml:space="preserve"> </w:t>
      </w:r>
      <w:r>
        <w:rPr>
          <w:rFonts w:hint="eastAsia" w:ascii="宋体" w:hAnsi="宋体" w:eastAsia="宋体"/>
          <w:color w:val="000000"/>
          <w:sz w:val="24"/>
        </w:rPr>
        <w:t xml:space="preserve">α系数评估内部一致性，五个维度的α系数分别为：供给保障0.85、平台服务0.81、数据质量0.88、利用效果0.79、公平性0.76，均大于0.7的可接受标准。</w:t>
      </w:r>
    </w:p>
    <w:bookmarkEnd w:id="158"/>
    <w:bookmarkStart w:id="159" w:name="效度检验"/>
    <w:p>
      <w:pPr>
        <w:pStyle w:val="Heading4"/>
        <w:spacing w:line="360" w:lineRule="auto"/>
      </w:pPr>
      <w:r>
        <w:rPr>
          <w:rFonts w:ascii="宋体" w:hAnsi="宋体" w:eastAsia="宋体"/>
          <w:color w:val="000000"/>
          <w:sz w:val="24"/>
        </w:rPr>
        <w:t xml:space="preserve">4.6.2 </w:t>
      </w:r>
      <w:r>
        <w:rPr>
          <w:rFonts w:hint="eastAsia" w:ascii="宋体" w:hAnsi="宋体" w:eastAsia="宋体"/>
          <w:color w:val="000000"/>
          <w:sz w:val="24"/>
        </w:rPr>
        <w:t xml:space="preserve">效度检验</w:t>
      </w:r>
    </w:p>
    <w:p>
      <w:pPr>
        <w:pStyle w:val="FirstParagraph"/>
        <w:spacing w:line="360" w:lineRule="auto"/>
      </w:pPr>
      <w:r>
        <w:rPr>
          <w:rFonts w:hint="eastAsia" w:ascii="宋体" w:hAnsi="宋体" w:eastAsia="宋体"/>
          <w:color w:val="000000"/>
          <w:sz w:val="24"/>
        </w:rPr>
        <w:t xml:space="preserve">效度（Validity）是指测量工具测量其所声称要测量的概念的程度。本研究从以下方面检验效度。</w:t>
      </w:r>
    </w:p>
    <w:p>
      <w:pPr>
        <w:pStyle w:val="BodyText"/>
        <w:spacing w:line="360" w:lineRule="auto"/>
      </w:pPr>
      <w:r>
        <w:rPr>
          <w:rFonts w:hint="eastAsia" w:ascii="宋体" w:hAnsi="宋体" w:eastAsia="宋体"/>
          <w:b/>
          <w:bCs/>
          <w:color w:val="000000"/>
          <w:sz w:val="24"/>
        </w:rPr>
        <w:t xml:space="preserve">内容效度。</w:t>
      </w:r>
      <w:r>
        <w:rPr>
          <w:rFonts w:ascii="宋体" w:hAnsi="宋体" w:eastAsia="宋体"/>
          <w:color w:val="000000"/>
          <w:sz w:val="24"/>
        </w:rPr>
        <w:t xml:space="preserve"> </w:t>
      </w:r>
      <w:r>
        <w:rPr>
          <w:rFonts w:hint="eastAsia" w:ascii="宋体" w:hAnsi="宋体" w:eastAsia="宋体"/>
          <w:color w:val="000000"/>
          <w:sz w:val="24"/>
        </w:rPr>
        <w:t xml:space="preserve">评估指标体系是否全面覆盖了评估概念的各个方面。本研究通过文献综述和专家咨询，确保指标体系覆盖了政府数据开放平台绩效的主要维度。5位专家对指标体系的内容效度进行了评分，内容效度指数（CVI）为0.92，表明指标体系具有良好的内容效度。</w:t>
      </w:r>
    </w:p>
    <w:p>
      <w:pPr>
        <w:pStyle w:val="BodyText"/>
        <w:spacing w:line="360" w:lineRule="auto"/>
      </w:pPr>
      <w:r>
        <w:rPr>
          <w:rFonts w:hint="eastAsia" w:ascii="宋体" w:hAnsi="宋体" w:eastAsia="宋体"/>
          <w:b/>
          <w:bCs/>
          <w:color w:val="000000"/>
          <w:sz w:val="24"/>
        </w:rPr>
        <w:t xml:space="preserve">结构效度。</w:t>
      </w:r>
      <w:r>
        <w:rPr>
          <w:rFonts w:ascii="宋体" w:hAnsi="宋体" w:eastAsia="宋体"/>
          <w:color w:val="000000"/>
          <w:sz w:val="24"/>
        </w:rPr>
        <w:t xml:space="preserve"> </w:t>
      </w:r>
      <w:r>
        <w:rPr>
          <w:rFonts w:hint="eastAsia" w:ascii="宋体" w:hAnsi="宋体" w:eastAsia="宋体"/>
          <w:color w:val="000000"/>
          <w:sz w:val="24"/>
        </w:rPr>
        <w:t xml:space="preserve">评估测量结果是否符合理论预期的结构。本研究通过因子分析检验结构效度——如果因子分析提取的公因子与理论维度一致，则表明结构效度良好。因子分析结果显示，5个公因子的累计方差解释率为78.3%，且各指标在对应因子上的载荷均大于0.6，表明结构效度良好。</w:t>
      </w:r>
    </w:p>
    <w:p>
      <w:pPr>
        <w:pStyle w:val="BodyText"/>
        <w:spacing w:line="360" w:lineRule="auto"/>
      </w:pPr>
      <w:r>
        <w:rPr>
          <w:rFonts w:hint="eastAsia" w:ascii="宋体" w:hAnsi="宋体" w:eastAsia="宋体"/>
          <w:b/>
          <w:bCs/>
          <w:color w:val="000000"/>
          <w:sz w:val="24"/>
        </w:rPr>
        <w:t xml:space="preserve">效标效度。</w:t>
      </w:r>
      <w:r>
        <w:rPr>
          <w:rFonts w:ascii="宋体" w:hAnsi="宋体" w:eastAsia="宋体"/>
          <w:color w:val="000000"/>
          <w:sz w:val="24"/>
        </w:rPr>
        <w:t xml:space="preserve"> </w:t>
      </w:r>
      <w:r>
        <w:rPr>
          <w:rFonts w:hint="eastAsia" w:ascii="宋体" w:hAnsi="宋体" w:eastAsia="宋体"/>
          <w:color w:val="000000"/>
          <w:sz w:val="24"/>
        </w:rPr>
        <w:t xml:space="preserve">评估测量结果与外部效标的相关性。本研究以开放数林指数2024的评估结果为效标，计算本研究评估结果与开放数林指数得分的Spearman相关系数。结果显示ρ=0.67（p&lt;0.001），表明本研究的评估结果与权威评估工具具有中等偏高的相关性，效标效度可接受。</w:t>
      </w:r>
    </w:p>
    <w:bookmarkEnd w:id="159"/>
    <w:bookmarkStart w:id="160" w:name="研究伦理"/>
    <w:p>
      <w:pPr>
        <w:pStyle w:val="Heading4"/>
        <w:spacing w:line="360" w:lineRule="auto"/>
      </w:pPr>
      <w:r>
        <w:rPr>
          <w:rFonts w:ascii="宋体" w:hAnsi="宋体" w:eastAsia="宋体"/>
          <w:color w:val="000000"/>
          <w:sz w:val="24"/>
        </w:rPr>
        <w:t xml:space="preserve">4.6.3 </w:t>
      </w:r>
      <w:r>
        <w:rPr>
          <w:rFonts w:hint="eastAsia" w:ascii="宋体" w:hAnsi="宋体" w:eastAsia="宋体"/>
          <w:color w:val="000000"/>
          <w:sz w:val="24"/>
        </w:rPr>
        <w:t xml:space="preserve">研究伦理</w:t>
      </w:r>
    </w:p>
    <w:p>
      <w:pPr>
        <w:pStyle w:val="FirstParagraph"/>
        <w:spacing w:line="360" w:lineRule="auto"/>
      </w:pPr>
      <w:r>
        <w:rPr>
          <w:rFonts w:hint="eastAsia" w:ascii="宋体" w:hAnsi="宋体" w:eastAsia="宋体"/>
          <w:color w:val="000000"/>
          <w:sz w:val="24"/>
        </w:rPr>
        <w:t xml:space="preserve">本研究涉及的平台数据均为公开可获取的数据，不涉及个人隐私和商业机密。在数据采集过程中，本研究遵循以下伦理原则：第一，仅采集公开可获取的数据，不尝试访问受保护的数据资源；第二，不进行大规模自动化爬取，避免对平台服务器造成过大负载；第三，在研究成果中匿名化处理平台的具体运营数据，避免对特定平台造成负面影响；第四，在引用平台数据和案例时，注明数据来源和采集时间，确保数据的可追溯性。</w:t>
      </w:r>
    </w:p>
    <w:p>
      <w:pPr>
        <w:spacing w:line="360" w:lineRule="auto"/>
      </w:pPr>
      <w:r>
        <w:rPr>
          <w:rFonts w:ascii="宋体" w:hAnsi="宋体" w:eastAsia="宋体"/>
          <w:color w:val="000000"/>
          <w:sz w:val="24"/>
        </w:rPr>
        <w:pict>
          <v:rect style="width:0;height:1.5pt" o:hralign="center" o:hrstd="t" o:hr="t"/>
        </w:pict>
      </w:r>
    </w:p>
    <w:bookmarkEnd w:id="160"/>
    <w:bookmarkEnd w:id="161"/>
    <w:bookmarkEnd w:id="162"/>
    <w:bookmarkStart w:id="177" w:name="第5章-第五章-绩效评估"/>
    <w:p>
      <w:pPr>
        <w:pStyle w:val="Heading1"/>
        <w:spacing w:line="360" w:lineRule="auto"/>
        <w:jc w:val="center"/>
      </w:pPr>
      <w:r>
        <w:rPr>
          <w:rFonts w:hint="eastAsia" w:ascii="黑体" w:hAnsi="黑体" w:eastAsia="黑体"/>
          <w:b/>
          <w:color w:val="000000"/>
          <w:sz w:val="32"/>
        </w:rPr>
        <w:t xml:space="preserve">第5章</w:t>
      </w:r>
      <w:r>
        <w:rPr>
          <w:rFonts w:ascii="黑体" w:hAnsi="黑体" w:eastAsia="黑体"/>
          <w:b/>
          <w:color w:val="000000"/>
          <w:sz w:val="32"/>
        </w:rPr>
        <w:t xml:space="preserve"> </w:t>
      </w:r>
      <w:r>
        <w:rPr>
          <w:rFonts w:hint="eastAsia" w:ascii="黑体" w:hAnsi="黑体" w:eastAsia="黑体"/>
          <w:b/>
          <w:color w:val="000000"/>
          <w:sz w:val="32"/>
        </w:rPr>
        <w:t xml:space="preserve">第五章</w:t>
      </w:r>
      <w:r>
        <w:rPr>
          <w:rFonts w:ascii="黑体" w:hAnsi="黑体" w:eastAsia="黑体"/>
          <w:b/>
          <w:color w:val="000000"/>
          <w:sz w:val="32"/>
        </w:rPr>
        <w:t xml:space="preserve"> </w:t>
      </w:r>
      <w:r>
        <w:rPr>
          <w:rFonts w:hint="eastAsia" w:ascii="黑体" w:hAnsi="黑体" w:eastAsia="黑体"/>
          <w:b/>
          <w:color w:val="000000"/>
          <w:sz w:val="32"/>
        </w:rPr>
        <w:t xml:space="preserve">绩效评估</w:t>
      </w:r>
    </w:p>
    <w:bookmarkStart w:id="165" w:name="数据来源与样本描述"/>
    <w:p>
      <w:pPr>
        <w:pStyle w:val="Heading3"/>
        <w:spacing w:line="360" w:lineRule="auto"/>
      </w:pPr>
      <w:r>
        <w:rPr>
          <w:rFonts w:ascii="黑体" w:hAnsi="黑体" w:eastAsia="黑体"/>
          <w:b/>
          <w:color w:val="000000"/>
          <w:sz w:val="24"/>
        </w:rPr>
        <w:t xml:space="preserve">5.1 </w:t>
      </w:r>
      <w:r>
        <w:rPr>
          <w:rFonts w:hint="eastAsia" w:ascii="黑体" w:hAnsi="黑体" w:eastAsia="黑体"/>
          <w:b/>
          <w:color w:val="000000"/>
          <w:sz w:val="24"/>
        </w:rPr>
        <w:t xml:space="preserve">数据来源与样本描述</w:t>
      </w:r>
    </w:p>
    <w:bookmarkStart w:id="163" w:name="样本平台基本特征"/>
    <w:p>
      <w:pPr>
        <w:pStyle w:val="Heading4"/>
        <w:spacing w:line="360" w:lineRule="auto"/>
      </w:pPr>
      <w:r>
        <w:rPr>
          <w:rFonts w:ascii="宋体" w:hAnsi="宋体" w:eastAsia="宋体"/>
          <w:color w:val="000000"/>
          <w:sz w:val="24"/>
        </w:rPr>
        <w:t xml:space="preserve">5.1.1 </w:t>
      </w:r>
      <w:r>
        <w:rPr>
          <w:rFonts w:hint="eastAsia" w:ascii="宋体" w:hAnsi="宋体" w:eastAsia="宋体"/>
          <w:color w:val="000000"/>
          <w:sz w:val="24"/>
        </w:rPr>
        <w:t xml:space="preserve">样本平台基本特征</w:t>
      </w:r>
    </w:p>
    <w:p>
      <w:pPr>
        <w:pStyle w:val="FirstParagraph"/>
        <w:spacing w:line="360" w:lineRule="auto"/>
      </w:pPr>
      <w:r>
        <w:rPr>
          <w:rFonts w:hint="eastAsia" w:ascii="宋体" w:hAnsi="宋体" w:eastAsia="宋体"/>
          <w:color w:val="000000"/>
          <w:sz w:val="24"/>
        </w:rPr>
        <w:t xml:space="preserve">本研究以全国28个建有独立政府数据开放平台的省级行政区为研究对象。数据采集时间为2025年3月，通过自动化采集系统和人工核验相结合的方式，获取了各平台的多维数据。经数据质量检验，22个平台的数据满足定量评估要求，被纳入核心分析样本；6个平台因数据缺失严重，仅作参考。</w:t>
      </w:r>
    </w:p>
    <w:p>
      <w:pPr>
        <w:pStyle w:val="BodyText"/>
        <w:spacing w:line="360" w:lineRule="auto"/>
      </w:pPr>
      <w:r>
        <w:rPr>
          <w:rFonts w:hint="eastAsia" w:ascii="宋体" w:hAnsi="宋体" w:eastAsia="宋体"/>
          <w:color w:val="000000"/>
          <w:sz w:val="24"/>
        </w:rPr>
        <w:t xml:space="preserve">22个样本平台的上线时间跨度为2017年至2023年。从上线时间分布看，2017-2018年上线的平台有5个（贵州、上海、北京、广东、浙江），2019-2021年上线的平台有10个（山东、四川、福建、湖北、河南、江西、湖南、广西、海南、安徽），2022-2023年上线的平台有7个（江苏、辽宁、河北、云南、黑龙江、山西、新疆）。上线时间的差异意味着平台运营经验的差异——早期上线的平台拥有更长的运营历史和更丰富的数据积累，但也可能面临技术架构老化的问题；后期上线的平台虽然运营经验不足，但通常采用更先进的技术架构。</w:t>
      </w:r>
    </w:p>
    <w:p>
      <w:pPr>
        <w:pStyle w:val="BodyText"/>
        <w:spacing w:line="360" w:lineRule="auto"/>
      </w:pPr>
      <w:r>
        <w:rPr>
          <w:rFonts w:hint="eastAsia" w:ascii="宋体" w:hAnsi="宋体" w:eastAsia="宋体"/>
          <w:color w:val="000000"/>
          <w:sz w:val="24"/>
        </w:rPr>
        <w:t xml:space="preserve">从平台类型看，22个样本平台中，综合性平台（同时提供数据开放和政务服务功能）有8个，专业化数据平台（专注于数据开放服务）有10个，政务服务平台内设数据开放板块的有4个。平台类型的差异反映了各地对数据开放功能定位的差异——将数据开放作为独立业务运营的省份，通常对数据开放的重视程度更高、投入资源更多；将数据开放作为政务服务附属功能的省份，数据开放的深度和广度可能受到限制。</w:t>
      </w:r>
    </w:p>
    <w:bookmarkEnd w:id="163"/>
    <w:bookmarkStart w:id="164" w:name="数据描述性统计"/>
    <w:p>
      <w:pPr>
        <w:pStyle w:val="Heading4"/>
        <w:spacing w:line="360" w:lineRule="auto"/>
      </w:pPr>
      <w:r>
        <w:rPr>
          <w:rFonts w:ascii="宋体" w:hAnsi="宋体" w:eastAsia="宋体"/>
          <w:color w:val="000000"/>
          <w:sz w:val="24"/>
        </w:rPr>
        <w:t xml:space="preserve">5.1.2 </w:t>
      </w:r>
      <w:r>
        <w:rPr>
          <w:rFonts w:hint="eastAsia" w:ascii="宋体" w:hAnsi="宋体" w:eastAsia="宋体"/>
          <w:color w:val="000000"/>
          <w:sz w:val="24"/>
        </w:rPr>
        <w:t xml:space="preserve">数据描述性统计</w:t>
      </w:r>
    </w:p>
    <w:p>
      <w:pPr>
        <w:pStyle w:val="FirstParagraph"/>
        <w:spacing w:line="360" w:lineRule="auto"/>
      </w:pPr>
      <w:r>
        <w:rPr>
          <w:rFonts w:hint="eastAsia" w:ascii="宋体" w:hAnsi="宋体" w:eastAsia="宋体"/>
          <w:color w:val="000000"/>
          <w:sz w:val="24"/>
        </w:rPr>
        <w:t xml:space="preserve">本研究对22个样本平台的24个评估指标进行了描述性统计分析。在供给保障维度，数据集数量的均值为3856个，中位数为1520个，标准差为4892，表明平台间的数据集数量差异极大——最多的平台（北京）超过1.8万个，最少的平台（新疆）不足100个。主题覆盖度的均值为11.2个领域，中位数为12个，表明大多数平台覆盖了10个以上的数据主题领域。更新频率的均值为4.2个月，中位数为3个月，表明平台的平均更新周期约为一个季度。</w:t>
      </w:r>
    </w:p>
    <w:p>
      <w:pPr>
        <w:pStyle w:val="BodyText"/>
        <w:spacing w:line="360" w:lineRule="auto"/>
      </w:pPr>
      <w:r>
        <w:rPr>
          <w:rFonts w:hint="eastAsia" w:ascii="宋体" w:hAnsi="宋体" w:eastAsia="宋体"/>
          <w:color w:val="000000"/>
          <w:sz w:val="24"/>
        </w:rPr>
        <w:t xml:space="preserve">在平台服务维度，API开放度的均值为0.42（满分1.0），中位数为0.35，表明超过半数的平台API开放度低于平均水平。检索功能完备性的均值为0.68，数据预览功能均值为0.55，用户反馈机制均值为0.48，表明平台在基础功能方面表现尚可，但在高级功能和用户互动方面仍有较大提升空间。</w:t>
      </w:r>
    </w:p>
    <w:p>
      <w:pPr>
        <w:pStyle w:val="BodyText"/>
        <w:spacing w:line="360" w:lineRule="auto"/>
      </w:pPr>
      <w:r>
        <w:rPr>
          <w:rFonts w:hint="eastAsia" w:ascii="宋体" w:hAnsi="宋体" w:eastAsia="宋体"/>
          <w:color w:val="000000"/>
          <w:sz w:val="24"/>
        </w:rPr>
        <w:t xml:space="preserve">在数据质量维度，通过抽样检查发现，数据准确性的均值为94.2%（即平均错误率约为5.8%），数据完整性的均值为87.6%，数据及时性的均值为4.2个月，机器可读性的均值为72.3%。这些结果表明，样本平台的数据质量总体上处于”中等偏上”水平，但距离”优质”标准仍有差距。</w:t>
      </w:r>
    </w:p>
    <w:p>
      <w:pPr>
        <w:pStyle w:val="BodyText"/>
        <w:spacing w:line="360" w:lineRule="auto"/>
      </w:pPr>
      <w:r>
        <w:rPr>
          <w:rFonts w:hint="eastAsia" w:ascii="宋体" w:hAnsi="宋体" w:eastAsia="宋体"/>
          <w:color w:val="000000"/>
          <w:sz w:val="24"/>
        </w:rPr>
        <w:t xml:space="preserve">在利用效果维度，数据集下载量的均值为12.5万次/年，API调用量的均值为856次/月，应用成果数量的均值为38个，创新活动数量的均值为2.1次/年。利用效果指标的离散程度显著高于供给保障指标——部分平台（如浙江、广东）的应用成果超过200个，而部分平台（如新疆、黑龙江）的应用成果不足5个。</w:t>
      </w:r>
    </w:p>
    <w:bookmarkEnd w:id="164"/>
    <w:bookmarkEnd w:id="165"/>
    <w:bookmarkStart w:id="169" w:name="绩效评估结果"/>
    <w:p>
      <w:pPr>
        <w:pStyle w:val="Heading3"/>
        <w:spacing w:line="360" w:lineRule="auto"/>
      </w:pPr>
      <w:r>
        <w:rPr>
          <w:rFonts w:ascii="黑体" w:hAnsi="黑体" w:eastAsia="黑体"/>
          <w:b/>
          <w:color w:val="000000"/>
          <w:sz w:val="24"/>
        </w:rPr>
        <w:t xml:space="preserve">5.2 </w:t>
      </w:r>
      <w:r>
        <w:rPr>
          <w:rFonts w:hint="eastAsia" w:ascii="黑体" w:hAnsi="黑体" w:eastAsia="黑体"/>
          <w:b/>
          <w:color w:val="000000"/>
          <w:sz w:val="24"/>
        </w:rPr>
        <w:t xml:space="preserve">绩效评估结果</w:t>
      </w:r>
    </w:p>
    <w:bookmarkStart w:id="166" w:name="topsis综合绩效评估"/>
    <w:p>
      <w:pPr>
        <w:pStyle w:val="Heading4"/>
        <w:spacing w:line="360" w:lineRule="auto"/>
      </w:pPr>
      <w:r>
        <w:rPr>
          <w:rFonts w:ascii="宋体" w:hAnsi="宋体" w:eastAsia="宋体"/>
          <w:color w:val="000000"/>
          <w:sz w:val="24"/>
        </w:rPr>
        <w:t xml:space="preserve">5.2.1 </w:t>
      </w:r>
      <w:r>
        <w:rPr>
          <w:rFonts w:hint="eastAsia" w:ascii="宋体" w:hAnsi="宋体" w:eastAsia="宋体"/>
          <w:color w:val="000000"/>
          <w:sz w:val="24"/>
        </w:rPr>
        <w:t xml:space="preserve">TOPSIS综合绩效评估</w:t>
      </w:r>
    </w:p>
    <w:p>
      <w:pPr>
        <w:pStyle w:val="FirstParagraph"/>
        <w:spacing w:line="360" w:lineRule="auto"/>
      </w:pPr>
      <w:r>
        <w:rPr>
          <w:rFonts w:hint="eastAsia" w:ascii="宋体" w:hAnsi="宋体" w:eastAsia="宋体"/>
          <w:color w:val="000000"/>
          <w:sz w:val="24"/>
        </w:rPr>
        <w:t xml:space="preserve">运用熵权-TOPSIS方法对22个样本平台进行综合绩效评估，结果如表5-1所示。</w:t>
      </w:r>
    </w:p>
    <w:p>
      <w:pPr>
        <w:pStyle w:val="BodyText"/>
        <w:spacing w:line="360" w:lineRule="auto"/>
      </w:pPr>
      <w:r>
        <w:rPr>
          <w:rFonts w:hint="eastAsia" w:ascii="宋体" w:hAnsi="宋体" w:eastAsia="宋体"/>
          <w:b/>
          <w:bCs/>
          <w:color w:val="000000"/>
          <w:sz w:val="24"/>
        </w:rPr>
        <w:t xml:space="preserve">表5-1</w:t>
      </w:r>
      <w:r>
        <w:rPr>
          <w:rFonts w:ascii="宋体" w:hAnsi="宋体" w:eastAsia="宋体"/>
          <w:b/>
          <w:bCs/>
          <w:color w:val="000000"/>
          <w:sz w:val="24"/>
        </w:rPr>
        <w:t xml:space="preserve"> </w:t>
      </w:r>
      <w:r>
        <w:rPr>
          <w:rFonts w:hint="eastAsia" w:ascii="宋体" w:hAnsi="宋体" w:eastAsia="宋体"/>
          <w:b/>
          <w:bCs/>
          <w:color w:val="000000"/>
          <w:sz w:val="24"/>
        </w:rPr>
        <w:t xml:space="preserve">22个样本平台TOPSIS绩效评估结果</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rPr>
              <w:t xml:space="preserve">排名</w:t>
            </w:r>
          </w:p>
        </w:tc>
        <w:tc>
          <w:tcPr/>
          <w:p>
            <w:pPr>
              <w:pStyle w:val="Compact"/>
              <w:jc w:val="left"/>
            </w:pPr>
            <w:r>
              <w:rPr>
                <w:rFonts w:hint="eastAsia"/>
              </w:rPr>
              <w:t xml:space="preserve">省份</w:t>
            </w:r>
          </w:p>
        </w:tc>
        <w:tc>
          <w:tcPr/>
          <w:p>
            <w:pPr>
              <w:pStyle w:val="Compact"/>
              <w:jc w:val="center"/>
            </w:pPr>
            <w:r>
              <w:rPr>
                <w:rFonts w:hint="eastAsia"/>
              </w:rPr>
              <w:t xml:space="preserve">TOPSIS得分</w:t>
            </w:r>
          </w:p>
        </w:tc>
        <w:tc>
          <w:tcPr/>
          <w:p>
            <w:pPr>
              <w:pStyle w:val="Compact"/>
              <w:jc w:val="left"/>
            </w:pPr>
            <w:r>
              <w:rPr>
                <w:rFonts w:hint="eastAsia"/>
              </w:rPr>
              <w:t xml:space="preserve">绩效梯队</w:t>
            </w:r>
          </w:p>
        </w:tc>
        <w:tc>
          <w:tcPr/>
          <w:p>
            <w:pPr>
              <w:pStyle w:val="Compact"/>
              <w:jc w:val="left"/>
            </w:pPr>
            <w:r>
              <w:rPr>
                <w:rFonts w:hint="eastAsia"/>
              </w:rPr>
              <w:t xml:space="preserve">优势维度</w:t>
            </w:r>
          </w:p>
        </w:tc>
        <w:tc>
          <w:tcPr/>
          <w:p>
            <w:pPr>
              <w:pStyle w:val="Compact"/>
              <w:jc w:val="left"/>
            </w:pPr>
            <w:r>
              <w:rPr>
                <w:rFonts w:hint="eastAsia"/>
              </w:rPr>
              <w:t xml:space="preserve">短板维度</w:t>
            </w:r>
          </w:p>
        </w:tc>
      </w:tr>
      <w:tr>
        <w:tc>
          <w:tcPr/>
          <w:p>
            <w:pPr>
              <w:pStyle w:val="Compact"/>
              <w:jc w:val="center"/>
            </w:pPr>
            <w:r>
              <w:t xml:space="preserve">1</w:t>
            </w:r>
          </w:p>
        </w:tc>
        <w:tc>
          <w:tcPr/>
          <w:p>
            <w:pPr>
              <w:pStyle w:val="Compact"/>
              <w:jc w:val="left"/>
            </w:pPr>
            <w:r>
              <w:rPr>
                <w:rFonts w:hint="eastAsia"/>
              </w:rPr>
              <w:t xml:space="preserve">广东</w:t>
            </w:r>
          </w:p>
        </w:tc>
        <w:tc>
          <w:tcPr/>
          <w:p>
            <w:pPr>
              <w:pStyle w:val="Compact"/>
              <w:jc w:val="center"/>
            </w:pPr>
            <w:r>
              <w:t xml:space="preserve">0.791</w:t>
            </w:r>
          </w:p>
        </w:tc>
        <w:tc>
          <w:tcPr/>
          <w:p>
            <w:pPr>
              <w:pStyle w:val="Compact"/>
              <w:jc w:val="left"/>
            </w:pPr>
            <w:r>
              <w:rPr>
                <w:rFonts w:hint="eastAsia"/>
              </w:rPr>
              <w:t xml:space="preserve">第一梯队</w:t>
            </w:r>
          </w:p>
        </w:tc>
        <w:tc>
          <w:tcPr/>
          <w:p>
            <w:pPr>
              <w:pStyle w:val="Compact"/>
              <w:jc w:val="left"/>
            </w:pPr>
            <w:r>
              <w:rPr>
                <w:rFonts w:hint="eastAsia"/>
              </w:rPr>
              <w:t xml:space="preserve">利用效果、平台服务</w:t>
            </w:r>
          </w:p>
        </w:tc>
        <w:tc>
          <w:tcPr/>
          <w:p>
            <w:pPr>
              <w:pStyle w:val="Compact"/>
              <w:jc w:val="left"/>
            </w:pPr>
            <w:r>
              <w:rPr>
                <w:rFonts w:hint="eastAsia"/>
              </w:rPr>
              <w:t xml:space="preserve">公平性</w:t>
            </w:r>
          </w:p>
        </w:tc>
      </w:tr>
      <w:tr>
        <w:tc>
          <w:tcPr/>
          <w:p>
            <w:pPr>
              <w:pStyle w:val="Compact"/>
              <w:jc w:val="center"/>
            </w:pPr>
            <w:r>
              <w:t xml:space="preserve">2</w:t>
            </w:r>
          </w:p>
        </w:tc>
        <w:tc>
          <w:tcPr/>
          <w:p>
            <w:pPr>
              <w:pStyle w:val="Compact"/>
              <w:jc w:val="left"/>
            </w:pPr>
            <w:r>
              <w:rPr>
                <w:rFonts w:hint="eastAsia"/>
              </w:rPr>
              <w:t xml:space="preserve">浙江</w:t>
            </w:r>
          </w:p>
        </w:tc>
        <w:tc>
          <w:tcPr/>
          <w:p>
            <w:pPr>
              <w:pStyle w:val="Compact"/>
              <w:jc w:val="center"/>
            </w:pPr>
            <w:r>
              <w:t xml:space="preserve">0.782</w:t>
            </w:r>
          </w:p>
        </w:tc>
        <w:tc>
          <w:tcPr/>
          <w:p>
            <w:pPr>
              <w:pStyle w:val="Compact"/>
              <w:jc w:val="left"/>
            </w:pPr>
            <w:r>
              <w:rPr>
                <w:rFonts w:hint="eastAsia"/>
              </w:rPr>
              <w:t xml:space="preserve">第一梯队</w:t>
            </w:r>
          </w:p>
        </w:tc>
        <w:tc>
          <w:tcPr/>
          <w:p>
            <w:pPr>
              <w:pStyle w:val="Compact"/>
              <w:jc w:val="left"/>
            </w:pPr>
            <w:r>
              <w:rPr>
                <w:rFonts w:hint="eastAsia"/>
              </w:rPr>
              <w:t xml:space="preserve">供给保障、利用效果</w:t>
            </w:r>
          </w:p>
        </w:tc>
        <w:tc>
          <w:tcPr/>
          <w:p>
            <w:pPr>
              <w:pStyle w:val="Compact"/>
              <w:jc w:val="left"/>
            </w:pPr>
            <w:r>
              <w:rPr>
                <w:rFonts w:hint="eastAsia"/>
              </w:rPr>
              <w:t xml:space="preserve">公平性</w:t>
            </w:r>
          </w:p>
        </w:tc>
      </w:tr>
      <w:tr>
        <w:tc>
          <w:tcPr/>
          <w:p>
            <w:pPr>
              <w:pStyle w:val="Compact"/>
              <w:jc w:val="center"/>
            </w:pPr>
            <w:r>
              <w:t xml:space="preserve">3</w:t>
            </w:r>
          </w:p>
        </w:tc>
        <w:tc>
          <w:tcPr/>
          <w:p>
            <w:pPr>
              <w:pStyle w:val="Compact"/>
              <w:jc w:val="left"/>
            </w:pPr>
            <w:r>
              <w:rPr>
                <w:rFonts w:hint="eastAsia"/>
              </w:rPr>
              <w:t xml:space="preserve">山东</w:t>
            </w:r>
          </w:p>
        </w:tc>
        <w:tc>
          <w:tcPr/>
          <w:p>
            <w:pPr>
              <w:pStyle w:val="Compact"/>
              <w:jc w:val="center"/>
            </w:pPr>
            <w:r>
              <w:t xml:space="preserve">0.741</w:t>
            </w:r>
          </w:p>
        </w:tc>
        <w:tc>
          <w:tcPr/>
          <w:p>
            <w:pPr>
              <w:pStyle w:val="Compact"/>
              <w:jc w:val="left"/>
            </w:pPr>
            <w:r>
              <w:rPr>
                <w:rFonts w:hint="eastAsia"/>
              </w:rPr>
              <w:t xml:space="preserve">第一梯队</w:t>
            </w:r>
          </w:p>
        </w:tc>
        <w:tc>
          <w:tcPr/>
          <w:p>
            <w:pPr>
              <w:pStyle w:val="Compact"/>
              <w:jc w:val="left"/>
            </w:pPr>
            <w:r>
              <w:rPr>
                <w:rFonts w:hint="eastAsia"/>
              </w:rPr>
              <w:t xml:space="preserve">供给保障</w:t>
            </w:r>
          </w:p>
        </w:tc>
        <w:tc>
          <w:tcPr/>
          <w:p>
            <w:pPr>
              <w:pStyle w:val="Compact"/>
              <w:jc w:val="left"/>
            </w:pPr>
            <w:r>
              <w:rPr>
                <w:rFonts w:hint="eastAsia"/>
              </w:rPr>
              <w:t xml:space="preserve">平台服务</w:t>
            </w:r>
          </w:p>
        </w:tc>
      </w:tr>
      <w:tr>
        <w:tc>
          <w:tcPr/>
          <w:p>
            <w:pPr>
              <w:pStyle w:val="Compact"/>
              <w:jc w:val="center"/>
            </w:pPr>
            <w:r>
              <w:t xml:space="preserve">4</w:t>
            </w:r>
          </w:p>
        </w:tc>
        <w:tc>
          <w:tcPr/>
          <w:p>
            <w:pPr>
              <w:pStyle w:val="Compact"/>
              <w:jc w:val="left"/>
            </w:pPr>
            <w:r>
              <w:rPr>
                <w:rFonts w:hint="eastAsia"/>
              </w:rPr>
              <w:t xml:space="preserve">贵州</w:t>
            </w:r>
          </w:p>
        </w:tc>
        <w:tc>
          <w:tcPr/>
          <w:p>
            <w:pPr>
              <w:pStyle w:val="Compact"/>
              <w:jc w:val="center"/>
            </w:pPr>
            <w:r>
              <w:t xml:space="preserve">0.608</w:t>
            </w:r>
          </w:p>
        </w:tc>
        <w:tc>
          <w:tcPr/>
          <w:p>
            <w:pPr>
              <w:pStyle w:val="Compact"/>
              <w:jc w:val="left"/>
            </w:pPr>
            <w:r>
              <w:rPr>
                <w:rFonts w:hint="eastAsia"/>
              </w:rPr>
              <w:t xml:space="preserve">第二梯队</w:t>
            </w:r>
          </w:p>
        </w:tc>
        <w:tc>
          <w:tcPr/>
          <w:p>
            <w:pPr>
              <w:pStyle w:val="Compact"/>
              <w:jc w:val="left"/>
            </w:pPr>
            <w:r>
              <w:rPr>
                <w:rFonts w:hint="eastAsia"/>
              </w:rPr>
              <w:t xml:space="preserve">平台服务</w:t>
            </w:r>
          </w:p>
        </w:tc>
        <w:tc>
          <w:tcPr/>
          <w:p>
            <w:pPr>
              <w:pStyle w:val="Compact"/>
              <w:jc w:val="left"/>
            </w:pPr>
            <w:r>
              <w:rPr>
                <w:rFonts w:hint="eastAsia"/>
              </w:rPr>
              <w:t xml:space="preserve">数据质量</w:t>
            </w:r>
          </w:p>
        </w:tc>
      </w:tr>
      <w:tr>
        <w:tc>
          <w:tcPr/>
          <w:p>
            <w:pPr>
              <w:pStyle w:val="Compact"/>
              <w:jc w:val="center"/>
            </w:pPr>
            <w:r>
              <w:t xml:space="preserve">5</w:t>
            </w:r>
          </w:p>
        </w:tc>
        <w:tc>
          <w:tcPr/>
          <w:p>
            <w:pPr>
              <w:pStyle w:val="Compact"/>
              <w:jc w:val="left"/>
            </w:pPr>
            <w:r>
              <w:rPr>
                <w:rFonts w:hint="eastAsia"/>
              </w:rPr>
              <w:t xml:space="preserve">四川</w:t>
            </w:r>
          </w:p>
        </w:tc>
        <w:tc>
          <w:tcPr/>
          <w:p>
            <w:pPr>
              <w:pStyle w:val="Compact"/>
              <w:jc w:val="center"/>
            </w:pPr>
            <w:r>
              <w:t xml:space="preserve">0.555</w:t>
            </w:r>
          </w:p>
        </w:tc>
        <w:tc>
          <w:tcPr/>
          <w:p>
            <w:pPr>
              <w:pStyle w:val="Compact"/>
              <w:jc w:val="left"/>
            </w:pPr>
            <w:r>
              <w:rPr>
                <w:rFonts w:hint="eastAsia"/>
              </w:rPr>
              <w:t xml:space="preserve">第二梯队</w:t>
            </w:r>
          </w:p>
        </w:tc>
        <w:tc>
          <w:tcPr/>
          <w:p>
            <w:pPr>
              <w:pStyle w:val="Compact"/>
              <w:jc w:val="left"/>
            </w:pPr>
            <w:r>
              <w:rPr>
                <w:rFonts w:hint="eastAsia"/>
              </w:rPr>
              <w:t xml:space="preserve">供给保障</w:t>
            </w:r>
          </w:p>
        </w:tc>
        <w:tc>
          <w:tcPr/>
          <w:p>
            <w:pPr>
              <w:pStyle w:val="Compact"/>
              <w:jc w:val="left"/>
            </w:pPr>
            <w:r>
              <w:rPr>
                <w:rFonts w:hint="eastAsia"/>
              </w:rPr>
              <w:t xml:space="preserve">利用效果</w:t>
            </w:r>
          </w:p>
        </w:tc>
      </w:tr>
      <w:tr>
        <w:tc>
          <w:tcPr/>
          <w:p>
            <w:pPr>
              <w:pStyle w:val="Compact"/>
              <w:jc w:val="center"/>
            </w:pPr>
            <w:r>
              <w:t xml:space="preserve">6</w:t>
            </w:r>
          </w:p>
        </w:tc>
        <w:tc>
          <w:tcPr/>
          <w:p>
            <w:pPr>
              <w:pStyle w:val="Compact"/>
              <w:jc w:val="left"/>
            </w:pPr>
            <w:r>
              <w:rPr>
                <w:rFonts w:hint="eastAsia"/>
              </w:rPr>
              <w:t xml:space="preserve">北京</w:t>
            </w:r>
          </w:p>
        </w:tc>
        <w:tc>
          <w:tcPr/>
          <w:p>
            <w:pPr>
              <w:pStyle w:val="Compact"/>
              <w:jc w:val="center"/>
            </w:pPr>
            <w:r>
              <w:t xml:space="preserve">0.522</w:t>
            </w:r>
          </w:p>
        </w:tc>
        <w:tc>
          <w:tcPr/>
          <w:p>
            <w:pPr>
              <w:pStyle w:val="Compact"/>
              <w:jc w:val="left"/>
            </w:pPr>
            <w:r>
              <w:rPr>
                <w:rFonts w:hint="eastAsia"/>
              </w:rPr>
              <w:t xml:space="preserve">第二梯队</w:t>
            </w:r>
          </w:p>
        </w:tc>
        <w:tc>
          <w:tcPr/>
          <w:p>
            <w:pPr>
              <w:pStyle w:val="Compact"/>
              <w:jc w:val="left"/>
            </w:pPr>
            <w:r>
              <w:rPr>
                <w:rFonts w:hint="eastAsia"/>
              </w:rPr>
              <w:t xml:space="preserve">数据质量、平台服务</w:t>
            </w:r>
          </w:p>
        </w:tc>
        <w:tc>
          <w:tcPr/>
          <w:p>
            <w:pPr>
              <w:pStyle w:val="Compact"/>
              <w:jc w:val="left"/>
            </w:pPr>
            <w:r>
              <w:rPr>
                <w:rFonts w:hint="eastAsia"/>
              </w:rPr>
              <w:t xml:space="preserve">公平性</w:t>
            </w:r>
          </w:p>
        </w:tc>
      </w:tr>
      <w:tr>
        <w:tc>
          <w:tcPr/>
          <w:p>
            <w:pPr>
              <w:pStyle w:val="Compact"/>
              <w:jc w:val="center"/>
            </w:pPr>
            <w:r>
              <w:t xml:space="preserve">7</w:t>
            </w:r>
          </w:p>
        </w:tc>
        <w:tc>
          <w:tcPr/>
          <w:p>
            <w:pPr>
              <w:pStyle w:val="Compact"/>
              <w:jc w:val="left"/>
            </w:pPr>
            <w:r>
              <w:rPr>
                <w:rFonts w:hint="eastAsia"/>
              </w:rPr>
              <w:t xml:space="preserve">上海</w:t>
            </w:r>
          </w:p>
        </w:tc>
        <w:tc>
          <w:tcPr/>
          <w:p>
            <w:pPr>
              <w:pStyle w:val="Compact"/>
              <w:jc w:val="center"/>
            </w:pPr>
            <w:r>
              <w:t xml:space="preserve">0.519</w:t>
            </w:r>
          </w:p>
        </w:tc>
        <w:tc>
          <w:tcPr/>
          <w:p>
            <w:pPr>
              <w:pStyle w:val="Compact"/>
              <w:jc w:val="left"/>
            </w:pPr>
            <w:r>
              <w:rPr>
                <w:rFonts w:hint="eastAsia"/>
              </w:rPr>
              <w:t xml:space="preserve">第二梯队</w:t>
            </w:r>
          </w:p>
        </w:tc>
        <w:tc>
          <w:tcPr/>
          <w:p>
            <w:pPr>
              <w:pStyle w:val="Compact"/>
              <w:jc w:val="left"/>
            </w:pPr>
            <w:r>
              <w:rPr>
                <w:rFonts w:hint="eastAsia"/>
              </w:rPr>
              <w:t xml:space="preserve">平台服务、数据质量</w:t>
            </w:r>
          </w:p>
        </w:tc>
        <w:tc>
          <w:tcPr/>
          <w:p>
            <w:pPr>
              <w:pStyle w:val="Compact"/>
              <w:jc w:val="left"/>
            </w:pPr>
            <w:r>
              <w:rPr>
                <w:rFonts w:hint="eastAsia"/>
              </w:rPr>
              <w:t xml:space="preserve">公平性</w:t>
            </w:r>
          </w:p>
        </w:tc>
      </w:tr>
      <w:tr>
        <w:tc>
          <w:tcPr/>
          <w:p>
            <w:pPr>
              <w:pStyle w:val="Compact"/>
              <w:jc w:val="center"/>
            </w:pPr>
            <w:r>
              <w:t xml:space="preserve">8</w:t>
            </w:r>
          </w:p>
        </w:tc>
        <w:tc>
          <w:tcPr/>
          <w:p>
            <w:pPr>
              <w:pStyle w:val="Compact"/>
              <w:jc w:val="left"/>
            </w:pPr>
            <w:r>
              <w:rPr>
                <w:rFonts w:hint="eastAsia"/>
              </w:rPr>
              <w:t xml:space="preserve">福建</w:t>
            </w:r>
          </w:p>
        </w:tc>
        <w:tc>
          <w:tcPr/>
          <w:p>
            <w:pPr>
              <w:pStyle w:val="Compact"/>
              <w:jc w:val="center"/>
            </w:pPr>
            <w:r>
              <w:t xml:space="preserve">0.484</w:t>
            </w:r>
          </w:p>
        </w:tc>
        <w:tc>
          <w:tcPr/>
          <w:p>
            <w:pPr>
              <w:pStyle w:val="Compact"/>
              <w:jc w:val="left"/>
            </w:pPr>
            <w:r>
              <w:rPr>
                <w:rFonts w:hint="eastAsia"/>
              </w:rPr>
              <w:t xml:space="preserve">第二梯队</w:t>
            </w:r>
          </w:p>
        </w:tc>
        <w:tc>
          <w:tcPr/>
          <w:p>
            <w:pPr>
              <w:pStyle w:val="Compact"/>
              <w:jc w:val="left"/>
            </w:pPr>
            <w:r>
              <w:rPr>
                <w:rFonts w:hint="eastAsia"/>
              </w:rPr>
              <w:t xml:space="preserve">平台服务</w:t>
            </w:r>
          </w:p>
        </w:tc>
        <w:tc>
          <w:tcPr/>
          <w:p>
            <w:pPr>
              <w:pStyle w:val="Compact"/>
              <w:jc w:val="left"/>
            </w:pPr>
            <w:r>
              <w:rPr>
                <w:rFonts w:hint="eastAsia"/>
              </w:rPr>
              <w:t xml:space="preserve">供给保障</w:t>
            </w:r>
          </w:p>
        </w:tc>
      </w:tr>
      <w:tr>
        <w:tc>
          <w:tcPr/>
          <w:p>
            <w:pPr>
              <w:pStyle w:val="Compact"/>
              <w:jc w:val="center"/>
            </w:pPr>
            <w:r>
              <w:t xml:space="preserve">9</w:t>
            </w:r>
          </w:p>
        </w:tc>
        <w:tc>
          <w:tcPr/>
          <w:p>
            <w:pPr>
              <w:pStyle w:val="Compact"/>
              <w:jc w:val="left"/>
            </w:pPr>
            <w:r>
              <w:rPr>
                <w:rFonts w:hint="eastAsia"/>
              </w:rPr>
              <w:t xml:space="preserve">河南</w:t>
            </w:r>
          </w:p>
        </w:tc>
        <w:tc>
          <w:tcPr/>
          <w:p>
            <w:pPr>
              <w:pStyle w:val="Compact"/>
              <w:jc w:val="center"/>
            </w:pPr>
            <w:r>
              <w:t xml:space="preserve">0.469</w:t>
            </w:r>
          </w:p>
        </w:tc>
        <w:tc>
          <w:tcPr/>
          <w:p>
            <w:pPr>
              <w:pStyle w:val="Compact"/>
              <w:jc w:val="left"/>
            </w:pPr>
            <w:r>
              <w:rPr>
                <w:rFonts w:hint="eastAsia"/>
              </w:rPr>
              <w:t xml:space="preserve">第二梯队</w:t>
            </w:r>
          </w:p>
        </w:tc>
        <w:tc>
          <w:tcPr/>
          <w:p>
            <w:pPr>
              <w:pStyle w:val="Compact"/>
              <w:jc w:val="left"/>
            </w:pPr>
            <w:r>
              <w:rPr>
                <w:rFonts w:hint="eastAsia"/>
              </w:rPr>
              <w:t xml:space="preserve">供给保障</w:t>
            </w:r>
          </w:p>
        </w:tc>
        <w:tc>
          <w:tcPr/>
          <w:p>
            <w:pPr>
              <w:pStyle w:val="Compact"/>
              <w:jc w:val="left"/>
            </w:pPr>
            <w:r>
              <w:rPr>
                <w:rFonts w:hint="eastAsia"/>
              </w:rPr>
              <w:t xml:space="preserve">利用效果</w:t>
            </w:r>
          </w:p>
        </w:tc>
      </w:tr>
      <w:tr>
        <w:tc>
          <w:tcPr/>
          <w:p>
            <w:pPr>
              <w:pStyle w:val="Compact"/>
              <w:jc w:val="center"/>
            </w:pPr>
            <w:r>
              <w:t xml:space="preserve">10</w:t>
            </w:r>
          </w:p>
        </w:tc>
        <w:tc>
          <w:tcPr/>
          <w:p>
            <w:pPr>
              <w:pStyle w:val="Compact"/>
              <w:jc w:val="left"/>
            </w:pPr>
            <w:r>
              <w:rPr>
                <w:rFonts w:hint="eastAsia"/>
              </w:rPr>
              <w:t xml:space="preserve">江苏</w:t>
            </w:r>
          </w:p>
        </w:tc>
        <w:tc>
          <w:tcPr/>
          <w:p>
            <w:pPr>
              <w:pStyle w:val="Compact"/>
              <w:jc w:val="center"/>
            </w:pPr>
            <w:r>
              <w:t xml:space="preserve">0.442</w:t>
            </w:r>
          </w:p>
        </w:tc>
        <w:tc>
          <w:tcPr/>
          <w:p>
            <w:pPr>
              <w:pStyle w:val="Compact"/>
              <w:jc w:val="left"/>
            </w:pPr>
            <w:r>
              <w:rPr>
                <w:rFonts w:hint="eastAsia"/>
              </w:rPr>
              <w:t xml:space="preserve">第二梯队</w:t>
            </w:r>
          </w:p>
        </w:tc>
        <w:tc>
          <w:tcPr/>
          <w:p>
            <w:pPr>
              <w:pStyle w:val="Compact"/>
              <w:jc w:val="left"/>
            </w:pPr>
            <w:r>
              <w:rPr>
                <w:rFonts w:hint="eastAsia"/>
              </w:rPr>
              <w:t xml:space="preserve">数据质量</w:t>
            </w:r>
          </w:p>
        </w:tc>
        <w:tc>
          <w:tcPr/>
          <w:p>
            <w:pPr>
              <w:pStyle w:val="Compact"/>
              <w:jc w:val="left"/>
            </w:pPr>
            <w:r>
              <w:rPr>
                <w:rFonts w:hint="eastAsia"/>
              </w:rPr>
              <w:t xml:space="preserve">利用效果</w:t>
            </w:r>
          </w:p>
        </w:tc>
      </w:tr>
      <w:tr>
        <w:tc>
          <w:tcPr/>
          <w:p>
            <w:pPr>
              <w:pStyle w:val="Compact"/>
              <w:jc w:val="center"/>
            </w:pPr>
            <w:r>
              <w:t xml:space="preserve">11</w:t>
            </w:r>
          </w:p>
        </w:tc>
        <w:tc>
          <w:tcPr/>
          <w:p>
            <w:pPr>
              <w:pStyle w:val="Compact"/>
              <w:jc w:val="left"/>
            </w:pPr>
            <w:r>
              <w:rPr>
                <w:rFonts w:hint="eastAsia"/>
              </w:rPr>
              <w:t xml:space="preserve">江西</w:t>
            </w:r>
          </w:p>
        </w:tc>
        <w:tc>
          <w:tcPr/>
          <w:p>
            <w:pPr>
              <w:pStyle w:val="Compact"/>
              <w:jc w:val="center"/>
            </w:pPr>
            <w:r>
              <w:t xml:space="preserve">0.437</w:t>
            </w:r>
          </w:p>
        </w:tc>
        <w:tc>
          <w:tcPr/>
          <w:p>
            <w:pPr>
              <w:pStyle w:val="Compact"/>
              <w:jc w:val="left"/>
            </w:pPr>
            <w:r>
              <w:rPr>
                <w:rFonts w:hint="eastAsia"/>
              </w:rPr>
              <w:t xml:space="preserve">第二梯队</w:t>
            </w:r>
          </w:p>
        </w:tc>
        <w:tc>
          <w:tcPr/>
          <w:p>
            <w:pPr>
              <w:pStyle w:val="Compact"/>
              <w:jc w:val="left"/>
            </w:pPr>
            <w:r>
              <w:rPr>
                <w:rFonts w:hint="eastAsia"/>
              </w:rPr>
              <w:t xml:space="preserve">平台服务</w:t>
            </w:r>
          </w:p>
        </w:tc>
        <w:tc>
          <w:tcPr/>
          <w:p>
            <w:pPr>
              <w:pStyle w:val="Compact"/>
              <w:jc w:val="left"/>
            </w:pPr>
            <w:r>
              <w:rPr>
                <w:rFonts w:hint="eastAsia"/>
              </w:rPr>
              <w:t xml:space="preserve">数据质量</w:t>
            </w:r>
          </w:p>
        </w:tc>
      </w:tr>
      <w:tr>
        <w:tc>
          <w:tcPr/>
          <w:p>
            <w:pPr>
              <w:pStyle w:val="Compact"/>
              <w:jc w:val="center"/>
            </w:pPr>
            <w:r>
              <w:t xml:space="preserve">12</w:t>
            </w:r>
          </w:p>
        </w:tc>
        <w:tc>
          <w:tcPr/>
          <w:p>
            <w:pPr>
              <w:pStyle w:val="Compact"/>
              <w:jc w:val="left"/>
            </w:pPr>
            <w:r>
              <w:rPr>
                <w:rFonts w:hint="eastAsia"/>
              </w:rPr>
              <w:t xml:space="preserve">湖北</w:t>
            </w:r>
          </w:p>
        </w:tc>
        <w:tc>
          <w:tcPr/>
          <w:p>
            <w:pPr>
              <w:pStyle w:val="Compact"/>
              <w:jc w:val="center"/>
            </w:pPr>
            <w:r>
              <w:t xml:space="preserve">0.414</w:t>
            </w:r>
          </w:p>
        </w:tc>
        <w:tc>
          <w:tcPr/>
          <w:p>
            <w:pPr>
              <w:pStyle w:val="Compact"/>
              <w:jc w:val="left"/>
            </w:pPr>
            <w:r>
              <w:rPr>
                <w:rFonts w:hint="eastAsia"/>
              </w:rPr>
              <w:t xml:space="preserve">第二梯队</w:t>
            </w:r>
          </w:p>
        </w:tc>
        <w:tc>
          <w:tcPr/>
          <w:p>
            <w:pPr>
              <w:pStyle w:val="Compact"/>
              <w:jc w:val="left"/>
            </w:pPr>
            <w:r>
              <w:rPr>
                <w:rFonts w:hint="eastAsia"/>
              </w:rPr>
              <w:t xml:space="preserve">平台服务</w:t>
            </w:r>
          </w:p>
        </w:tc>
        <w:tc>
          <w:tcPr/>
          <w:p>
            <w:pPr>
              <w:pStyle w:val="Compact"/>
              <w:jc w:val="left"/>
            </w:pPr>
            <w:r>
              <w:rPr>
                <w:rFonts w:hint="eastAsia"/>
              </w:rPr>
              <w:t xml:space="preserve">利用效果</w:t>
            </w:r>
          </w:p>
        </w:tc>
      </w:tr>
      <w:tr>
        <w:tc>
          <w:tcPr/>
          <w:p>
            <w:pPr>
              <w:pStyle w:val="Compact"/>
              <w:jc w:val="center"/>
            </w:pPr>
            <w:r>
              <w:t xml:space="preserve">13</w:t>
            </w:r>
          </w:p>
        </w:tc>
        <w:tc>
          <w:tcPr/>
          <w:p>
            <w:pPr>
              <w:pStyle w:val="Compact"/>
              <w:jc w:val="left"/>
            </w:pPr>
            <w:r>
              <w:rPr>
                <w:rFonts w:hint="eastAsia"/>
              </w:rPr>
              <w:t xml:space="preserve">广西</w:t>
            </w:r>
          </w:p>
        </w:tc>
        <w:tc>
          <w:tcPr/>
          <w:p>
            <w:pPr>
              <w:pStyle w:val="Compact"/>
              <w:jc w:val="center"/>
            </w:pPr>
            <w:r>
              <w:t xml:space="preserve">0.389</w:t>
            </w:r>
          </w:p>
        </w:tc>
        <w:tc>
          <w:tcPr/>
          <w:p>
            <w:pPr>
              <w:pStyle w:val="Compact"/>
              <w:jc w:val="left"/>
            </w:pPr>
            <w:r>
              <w:rPr>
                <w:rFonts w:hint="eastAsia"/>
              </w:rPr>
              <w:t xml:space="preserve">第二梯队</w:t>
            </w:r>
          </w:p>
        </w:tc>
        <w:tc>
          <w:tcPr/>
          <w:p>
            <w:pPr>
              <w:pStyle w:val="Compact"/>
              <w:jc w:val="left"/>
            </w:pPr>
            <w:r>
              <w:rPr>
                <w:rFonts w:hint="eastAsia"/>
              </w:rPr>
              <w:t xml:space="preserve">平台服务</w:t>
            </w:r>
          </w:p>
        </w:tc>
        <w:tc>
          <w:tcPr/>
          <w:p>
            <w:pPr>
              <w:pStyle w:val="Compact"/>
              <w:jc w:val="left"/>
            </w:pPr>
            <w:r>
              <w:rPr>
                <w:rFonts w:hint="eastAsia"/>
              </w:rPr>
              <w:t xml:space="preserve">供给保障</w:t>
            </w:r>
          </w:p>
        </w:tc>
      </w:tr>
      <w:tr>
        <w:tc>
          <w:tcPr/>
          <w:p>
            <w:pPr>
              <w:pStyle w:val="Compact"/>
              <w:jc w:val="center"/>
            </w:pPr>
            <w:r>
              <w:t xml:space="preserve">14</w:t>
            </w:r>
          </w:p>
        </w:tc>
        <w:tc>
          <w:tcPr/>
          <w:p>
            <w:pPr>
              <w:pStyle w:val="Compact"/>
              <w:jc w:val="left"/>
            </w:pPr>
            <w:r>
              <w:rPr>
                <w:rFonts w:hint="eastAsia"/>
              </w:rPr>
              <w:t xml:space="preserve">湖南</w:t>
            </w:r>
          </w:p>
        </w:tc>
        <w:tc>
          <w:tcPr/>
          <w:p>
            <w:pPr>
              <w:pStyle w:val="Compact"/>
              <w:jc w:val="center"/>
            </w:pPr>
            <w:r>
              <w:t xml:space="preserve">0.386</w:t>
            </w:r>
          </w:p>
        </w:tc>
        <w:tc>
          <w:tcPr/>
          <w:p>
            <w:pPr>
              <w:pStyle w:val="Compact"/>
              <w:jc w:val="left"/>
            </w:pPr>
            <w:r>
              <w:rPr>
                <w:rFonts w:hint="eastAsia"/>
              </w:rPr>
              <w:t xml:space="preserve">第二梯队</w:t>
            </w:r>
          </w:p>
        </w:tc>
        <w:tc>
          <w:tcPr/>
          <w:p>
            <w:pPr>
              <w:pStyle w:val="Compact"/>
              <w:jc w:val="left"/>
            </w:pPr>
            <w:r>
              <w:rPr>
                <w:rFonts w:hint="eastAsia"/>
              </w:rPr>
              <w:t xml:space="preserve">供给保障</w:t>
            </w:r>
          </w:p>
        </w:tc>
        <w:tc>
          <w:tcPr/>
          <w:p>
            <w:pPr>
              <w:pStyle w:val="Compact"/>
              <w:jc w:val="left"/>
            </w:pPr>
            <w:r>
              <w:rPr>
                <w:rFonts w:hint="eastAsia"/>
              </w:rPr>
              <w:t xml:space="preserve">利用效果</w:t>
            </w:r>
          </w:p>
        </w:tc>
      </w:tr>
      <w:tr>
        <w:tc>
          <w:tcPr/>
          <w:p>
            <w:pPr>
              <w:pStyle w:val="Compact"/>
              <w:jc w:val="center"/>
            </w:pPr>
            <w:r>
              <w:t xml:space="preserve">15</w:t>
            </w:r>
          </w:p>
        </w:tc>
        <w:tc>
          <w:tcPr/>
          <w:p>
            <w:pPr>
              <w:pStyle w:val="Compact"/>
              <w:jc w:val="left"/>
            </w:pPr>
            <w:r>
              <w:rPr>
                <w:rFonts w:hint="eastAsia"/>
              </w:rPr>
              <w:t xml:space="preserve">安徽</w:t>
            </w:r>
          </w:p>
        </w:tc>
        <w:tc>
          <w:tcPr/>
          <w:p>
            <w:pPr>
              <w:pStyle w:val="Compact"/>
              <w:jc w:val="center"/>
            </w:pPr>
            <w:r>
              <w:t xml:space="preserve">0.354</w:t>
            </w:r>
          </w:p>
        </w:tc>
        <w:tc>
          <w:tcPr/>
          <w:p>
            <w:pPr>
              <w:pStyle w:val="Compact"/>
              <w:jc w:val="left"/>
            </w:pPr>
            <w:r>
              <w:rPr>
                <w:rFonts w:hint="eastAsia"/>
              </w:rPr>
              <w:t xml:space="preserve">第二梯队</w:t>
            </w:r>
          </w:p>
        </w:tc>
        <w:tc>
          <w:tcPr/>
          <w:p>
            <w:pPr>
              <w:pStyle w:val="Compact"/>
              <w:jc w:val="left"/>
            </w:pPr>
            <w:r>
              <w:rPr>
                <w:rFonts w:hint="eastAsia"/>
              </w:rPr>
              <w:t xml:space="preserve">平台服务</w:t>
            </w:r>
          </w:p>
        </w:tc>
        <w:tc>
          <w:tcPr/>
          <w:p>
            <w:pPr>
              <w:pStyle w:val="Compact"/>
              <w:jc w:val="left"/>
            </w:pPr>
            <w:r>
              <w:rPr>
                <w:rFonts w:hint="eastAsia"/>
              </w:rPr>
              <w:t xml:space="preserve">数据质量</w:t>
            </w:r>
          </w:p>
        </w:tc>
      </w:tr>
      <w:tr>
        <w:tc>
          <w:tcPr/>
          <w:p>
            <w:pPr>
              <w:pStyle w:val="Compact"/>
              <w:jc w:val="center"/>
            </w:pPr>
            <w:r>
              <w:t xml:space="preserve">16</w:t>
            </w:r>
          </w:p>
        </w:tc>
        <w:tc>
          <w:tcPr/>
          <w:p>
            <w:pPr>
              <w:pStyle w:val="Compact"/>
              <w:jc w:val="left"/>
            </w:pPr>
            <w:r>
              <w:rPr>
                <w:rFonts w:hint="eastAsia"/>
              </w:rPr>
              <w:t xml:space="preserve">海南</w:t>
            </w:r>
          </w:p>
        </w:tc>
        <w:tc>
          <w:tcPr/>
          <w:p>
            <w:pPr>
              <w:pStyle w:val="Compact"/>
              <w:jc w:val="center"/>
            </w:pPr>
            <w:r>
              <w:t xml:space="preserve">0.346</w:t>
            </w:r>
          </w:p>
        </w:tc>
        <w:tc>
          <w:tcPr/>
          <w:p>
            <w:pPr>
              <w:pStyle w:val="Compact"/>
              <w:jc w:val="left"/>
            </w:pPr>
            <w:r>
              <w:rPr>
                <w:rFonts w:hint="eastAsia"/>
              </w:rPr>
              <w:t xml:space="preserve">第二梯队</w:t>
            </w:r>
          </w:p>
        </w:tc>
        <w:tc>
          <w:tcPr/>
          <w:p>
            <w:pPr>
              <w:pStyle w:val="Compact"/>
              <w:jc w:val="left"/>
            </w:pPr>
            <w:r>
              <w:rPr>
                <w:rFonts w:hint="eastAsia"/>
              </w:rPr>
              <w:t xml:space="preserve">平台服务</w:t>
            </w:r>
          </w:p>
        </w:tc>
        <w:tc>
          <w:tcPr/>
          <w:p>
            <w:pPr>
              <w:pStyle w:val="Compact"/>
              <w:jc w:val="left"/>
            </w:pPr>
            <w:r>
              <w:rPr>
                <w:rFonts w:hint="eastAsia"/>
              </w:rPr>
              <w:t xml:space="preserve">供给保障</w:t>
            </w:r>
          </w:p>
        </w:tc>
      </w:tr>
      <w:tr>
        <w:tc>
          <w:tcPr/>
          <w:p>
            <w:pPr>
              <w:pStyle w:val="Compact"/>
              <w:jc w:val="center"/>
            </w:pPr>
            <w:r>
              <w:t xml:space="preserve">17</w:t>
            </w:r>
          </w:p>
        </w:tc>
        <w:tc>
          <w:tcPr/>
          <w:p>
            <w:pPr>
              <w:pStyle w:val="Compact"/>
              <w:jc w:val="left"/>
            </w:pPr>
            <w:r>
              <w:rPr>
                <w:rFonts w:hint="eastAsia"/>
              </w:rPr>
              <w:t xml:space="preserve">辽宁</w:t>
            </w:r>
          </w:p>
        </w:tc>
        <w:tc>
          <w:tcPr/>
          <w:p>
            <w:pPr>
              <w:pStyle w:val="Compact"/>
              <w:jc w:val="center"/>
            </w:pPr>
            <w:r>
              <w:t xml:space="preserve">0.317</w:t>
            </w:r>
          </w:p>
        </w:tc>
        <w:tc>
          <w:tcPr/>
          <w:p>
            <w:pPr>
              <w:pStyle w:val="Compact"/>
              <w:jc w:val="left"/>
            </w:pPr>
            <w:r>
              <w:rPr>
                <w:rFonts w:hint="eastAsia"/>
              </w:rPr>
              <w:t xml:space="preserve">第三梯队</w:t>
            </w:r>
          </w:p>
        </w:tc>
        <w:tc>
          <w:tcPr/>
          <w:p>
            <w:pPr>
              <w:pStyle w:val="Compact"/>
              <w:jc w:val="left"/>
            </w:pPr>
            <w:r>
              <w:rPr>
                <w:rFonts w:hint="eastAsia"/>
              </w:rPr>
              <w:t xml:space="preserve">数据质量</w:t>
            </w:r>
          </w:p>
        </w:tc>
        <w:tc>
          <w:tcPr/>
          <w:p>
            <w:pPr>
              <w:pStyle w:val="Compact"/>
              <w:jc w:val="left"/>
            </w:pPr>
            <w:r>
              <w:rPr>
                <w:rFonts w:hint="eastAsia"/>
              </w:rPr>
              <w:t xml:space="preserve">利用效果</w:t>
            </w:r>
          </w:p>
        </w:tc>
      </w:tr>
      <w:tr>
        <w:tc>
          <w:tcPr/>
          <w:p>
            <w:pPr>
              <w:pStyle w:val="Compact"/>
              <w:jc w:val="center"/>
            </w:pPr>
            <w:r>
              <w:t xml:space="preserve">18</w:t>
            </w:r>
          </w:p>
        </w:tc>
        <w:tc>
          <w:tcPr/>
          <w:p>
            <w:pPr>
              <w:pStyle w:val="Compact"/>
              <w:jc w:val="left"/>
            </w:pPr>
            <w:r>
              <w:rPr>
                <w:rFonts w:hint="eastAsia"/>
              </w:rPr>
              <w:t xml:space="preserve">河北</w:t>
            </w:r>
          </w:p>
        </w:tc>
        <w:tc>
          <w:tcPr/>
          <w:p>
            <w:pPr>
              <w:pStyle w:val="Compact"/>
              <w:jc w:val="center"/>
            </w:pPr>
            <w:r>
              <w:t xml:space="preserve">0.300</w:t>
            </w:r>
          </w:p>
        </w:tc>
        <w:tc>
          <w:tcPr/>
          <w:p>
            <w:pPr>
              <w:pStyle w:val="Compact"/>
              <w:jc w:val="left"/>
            </w:pPr>
            <w:r>
              <w:rPr>
                <w:rFonts w:hint="eastAsia"/>
              </w:rPr>
              <w:t xml:space="preserve">第三梯队</w:t>
            </w:r>
          </w:p>
        </w:tc>
        <w:tc>
          <w:tcPr/>
          <w:p>
            <w:pPr>
              <w:pStyle w:val="Compact"/>
              <w:jc w:val="left"/>
            </w:pPr>
            <w:r>
              <w:rPr>
                <w:rFonts w:hint="eastAsia"/>
              </w:rPr>
              <w:t xml:space="preserve">供给保障</w:t>
            </w:r>
          </w:p>
        </w:tc>
        <w:tc>
          <w:tcPr/>
          <w:p>
            <w:pPr>
              <w:pStyle w:val="Compact"/>
              <w:jc w:val="left"/>
            </w:pPr>
            <w:r>
              <w:rPr>
                <w:rFonts w:hint="eastAsia"/>
              </w:rPr>
              <w:t xml:space="preserve">利用效果</w:t>
            </w:r>
          </w:p>
        </w:tc>
      </w:tr>
      <w:tr>
        <w:tc>
          <w:tcPr/>
          <w:p>
            <w:pPr>
              <w:pStyle w:val="Compact"/>
              <w:jc w:val="center"/>
            </w:pPr>
            <w:r>
              <w:t xml:space="preserve">19</w:t>
            </w:r>
          </w:p>
        </w:tc>
        <w:tc>
          <w:tcPr/>
          <w:p>
            <w:pPr>
              <w:pStyle w:val="Compact"/>
              <w:jc w:val="left"/>
            </w:pPr>
            <w:r>
              <w:rPr>
                <w:rFonts w:hint="eastAsia"/>
              </w:rPr>
              <w:t xml:space="preserve">云南</w:t>
            </w:r>
          </w:p>
        </w:tc>
        <w:tc>
          <w:tcPr/>
          <w:p>
            <w:pPr>
              <w:pStyle w:val="Compact"/>
              <w:jc w:val="center"/>
            </w:pPr>
            <w:r>
              <w:t xml:space="preserve">0.256</w:t>
            </w:r>
          </w:p>
        </w:tc>
        <w:tc>
          <w:tcPr/>
          <w:p>
            <w:pPr>
              <w:pStyle w:val="Compact"/>
              <w:jc w:val="left"/>
            </w:pPr>
            <w:r>
              <w:rPr>
                <w:rFonts w:hint="eastAsia"/>
              </w:rPr>
              <w:t xml:space="preserve">第三梯队</w:t>
            </w:r>
          </w:p>
        </w:tc>
        <w:tc>
          <w:tcPr/>
          <w:p>
            <w:pPr>
              <w:pStyle w:val="Compact"/>
              <w:jc w:val="left"/>
            </w:pPr>
            <w:r>
              <w:rPr>
                <w:rFonts w:hint="eastAsia"/>
              </w:rPr>
              <w:t xml:space="preserve">平台服务</w:t>
            </w:r>
          </w:p>
        </w:tc>
        <w:tc>
          <w:tcPr/>
          <w:p>
            <w:pPr>
              <w:pStyle w:val="Compact"/>
              <w:jc w:val="left"/>
            </w:pPr>
            <w:r>
              <w:rPr>
                <w:rFonts w:hint="eastAsia"/>
              </w:rPr>
              <w:t xml:space="preserve">数据质量</w:t>
            </w:r>
          </w:p>
        </w:tc>
      </w:tr>
      <w:tr>
        <w:tc>
          <w:tcPr/>
          <w:p>
            <w:pPr>
              <w:pStyle w:val="Compact"/>
              <w:jc w:val="center"/>
            </w:pPr>
            <w:r>
              <w:t xml:space="preserve">20</w:t>
            </w:r>
          </w:p>
        </w:tc>
        <w:tc>
          <w:tcPr/>
          <w:p>
            <w:pPr>
              <w:pStyle w:val="Compact"/>
              <w:jc w:val="left"/>
            </w:pPr>
            <w:r>
              <w:rPr>
                <w:rFonts w:hint="eastAsia"/>
              </w:rPr>
              <w:t xml:space="preserve">黑龙江</w:t>
            </w:r>
          </w:p>
        </w:tc>
        <w:tc>
          <w:tcPr/>
          <w:p>
            <w:pPr>
              <w:pStyle w:val="Compact"/>
              <w:jc w:val="center"/>
            </w:pPr>
            <w:r>
              <w:t xml:space="preserve">0.218</w:t>
            </w:r>
          </w:p>
        </w:tc>
        <w:tc>
          <w:tcPr/>
          <w:p>
            <w:pPr>
              <w:pStyle w:val="Compact"/>
              <w:jc w:val="left"/>
            </w:pPr>
            <w:r>
              <w:rPr>
                <w:rFonts w:hint="eastAsia"/>
              </w:rPr>
              <w:t xml:space="preserve">第三梯队</w:t>
            </w:r>
          </w:p>
        </w:tc>
        <w:tc>
          <w:tcPr/>
          <w:p>
            <w:pPr>
              <w:pStyle w:val="Compact"/>
              <w:jc w:val="left"/>
            </w:pPr>
            <w:r>
              <w:rPr>
                <w:rFonts w:hint="eastAsia"/>
              </w:rPr>
              <w:t xml:space="preserve">数据质量</w:t>
            </w:r>
          </w:p>
        </w:tc>
        <w:tc>
          <w:tcPr/>
          <w:p>
            <w:pPr>
              <w:pStyle w:val="Compact"/>
              <w:jc w:val="left"/>
            </w:pPr>
            <w:r>
              <w:rPr>
                <w:rFonts w:hint="eastAsia"/>
              </w:rPr>
              <w:t xml:space="preserve">平台服务</w:t>
            </w:r>
          </w:p>
        </w:tc>
      </w:tr>
      <w:tr>
        <w:tc>
          <w:tcPr/>
          <w:p>
            <w:pPr>
              <w:pStyle w:val="Compact"/>
              <w:jc w:val="center"/>
            </w:pPr>
            <w:r>
              <w:t xml:space="preserve">21</w:t>
            </w:r>
          </w:p>
        </w:tc>
        <w:tc>
          <w:tcPr/>
          <w:p>
            <w:pPr>
              <w:pStyle w:val="Compact"/>
              <w:jc w:val="left"/>
            </w:pPr>
            <w:r>
              <w:rPr>
                <w:rFonts w:hint="eastAsia"/>
              </w:rPr>
              <w:t xml:space="preserve">山西</w:t>
            </w:r>
          </w:p>
        </w:tc>
        <w:tc>
          <w:tcPr/>
          <w:p>
            <w:pPr>
              <w:pStyle w:val="Compact"/>
              <w:jc w:val="center"/>
            </w:pPr>
            <w:r>
              <w:t xml:space="preserve">0.196</w:t>
            </w:r>
          </w:p>
        </w:tc>
        <w:tc>
          <w:tcPr/>
          <w:p>
            <w:pPr>
              <w:pStyle w:val="Compact"/>
              <w:jc w:val="left"/>
            </w:pPr>
            <w:r>
              <w:rPr>
                <w:rFonts w:hint="eastAsia"/>
              </w:rPr>
              <w:t xml:space="preserve">第三梯队</w:t>
            </w:r>
          </w:p>
        </w:tc>
        <w:tc>
          <w:tcPr/>
          <w:p>
            <w:pPr>
              <w:pStyle w:val="Compact"/>
              <w:jc w:val="left"/>
            </w:pPr>
            <w:r>
              <w:rPr>
                <w:rFonts w:hint="eastAsia"/>
              </w:rPr>
              <w:t xml:space="preserve">供给保障</w:t>
            </w:r>
          </w:p>
        </w:tc>
        <w:tc>
          <w:tcPr/>
          <w:p>
            <w:pPr>
              <w:pStyle w:val="Compact"/>
              <w:jc w:val="left"/>
            </w:pPr>
            <w:r>
              <w:rPr>
                <w:rFonts w:hint="eastAsia"/>
              </w:rPr>
              <w:t xml:space="preserve">利用效果</w:t>
            </w:r>
          </w:p>
        </w:tc>
      </w:tr>
      <w:tr>
        <w:tc>
          <w:tcPr/>
          <w:p>
            <w:pPr>
              <w:pStyle w:val="Compact"/>
              <w:jc w:val="center"/>
            </w:pPr>
            <w:r>
              <w:t xml:space="preserve">22</w:t>
            </w:r>
          </w:p>
        </w:tc>
        <w:tc>
          <w:tcPr/>
          <w:p>
            <w:pPr>
              <w:pStyle w:val="Compact"/>
              <w:jc w:val="left"/>
            </w:pPr>
            <w:r>
              <w:rPr>
                <w:rFonts w:hint="eastAsia"/>
              </w:rPr>
              <w:t xml:space="preserve">新疆</w:t>
            </w:r>
          </w:p>
        </w:tc>
        <w:tc>
          <w:tcPr/>
          <w:p>
            <w:pPr>
              <w:pStyle w:val="Compact"/>
              <w:jc w:val="center"/>
            </w:pPr>
            <w:r>
              <w:t xml:space="preserve">0.157</w:t>
            </w:r>
          </w:p>
        </w:tc>
        <w:tc>
          <w:tcPr/>
          <w:p>
            <w:pPr>
              <w:pStyle w:val="Compact"/>
              <w:jc w:val="left"/>
            </w:pPr>
            <w:r>
              <w:rPr>
                <w:rFonts w:hint="eastAsia"/>
              </w:rPr>
              <w:t xml:space="preserve">第三梯队</w:t>
            </w:r>
          </w:p>
        </w:tc>
        <w:tc>
          <w:tcPr/>
          <w:p>
            <w:pPr>
              <w:pStyle w:val="Compact"/>
              <w:jc w:val="left"/>
            </w:pPr>
            <w:r>
              <w:rPr>
                <w:rFonts w:hint="eastAsia"/>
              </w:rPr>
              <w:t xml:space="preserve">平台服务</w:t>
            </w:r>
          </w:p>
        </w:tc>
        <w:tc>
          <w:tcPr/>
          <w:p>
            <w:pPr>
              <w:pStyle w:val="Compact"/>
              <w:jc w:val="left"/>
            </w:pPr>
            <w:r>
              <w:rPr>
                <w:rFonts w:hint="eastAsia"/>
              </w:rPr>
              <w:t xml:space="preserve">数据质量</w:t>
            </w:r>
          </w:p>
        </w:tc>
      </w:tr>
    </w:tbl>
    <w:p>
      <w:pPr>
        <w:pStyle w:val="BodyText"/>
        <w:spacing w:line="360" w:lineRule="auto"/>
      </w:pPr>
      <w:r>
        <w:rPr>
          <w:rFonts w:hint="eastAsia" w:ascii="宋体" w:hAnsi="宋体" w:eastAsia="宋体"/>
          <w:color w:val="000000"/>
          <w:sz w:val="24"/>
        </w:rPr>
        <w:t xml:space="preserve">评估结果显示，22个平台的TOPSIS得分分布呈现明显的”头部集中”特征。第一梯队（得分&gt;0.7）仅有3个省份（广东、浙江、山东），得分均值为0.771；第二梯队（得分0.4-0.7）有13个省份，得分均值为0.452；第三梯队（得分&lt;0.4）有6个省份，得分均值为0.241。第一梯队与第二梯队之间存在显著的”绩效断层”——第3名山东（0.741）与第4名贵州（0.608）之间的得分差距（0.133）大于第4名与第15名之间的差距（0.254），表明头部平台的领先优势非常显著。</w:t>
      </w:r>
    </w:p>
    <w:p>
      <w:pPr>
        <w:pStyle w:val="BodyText"/>
        <w:spacing w:line="360" w:lineRule="auto"/>
      </w:pPr>
      <w:r>
        <w:rPr>
          <w:rFonts w:hint="eastAsia" w:ascii="宋体" w:hAnsi="宋体" w:eastAsia="宋体"/>
          <w:color w:val="000000"/>
          <w:sz w:val="24"/>
        </w:rPr>
        <w:t xml:space="preserve">从维度构成看，第一梯队平台的共同特征是”利用效果”维度得分较高——广东的利用效果得分位列第一，浙江的利用效果得分位列第二，山东的利用效果得分位列第三。这表明”利用效果”是区分高绩效平台和中等绩效平台的关键维度。第二梯队平台的共同特征是”平台服务”维度得分尚可，但”利用效果”维度得分偏低——这些平台通常拥有较好的技术基础设施，但数据利用生态尚未培育成熟。第三梯队平台的共同特征是多个维度同时偏低——这些平台通常在供给保障、数据质量和利用效果三个维度上同时存在短板，面临”全面落后”的困境。</w:t>
      </w:r>
    </w:p>
    <w:bookmarkEnd w:id="166"/>
    <w:bookmarkStart w:id="167" w:name="维度得分分析"/>
    <w:p>
      <w:pPr>
        <w:pStyle w:val="Heading4"/>
        <w:spacing w:line="360" w:lineRule="auto"/>
      </w:pPr>
      <w:r>
        <w:rPr>
          <w:rFonts w:ascii="宋体" w:hAnsi="宋体" w:eastAsia="宋体"/>
          <w:color w:val="000000"/>
          <w:sz w:val="24"/>
        </w:rPr>
        <w:t xml:space="preserve">5.2.2 </w:t>
      </w:r>
      <w:r>
        <w:rPr>
          <w:rFonts w:hint="eastAsia" w:ascii="宋体" w:hAnsi="宋体" w:eastAsia="宋体"/>
          <w:color w:val="000000"/>
          <w:sz w:val="24"/>
        </w:rPr>
        <w:t xml:space="preserve">维度得分分析</w:t>
      </w:r>
    </w:p>
    <w:p>
      <w:pPr>
        <w:pStyle w:val="FirstParagraph"/>
        <w:spacing w:line="360" w:lineRule="auto"/>
      </w:pPr>
      <w:r>
        <w:rPr>
          <w:rFonts w:hint="eastAsia" w:ascii="宋体" w:hAnsi="宋体" w:eastAsia="宋体"/>
          <w:color w:val="000000"/>
          <w:sz w:val="24"/>
        </w:rPr>
        <w:t xml:space="preserve">为进一步揭示绩效的维度构成特征，本研究对各平台的五个维度得分进行了详细分析。</w:t>
      </w:r>
    </w:p>
    <w:p>
      <w:pPr>
        <w:pStyle w:val="BodyText"/>
        <w:spacing w:line="360" w:lineRule="auto"/>
      </w:pPr>
      <w:r>
        <w:rPr>
          <w:rFonts w:hint="eastAsia" w:ascii="宋体" w:hAnsi="宋体" w:eastAsia="宋体"/>
          <w:b/>
          <w:bCs/>
          <w:color w:val="000000"/>
          <w:sz w:val="24"/>
        </w:rPr>
        <w:t xml:space="preserve">供给保障维度。</w:t>
      </w:r>
      <w:r>
        <w:rPr>
          <w:rFonts w:ascii="宋体" w:hAnsi="宋体" w:eastAsia="宋体"/>
          <w:color w:val="000000"/>
          <w:sz w:val="24"/>
        </w:rPr>
        <w:t xml:space="preserve"> </w:t>
      </w:r>
      <w:r>
        <w:rPr>
          <w:rFonts w:hint="eastAsia" w:ascii="宋体" w:hAnsi="宋体" w:eastAsia="宋体"/>
          <w:color w:val="000000"/>
          <w:sz w:val="24"/>
        </w:rPr>
        <w:t xml:space="preserve">供给保障得分排名前五位的是：北京（0.95）、上海（0.91）、浙江（0.89）、广东（0.87）、山东（0.85）。这些平台的共同特征是数据集数量多、主题覆盖广、更新频率高。值得注意的是，山东在供给保障维度排名第二，但其TOPSIS综合得分仅排名第三，原因是山东在”数据口径一致性”方面的表现较差——其对外宣称的”6万余数据集”中，有效数据集比例较低，影响了综合得分。</w:t>
      </w:r>
    </w:p>
    <w:p>
      <w:pPr>
        <w:pStyle w:val="BodyText"/>
        <w:spacing w:line="360" w:lineRule="auto"/>
      </w:pPr>
      <w:r>
        <w:rPr>
          <w:rFonts w:hint="eastAsia" w:ascii="宋体" w:hAnsi="宋体" w:eastAsia="宋体"/>
          <w:color w:val="000000"/>
          <w:sz w:val="24"/>
        </w:rPr>
        <w:t xml:space="preserve">供给保障得分排名后五位的是：新疆（0.12）、黑龙江（0.18）、云南（0.21）、山西（0.23）、海南（0.28）。这些平台的共同特征是上线时间较晚、数据积累不足、更新频率较低。其中，新疆和黑龙江作为边疆省份，面临数据资源匮乏和人才短缺的双重制约。</w:t>
      </w:r>
    </w:p>
    <w:p>
      <w:pPr>
        <w:pStyle w:val="BodyText"/>
        <w:spacing w:line="360" w:lineRule="auto"/>
      </w:pPr>
      <w:r>
        <w:rPr>
          <w:rFonts w:hint="eastAsia" w:ascii="宋体" w:hAnsi="宋体" w:eastAsia="宋体"/>
          <w:b/>
          <w:bCs/>
          <w:color w:val="000000"/>
          <w:sz w:val="24"/>
        </w:rPr>
        <w:t xml:space="preserve">平台服务维度。</w:t>
      </w:r>
      <w:r>
        <w:rPr>
          <w:rFonts w:ascii="宋体" w:hAnsi="宋体" w:eastAsia="宋体"/>
          <w:color w:val="000000"/>
          <w:sz w:val="24"/>
        </w:rPr>
        <w:t xml:space="preserve"> </w:t>
      </w:r>
      <w:r>
        <w:rPr>
          <w:rFonts w:hint="eastAsia" w:ascii="宋体" w:hAnsi="宋体" w:eastAsia="宋体"/>
          <w:color w:val="000000"/>
          <w:sz w:val="24"/>
        </w:rPr>
        <w:t xml:space="preserve">平台服务得分排名前五位的是：广东（0.92）、浙江（0.88）、北京（0.85）、上海（0.83）、福建（0.79）。这些平台的共同特征是API开放度高、检索功能完善、用户体验良好。广东在平台服务维度排名第一，其”粤省事”平台采用了先进的微服务架构，API响应速度快、文档完整性好、开发者支持到位。</w:t>
      </w:r>
    </w:p>
    <w:p>
      <w:pPr>
        <w:pStyle w:val="BodyText"/>
        <w:spacing w:line="360" w:lineRule="auto"/>
      </w:pPr>
      <w:r>
        <w:rPr>
          <w:rFonts w:hint="eastAsia" w:ascii="宋体" w:hAnsi="宋体" w:eastAsia="宋体"/>
          <w:color w:val="000000"/>
          <w:sz w:val="24"/>
        </w:rPr>
        <w:t xml:space="preserve">平台服务得分排名后五位的是：新疆（0.21）、黑龙江（0.28）、山西（0.31）、河北（0.35）、辽宁（0.38）。这些平台的共同特征是技术基础设施薄弱、平台功能简陋、用户体验较差。其中，部分平台仍采用传统的单体架构，缺乏API接口支持，用户只能通过手动下载获取数据。</w:t>
      </w:r>
    </w:p>
    <w:p>
      <w:pPr>
        <w:pStyle w:val="BodyText"/>
        <w:spacing w:line="360" w:lineRule="auto"/>
      </w:pPr>
      <w:r>
        <w:rPr>
          <w:rFonts w:hint="eastAsia" w:ascii="宋体" w:hAnsi="宋体" w:eastAsia="宋体"/>
          <w:b/>
          <w:bCs/>
          <w:color w:val="000000"/>
          <w:sz w:val="24"/>
        </w:rPr>
        <w:t xml:space="preserve">数据质量维度。</w:t>
      </w:r>
      <w:r>
        <w:rPr>
          <w:rFonts w:ascii="宋体" w:hAnsi="宋体" w:eastAsia="宋体"/>
          <w:color w:val="000000"/>
          <w:sz w:val="24"/>
        </w:rPr>
        <w:t xml:space="preserve"> </w:t>
      </w:r>
      <w:r>
        <w:rPr>
          <w:rFonts w:hint="eastAsia" w:ascii="宋体" w:hAnsi="宋体" w:eastAsia="宋体"/>
          <w:color w:val="000000"/>
          <w:sz w:val="24"/>
        </w:rPr>
        <w:t xml:space="preserve">数据质量得分排名前五位的是：北京（0.91）、上海（0.88）、浙江（0.85）、广东（0.82）、江苏（0.78）。这些平台的共同特征是建立了完善的数据质量审查机制，数据准确性高、完整性好、格式标准化程度高。北京在数据质量维度排名第一，其”首都之窗”数据开放平台建立了”三级审核”机制——数据上传前由业务部门初审、数据治理团队复审、平台运营团队终审，确保数据质量达标。</w:t>
      </w:r>
    </w:p>
    <w:p>
      <w:pPr>
        <w:pStyle w:val="BodyText"/>
        <w:spacing w:line="360" w:lineRule="auto"/>
      </w:pPr>
      <w:r>
        <w:rPr>
          <w:rFonts w:hint="eastAsia" w:ascii="宋体" w:hAnsi="宋体" w:eastAsia="宋体"/>
          <w:color w:val="000000"/>
          <w:sz w:val="24"/>
        </w:rPr>
        <w:t xml:space="preserve">数据质量得分排名后五位的是：新疆（0.15）、云南（0.22）、黑龙江（0.25）、贵州（0.28）、安徽（0.32）。这些平台的共同特征是数据质量控制机制缺失，数据错误率较高、字段缺失严重、格式混乱。其中，部分平台的数据集以PDF和图片格式为主，机器可读性差，严重制约了数据的程序化利用。</w:t>
      </w:r>
    </w:p>
    <w:p>
      <w:pPr>
        <w:pStyle w:val="BodyText"/>
        <w:spacing w:line="360" w:lineRule="auto"/>
      </w:pPr>
      <w:r>
        <w:rPr>
          <w:rFonts w:hint="eastAsia" w:ascii="宋体" w:hAnsi="宋体" w:eastAsia="宋体"/>
          <w:b/>
          <w:bCs/>
          <w:color w:val="000000"/>
          <w:sz w:val="24"/>
        </w:rPr>
        <w:t xml:space="preserve">利用效果维度。</w:t>
      </w:r>
      <w:r>
        <w:rPr>
          <w:rFonts w:ascii="宋体" w:hAnsi="宋体" w:eastAsia="宋体"/>
          <w:color w:val="000000"/>
          <w:sz w:val="24"/>
        </w:rPr>
        <w:t xml:space="preserve"> </w:t>
      </w:r>
      <w:r>
        <w:rPr>
          <w:rFonts w:hint="eastAsia" w:ascii="宋体" w:hAnsi="宋体" w:eastAsia="宋体"/>
          <w:color w:val="000000"/>
          <w:sz w:val="24"/>
        </w:rPr>
        <w:t xml:space="preserve">利用效果得分排名前五位的是：广东（0.95）、浙江（0.91）、山东（0.82）、上海（0.76）、北京（0.72）。广东在利用效果维度排名第一，其开放数据催生了超过500个数据应用，涵盖交通出行、医疗健康、金融风控、城市治理等多个领域。浙江的利用效果同样表现优异，其”数据开放创新应用大赛”已连续举办多届，吸引了数千支参赛团队。</w:t>
      </w:r>
    </w:p>
    <w:p>
      <w:pPr>
        <w:pStyle w:val="BodyText"/>
        <w:spacing w:line="360" w:lineRule="auto"/>
      </w:pPr>
      <w:r>
        <w:rPr>
          <w:rFonts w:hint="eastAsia" w:ascii="宋体" w:hAnsi="宋体" w:eastAsia="宋体"/>
          <w:color w:val="000000"/>
          <w:sz w:val="24"/>
        </w:rPr>
        <w:t xml:space="preserve">利用效果得分排名后五位的是：新疆（0.05）、黑龙江（0.08）、山西（0.11）、云南（0.14）、河北（0.18）。这些平台的共同特征是数据应用数量极少、开发者社区不活跃、数据创新活动匮乏。其中，新疆和黑龙江的应用数量不足5个，数据开放的利用效果几乎可以忽略不计。</w:t>
      </w:r>
    </w:p>
    <w:p>
      <w:pPr>
        <w:pStyle w:val="BodyText"/>
        <w:spacing w:line="360" w:lineRule="auto"/>
      </w:pPr>
      <w:r>
        <w:rPr>
          <w:rFonts w:hint="eastAsia" w:ascii="宋体" w:hAnsi="宋体" w:eastAsia="宋体"/>
          <w:b/>
          <w:bCs/>
          <w:color w:val="000000"/>
          <w:sz w:val="24"/>
        </w:rPr>
        <w:t xml:space="preserve">公平性维度。</w:t>
      </w:r>
      <w:r>
        <w:rPr>
          <w:rFonts w:ascii="宋体" w:hAnsi="宋体" w:eastAsia="宋体"/>
          <w:color w:val="000000"/>
          <w:sz w:val="24"/>
        </w:rPr>
        <w:t xml:space="preserve"> </w:t>
      </w:r>
      <w:r>
        <w:rPr>
          <w:rFonts w:hint="eastAsia" w:ascii="宋体" w:hAnsi="宋体" w:eastAsia="宋体"/>
          <w:color w:val="000000"/>
          <w:sz w:val="24"/>
        </w:rPr>
        <w:t xml:space="preserve">公平性得分排名前五位的是：贵州（0.72）、四川（0.68）、河南（0.65）、广西（0.62）、江西（0.58）。这些平台的共同特征是注重数据开放的普惠性，通过定向扶持、数据素养培训、技术支持等方式，缩小了区域间和群体间的数据利用差距。贵州在公平性维度排名第一，其”黔数据”平台专门针对农村地区和少数民族群体开发了简化的数据检索界面和多语言支持功能。</w:t>
      </w:r>
    </w:p>
    <w:p>
      <w:pPr>
        <w:pStyle w:val="BodyText"/>
        <w:spacing w:line="360" w:lineRule="auto"/>
      </w:pPr>
      <w:r>
        <w:rPr>
          <w:rFonts w:hint="eastAsia" w:ascii="宋体" w:hAnsi="宋体" w:eastAsia="宋体"/>
          <w:color w:val="000000"/>
          <w:sz w:val="24"/>
        </w:rPr>
        <w:t xml:space="preserve">公平性得分排名后五位的是：北京（0.15）、上海（0.18）、广东（0.22）、浙江（0.25）、山东（0.28）。这些平台的共同特征是数据开放的红利主要集中在东部发达地区的高素质用户群体，中西部地区和弱势群体的受益程度较低。这一”效率与公平的矛盾”是高绩效平台面临的共同挑战——如何在追求利用效果的同时保障公平性，是平台运营者需要认真思考的问题。</w:t>
      </w:r>
    </w:p>
    <w:bookmarkEnd w:id="167"/>
    <w:bookmarkStart w:id="168" w:name="区域差异分析"/>
    <w:p>
      <w:pPr>
        <w:pStyle w:val="Heading4"/>
        <w:spacing w:line="360" w:lineRule="auto"/>
      </w:pPr>
      <w:r>
        <w:rPr>
          <w:rFonts w:ascii="宋体" w:hAnsi="宋体" w:eastAsia="宋体"/>
          <w:color w:val="000000"/>
          <w:sz w:val="24"/>
        </w:rPr>
        <w:t xml:space="preserve">5.2.3 </w:t>
      </w:r>
      <w:r>
        <w:rPr>
          <w:rFonts w:hint="eastAsia" w:ascii="宋体" w:hAnsi="宋体" w:eastAsia="宋体"/>
          <w:color w:val="000000"/>
          <w:sz w:val="24"/>
        </w:rPr>
        <w:t xml:space="preserve">区域差异分析</w:t>
      </w:r>
    </w:p>
    <w:p>
      <w:pPr>
        <w:pStyle w:val="FirstParagraph"/>
        <w:spacing w:line="360" w:lineRule="auto"/>
      </w:pPr>
      <w:r>
        <w:rPr>
          <w:rFonts w:hint="eastAsia" w:ascii="宋体" w:hAnsi="宋体" w:eastAsia="宋体"/>
          <w:color w:val="000000"/>
          <w:sz w:val="24"/>
        </w:rPr>
        <w:t xml:space="preserve">为揭示平台绩效的区域分布特征，本研究将22个样本平台按东中西部地区进行分组，比较各区域的绩效差异。</w:t>
      </w:r>
    </w:p>
    <w:p>
      <w:pPr>
        <w:pStyle w:val="BodyText"/>
        <w:spacing w:line="360" w:lineRule="auto"/>
      </w:pPr>
      <w:r>
        <w:rPr>
          <w:rFonts w:hint="eastAsia" w:ascii="宋体" w:hAnsi="宋体" w:eastAsia="宋体"/>
          <w:b/>
          <w:bCs/>
          <w:color w:val="000000"/>
          <w:sz w:val="24"/>
        </w:rPr>
        <w:t xml:space="preserve">东部地区</w:t>
      </w:r>
      <w:r>
        <w:rPr>
          <w:rFonts w:hint="eastAsia" w:ascii="宋体" w:hAnsi="宋体" w:eastAsia="宋体"/>
          <w:color w:val="000000"/>
          <w:sz w:val="24"/>
        </w:rPr>
        <w:t xml:space="preserve">（广东、浙江、山东、北京、上海、福建、江苏、海南、辽宁、河北）共10个省份，TOPSIS得分均值为0.558，标准差为0.182。东部地区在供给保障、平台服务和数据质量三个维度上显著优于中西部地区，但在公平性维度上显著劣于中西部地区。这一”三高（供给、服务、质量）一低（公平）</w:t>
      </w:r>
      <w:r>
        <w:rPr>
          <w:rFonts w:hint="eastAsia" w:ascii="宋体" w:hAnsi="宋体" w:eastAsia="宋体"/>
          <w:color w:val="000000"/>
          <w:sz w:val="24"/>
        </w:rPr>
        <w:t xml:space="preserve">“的特征，反映了东部地区平台”</w:t>
      </w:r>
      <w:r>
        <w:rPr>
          <w:rFonts w:hint="eastAsia" w:ascii="宋体" w:hAnsi="宋体" w:eastAsia="宋体"/>
          <w:color w:val="000000"/>
          <w:sz w:val="24"/>
        </w:rPr>
        <w:t xml:space="preserve">重效率轻公平”的发展模式。</w:t>
      </w:r>
    </w:p>
    <w:p>
      <w:pPr>
        <w:pStyle w:val="BodyText"/>
        <w:spacing w:line="360" w:lineRule="auto"/>
      </w:pPr>
      <w:r>
        <w:rPr>
          <w:rFonts w:hint="eastAsia" w:ascii="宋体" w:hAnsi="宋体" w:eastAsia="宋体"/>
          <w:b/>
          <w:bCs/>
          <w:color w:val="000000"/>
          <w:sz w:val="24"/>
        </w:rPr>
        <w:t xml:space="preserve">中部地区</w:t>
      </w:r>
      <w:r>
        <w:rPr>
          <w:rFonts w:hint="eastAsia" w:ascii="宋体" w:hAnsi="宋体" w:eastAsia="宋体"/>
          <w:color w:val="000000"/>
          <w:sz w:val="24"/>
        </w:rPr>
        <w:t xml:space="preserve">（河南、湖北、湖南、江西、安徽、山西）共6个省份，TOPSIS得分均值为0.390，标准差为0.089。中部地区在五个维度上的表现均处于中等水平，既没有突出的优势维度，也没有明显的短板维度。这种”全面中等”的特征，反映了中部地区平台”跟随发展”的模式——在各方面都达到了基本标准，但尚未形成差异化竞争优势。</w:t>
      </w:r>
    </w:p>
    <w:p>
      <w:pPr>
        <w:pStyle w:val="BodyText"/>
        <w:spacing w:line="360" w:lineRule="auto"/>
      </w:pPr>
      <w:r>
        <w:rPr>
          <w:rFonts w:hint="eastAsia" w:ascii="宋体" w:hAnsi="宋体" w:eastAsia="宋体"/>
          <w:b/>
          <w:bCs/>
          <w:color w:val="000000"/>
          <w:sz w:val="24"/>
        </w:rPr>
        <w:t xml:space="preserve">西部地区</w:t>
      </w:r>
      <w:r>
        <w:rPr>
          <w:rFonts w:hint="eastAsia" w:ascii="宋体" w:hAnsi="宋体" w:eastAsia="宋体"/>
          <w:color w:val="000000"/>
          <w:sz w:val="24"/>
        </w:rPr>
        <w:t xml:space="preserve">（四川、贵州、云南、广西、新疆）共5个省份，TOPSIS得分均值为0.404，标准差为0.152。西部地区在公平性维度上表现最优，但在供给保障和数据质量维度上存在明显短板。值得注意的是，贵州和四川两个西部省份进入了第二梯队，表明西部地区也存在”赶超型”平台——这些平台通过制度创新和差异化策略，实现了绩效的跨越式提升。</w:t>
      </w:r>
    </w:p>
    <w:p>
      <w:pPr>
        <w:pStyle w:val="BodyText"/>
        <w:spacing w:line="360" w:lineRule="auto"/>
      </w:pPr>
      <w:r>
        <w:rPr>
          <w:rFonts w:hint="eastAsia" w:ascii="宋体" w:hAnsi="宋体" w:eastAsia="宋体"/>
          <w:b/>
          <w:bCs/>
          <w:color w:val="000000"/>
          <w:sz w:val="24"/>
        </w:rPr>
        <w:t xml:space="preserve">东北地区</w:t>
      </w:r>
      <w:r>
        <w:rPr>
          <w:rFonts w:hint="eastAsia" w:ascii="宋体" w:hAnsi="宋体" w:eastAsia="宋体"/>
          <w:color w:val="000000"/>
          <w:sz w:val="24"/>
        </w:rPr>
        <w:t xml:space="preserve">（辽宁、黑龙江）共2个省份，TOPSIS得分均值为0.258，标准差为0.070。东北地区在五个维度上的表现均处于末位水平，面临”全面落后”的困境。东北地区的平台绩效低下，既受到区域经济发展滞后的制约，也受到人口流失和人才短缺的影响。</w:t>
      </w:r>
    </w:p>
    <w:p>
      <w:pPr>
        <w:pStyle w:val="BodyText"/>
        <w:spacing w:line="360" w:lineRule="auto"/>
      </w:pPr>
      <w:r>
        <w:rPr>
          <w:rFonts w:hint="eastAsia" w:ascii="宋体" w:hAnsi="宋体" w:eastAsia="宋体"/>
          <w:color w:val="000000"/>
          <w:sz w:val="24"/>
        </w:rPr>
        <w:t xml:space="preserve">方差分析（ANOVA）结果显示，四大区域在TOPSIS综合得分上存在显著差异（F=8.72，p&lt;0.001）。事后检验（Tukey</w:t>
      </w:r>
      <w:r>
        <w:rPr>
          <w:rFonts w:ascii="宋体" w:hAnsi="宋体" w:eastAsia="宋体"/>
          <w:color w:val="000000"/>
          <w:sz w:val="24"/>
        </w:rPr>
        <w:t xml:space="preserve"> </w:t>
      </w:r>
      <w:r>
        <w:rPr>
          <w:rFonts w:hint="eastAsia" w:ascii="宋体" w:hAnsi="宋体" w:eastAsia="宋体"/>
          <w:color w:val="000000"/>
          <w:sz w:val="24"/>
        </w:rPr>
        <w:t xml:space="preserve">HSD）表明，东部与中部（p&lt;0.01）、东部与东北（p&lt;0.001）、西部与东北（p&lt;0.05）之间存在显著差异，而东部与西部之间、中部与西部之间的差异不显著。这一结果表明，区域差异主要体现为”东部领先”和”东北落后”两个极端，中部和西部处于中间位置。</w:t>
      </w:r>
    </w:p>
    <w:bookmarkEnd w:id="168"/>
    <w:bookmarkEnd w:id="169"/>
    <w:bookmarkStart w:id="173" w:name="dea效率评价"/>
    <w:p>
      <w:pPr>
        <w:pStyle w:val="Heading3"/>
        <w:spacing w:line="360" w:lineRule="auto"/>
      </w:pPr>
      <w:r>
        <w:rPr>
          <w:rFonts w:ascii="黑体" w:hAnsi="黑体" w:eastAsia="黑体"/>
          <w:b/>
          <w:color w:val="000000"/>
          <w:sz w:val="24"/>
        </w:rPr>
        <w:t xml:space="preserve">5.3 </w:t>
      </w:r>
      <w:r>
        <w:rPr>
          <w:rFonts w:hint="eastAsia" w:ascii="黑体" w:hAnsi="黑体" w:eastAsia="黑体"/>
          <w:b/>
          <w:color w:val="000000"/>
          <w:sz w:val="24"/>
        </w:rPr>
        <w:t xml:space="preserve">DEA效率评价</w:t>
      </w:r>
    </w:p>
    <w:bookmarkStart w:id="170" w:name="效率评价结果"/>
    <w:p>
      <w:pPr>
        <w:pStyle w:val="Heading4"/>
        <w:spacing w:line="360" w:lineRule="auto"/>
      </w:pPr>
      <w:r>
        <w:rPr>
          <w:rFonts w:ascii="宋体" w:hAnsi="宋体" w:eastAsia="宋体"/>
          <w:color w:val="000000"/>
          <w:sz w:val="24"/>
        </w:rPr>
        <w:t xml:space="preserve">5.3.1 </w:t>
      </w:r>
      <w:r>
        <w:rPr>
          <w:rFonts w:hint="eastAsia" w:ascii="宋体" w:hAnsi="宋体" w:eastAsia="宋体"/>
          <w:color w:val="000000"/>
          <w:sz w:val="24"/>
        </w:rPr>
        <w:t xml:space="preserve">效率评价结果</w:t>
      </w:r>
    </w:p>
    <w:p>
      <w:pPr>
        <w:pStyle w:val="FirstParagraph"/>
        <w:spacing w:line="360" w:lineRule="auto"/>
      </w:pPr>
      <w:r>
        <w:rPr>
          <w:rFonts w:hint="eastAsia" w:ascii="宋体" w:hAnsi="宋体" w:eastAsia="宋体"/>
          <w:color w:val="000000"/>
          <w:sz w:val="24"/>
        </w:rPr>
        <w:t xml:space="preserve">运用DEA-BCC模型对22个样本平台的资源配置效率进行评价，结果如表5-2所示。</w:t>
      </w:r>
    </w:p>
    <w:p>
      <w:pPr>
        <w:pStyle w:val="BodyText"/>
        <w:spacing w:line="360" w:lineRule="auto"/>
      </w:pPr>
      <w:r>
        <w:rPr>
          <w:rFonts w:hint="eastAsia" w:ascii="宋体" w:hAnsi="宋体" w:eastAsia="宋体"/>
          <w:b/>
          <w:bCs/>
          <w:color w:val="000000"/>
          <w:sz w:val="24"/>
        </w:rPr>
        <w:t xml:space="preserve">表5-2</w:t>
      </w:r>
      <w:r>
        <w:rPr>
          <w:rFonts w:ascii="宋体" w:hAnsi="宋体" w:eastAsia="宋体"/>
          <w:b/>
          <w:bCs/>
          <w:color w:val="000000"/>
          <w:sz w:val="24"/>
        </w:rPr>
        <w:t xml:space="preserve"> </w:t>
      </w:r>
      <w:r>
        <w:rPr>
          <w:rFonts w:hint="eastAsia" w:ascii="宋体" w:hAnsi="宋体" w:eastAsia="宋体"/>
          <w:b/>
          <w:bCs/>
          <w:color w:val="000000"/>
          <w:sz w:val="24"/>
        </w:rPr>
        <w:t xml:space="preserve">DEA效率评价结果</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rFonts w:hint="eastAsia"/>
              </w:rPr>
              <w:t xml:space="preserve">省份</w:t>
            </w:r>
          </w:p>
        </w:tc>
        <w:tc>
          <w:tcPr/>
          <w:p>
            <w:pPr>
              <w:pStyle w:val="Compact"/>
              <w:jc w:val="center"/>
            </w:pPr>
            <w:r>
              <w:rPr>
                <w:rFonts w:hint="eastAsia"/>
              </w:rPr>
              <w:t xml:space="preserve">效率值</w:t>
            </w:r>
          </w:p>
        </w:tc>
        <w:tc>
          <w:tcPr/>
          <w:p>
            <w:pPr>
              <w:pStyle w:val="Compact"/>
              <w:jc w:val="left"/>
            </w:pPr>
            <w:r>
              <w:rPr>
                <w:rFonts w:hint="eastAsia"/>
              </w:rPr>
              <w:t xml:space="preserve">类型</w:t>
            </w:r>
          </w:p>
        </w:tc>
        <w:tc>
          <w:tcPr/>
          <w:p>
            <w:pPr>
              <w:pStyle w:val="Compact"/>
              <w:jc w:val="center"/>
            </w:pPr>
            <w:r>
              <w:rPr>
                <w:rFonts w:hint="eastAsia"/>
              </w:rPr>
              <w:t xml:space="preserve">规模报酬</w:t>
            </w:r>
          </w:p>
        </w:tc>
        <w:tc>
          <w:tcPr/>
          <w:p>
            <w:pPr>
              <w:pStyle w:val="Compact"/>
              <w:jc w:val="center"/>
            </w:pPr>
            <w:r>
              <w:rPr>
                <w:rFonts w:hint="eastAsia"/>
              </w:rPr>
              <w:t xml:space="preserve">投入冗余率</w:t>
            </w:r>
          </w:p>
        </w:tc>
        <w:tc>
          <w:tcPr/>
          <w:p>
            <w:pPr>
              <w:pStyle w:val="Compact"/>
              <w:jc w:val="center"/>
            </w:pPr>
            <w:r>
              <w:rPr>
                <w:rFonts w:hint="eastAsia"/>
              </w:rPr>
              <w:t xml:space="preserve">产出不足率</w:t>
            </w:r>
          </w:p>
        </w:tc>
      </w:tr>
      <w:tr>
        <w:tc>
          <w:tcPr/>
          <w:p>
            <w:pPr>
              <w:pStyle w:val="Compact"/>
              <w:jc w:val="left"/>
            </w:pPr>
            <w:r>
              <w:rPr>
                <w:rFonts w:hint="eastAsia"/>
              </w:rPr>
              <w:t xml:space="preserve">广东</w:t>
            </w:r>
          </w:p>
        </w:tc>
        <w:tc>
          <w:tcPr/>
          <w:p>
            <w:pPr>
              <w:pStyle w:val="Compact"/>
              <w:jc w:val="center"/>
            </w:pPr>
            <w:r>
              <w:t xml:space="preserve">1.000</w:t>
            </w:r>
          </w:p>
        </w:tc>
        <w:tc>
          <w:tcPr/>
          <w:p>
            <w:pPr>
              <w:pStyle w:val="Compact"/>
              <w:jc w:val="left"/>
            </w:pPr>
            <w:r>
              <w:rPr>
                <w:rFonts w:hint="eastAsia"/>
              </w:rPr>
              <w:t xml:space="preserve">高绩效高效率</w:t>
            </w:r>
          </w:p>
        </w:tc>
        <w:tc>
          <w:tcPr/>
          <w:p>
            <w:pPr>
              <w:pStyle w:val="Compact"/>
              <w:jc w:val="center"/>
            </w:pPr>
            <w:r>
              <w:rPr>
                <w:rFonts w:hint="eastAsia"/>
              </w:rPr>
              <w:t xml:space="preserve">不变</w:t>
            </w:r>
          </w:p>
        </w:tc>
        <w:tc>
          <w:tcPr/>
          <w:p>
            <w:pPr>
              <w:pStyle w:val="Compact"/>
              <w:jc w:val="center"/>
            </w:pPr>
            <w:r>
              <w:t xml:space="preserve">0%</w:t>
            </w:r>
          </w:p>
        </w:tc>
        <w:tc>
          <w:tcPr/>
          <w:p>
            <w:pPr>
              <w:pStyle w:val="Compact"/>
              <w:jc w:val="center"/>
            </w:pPr>
            <w:r>
              <w:t xml:space="preserve">0%</w:t>
            </w:r>
          </w:p>
        </w:tc>
      </w:tr>
      <w:tr>
        <w:tc>
          <w:tcPr/>
          <w:p>
            <w:pPr>
              <w:pStyle w:val="Compact"/>
              <w:jc w:val="left"/>
            </w:pPr>
            <w:r>
              <w:rPr>
                <w:rFonts w:hint="eastAsia"/>
              </w:rPr>
              <w:t xml:space="preserve">浙江</w:t>
            </w:r>
          </w:p>
        </w:tc>
        <w:tc>
          <w:tcPr/>
          <w:p>
            <w:pPr>
              <w:pStyle w:val="Compact"/>
              <w:jc w:val="center"/>
            </w:pPr>
            <w:r>
              <w:t xml:space="preserve">0.861</w:t>
            </w:r>
          </w:p>
        </w:tc>
        <w:tc>
          <w:tcPr/>
          <w:p>
            <w:pPr>
              <w:pStyle w:val="Compact"/>
              <w:jc w:val="left"/>
            </w:pPr>
            <w:r>
              <w:rPr>
                <w:rFonts w:hint="eastAsia"/>
              </w:rPr>
              <w:t xml:space="preserve">高绩效中效率</w:t>
            </w:r>
          </w:p>
        </w:tc>
        <w:tc>
          <w:tcPr/>
          <w:p>
            <w:pPr>
              <w:pStyle w:val="Compact"/>
              <w:jc w:val="center"/>
            </w:pPr>
            <w:r>
              <w:rPr>
                <w:rFonts w:hint="eastAsia"/>
              </w:rPr>
              <w:t xml:space="preserve">递减</w:t>
            </w:r>
          </w:p>
        </w:tc>
        <w:tc>
          <w:tcPr/>
          <w:p>
            <w:pPr>
              <w:pStyle w:val="Compact"/>
              <w:jc w:val="center"/>
            </w:pPr>
            <w:r>
              <w:t xml:space="preserve">8%</w:t>
            </w:r>
          </w:p>
        </w:tc>
        <w:tc>
          <w:tcPr/>
          <w:p>
            <w:pPr>
              <w:pStyle w:val="Compact"/>
              <w:jc w:val="center"/>
            </w:pPr>
            <w:r>
              <w:t xml:space="preserve">5%</w:t>
            </w:r>
          </w:p>
        </w:tc>
      </w:tr>
      <w:tr>
        <w:tc>
          <w:tcPr/>
          <w:p>
            <w:pPr>
              <w:pStyle w:val="Compact"/>
              <w:jc w:val="left"/>
            </w:pPr>
            <w:r>
              <w:rPr>
                <w:rFonts w:hint="eastAsia"/>
              </w:rPr>
              <w:t xml:space="preserve">山东</w:t>
            </w:r>
          </w:p>
        </w:tc>
        <w:tc>
          <w:tcPr/>
          <w:p>
            <w:pPr>
              <w:pStyle w:val="Compact"/>
              <w:jc w:val="center"/>
            </w:pPr>
            <w:r>
              <w:t xml:space="preserve">1.000</w:t>
            </w:r>
          </w:p>
        </w:tc>
        <w:tc>
          <w:tcPr/>
          <w:p>
            <w:pPr>
              <w:pStyle w:val="Compact"/>
              <w:jc w:val="left"/>
            </w:pPr>
            <w:r>
              <w:rPr>
                <w:rFonts w:hint="eastAsia"/>
              </w:rPr>
              <w:t xml:space="preserve">高绩效高效率</w:t>
            </w:r>
          </w:p>
        </w:tc>
        <w:tc>
          <w:tcPr/>
          <w:p>
            <w:pPr>
              <w:pStyle w:val="Compact"/>
              <w:jc w:val="center"/>
            </w:pPr>
            <w:r>
              <w:rPr>
                <w:rFonts w:hint="eastAsia"/>
              </w:rPr>
              <w:t xml:space="preserve">不变</w:t>
            </w:r>
          </w:p>
        </w:tc>
        <w:tc>
          <w:tcPr/>
          <w:p>
            <w:pPr>
              <w:pStyle w:val="Compact"/>
              <w:jc w:val="center"/>
            </w:pPr>
            <w:r>
              <w:t xml:space="preserve">0%</w:t>
            </w:r>
          </w:p>
        </w:tc>
        <w:tc>
          <w:tcPr/>
          <w:p>
            <w:pPr>
              <w:pStyle w:val="Compact"/>
              <w:jc w:val="center"/>
            </w:pPr>
            <w:r>
              <w:t xml:space="preserve">0%</w:t>
            </w:r>
          </w:p>
        </w:tc>
      </w:tr>
      <w:tr>
        <w:tc>
          <w:tcPr/>
          <w:p>
            <w:pPr>
              <w:pStyle w:val="Compact"/>
              <w:jc w:val="left"/>
            </w:pPr>
            <w:r>
              <w:rPr>
                <w:rFonts w:hint="eastAsia"/>
              </w:rPr>
              <w:t xml:space="preserve">贵州</w:t>
            </w:r>
          </w:p>
        </w:tc>
        <w:tc>
          <w:tcPr/>
          <w:p>
            <w:pPr>
              <w:pStyle w:val="Compact"/>
              <w:jc w:val="center"/>
            </w:pPr>
            <w:r>
              <w:t xml:space="preserve">1.000</w:t>
            </w:r>
          </w:p>
        </w:tc>
        <w:tc>
          <w:tcPr/>
          <w:p>
            <w:pPr>
              <w:pStyle w:val="Compact"/>
              <w:jc w:val="left"/>
            </w:pPr>
            <w:r>
              <w:rPr>
                <w:rFonts w:hint="eastAsia"/>
              </w:rPr>
              <w:t xml:space="preserve">中绩效高效率</w:t>
            </w:r>
          </w:p>
        </w:tc>
        <w:tc>
          <w:tcPr/>
          <w:p>
            <w:pPr>
              <w:pStyle w:val="Compact"/>
              <w:jc w:val="center"/>
            </w:pPr>
            <w:r>
              <w:rPr>
                <w:rFonts w:hint="eastAsia"/>
              </w:rPr>
              <w:t xml:space="preserve">递增</w:t>
            </w:r>
          </w:p>
        </w:tc>
        <w:tc>
          <w:tcPr/>
          <w:p>
            <w:pPr>
              <w:pStyle w:val="Compact"/>
              <w:jc w:val="center"/>
            </w:pPr>
            <w:r>
              <w:t xml:space="preserve">0%</w:t>
            </w:r>
          </w:p>
        </w:tc>
        <w:tc>
          <w:tcPr/>
          <w:p>
            <w:pPr>
              <w:pStyle w:val="Compact"/>
              <w:jc w:val="center"/>
            </w:pPr>
            <w:r>
              <w:t xml:space="preserve">0%</w:t>
            </w:r>
          </w:p>
        </w:tc>
      </w:tr>
      <w:tr>
        <w:tc>
          <w:tcPr/>
          <w:p>
            <w:pPr>
              <w:pStyle w:val="Compact"/>
              <w:jc w:val="left"/>
            </w:pPr>
            <w:r>
              <w:rPr>
                <w:rFonts w:hint="eastAsia"/>
              </w:rPr>
              <w:t xml:space="preserve">四川</w:t>
            </w:r>
          </w:p>
        </w:tc>
        <w:tc>
          <w:tcPr/>
          <w:p>
            <w:pPr>
              <w:pStyle w:val="Compact"/>
              <w:jc w:val="center"/>
            </w:pPr>
            <w:r>
              <w:t xml:space="preserve">1.000</w:t>
            </w:r>
          </w:p>
        </w:tc>
        <w:tc>
          <w:tcPr/>
          <w:p>
            <w:pPr>
              <w:pStyle w:val="Compact"/>
              <w:jc w:val="left"/>
            </w:pPr>
            <w:r>
              <w:rPr>
                <w:rFonts w:hint="eastAsia"/>
              </w:rPr>
              <w:t xml:space="preserve">中绩效高效率</w:t>
            </w:r>
          </w:p>
        </w:tc>
        <w:tc>
          <w:tcPr/>
          <w:p>
            <w:pPr>
              <w:pStyle w:val="Compact"/>
              <w:jc w:val="center"/>
            </w:pPr>
            <w:r>
              <w:rPr>
                <w:rFonts w:hint="eastAsia"/>
              </w:rPr>
              <w:t xml:space="preserve">递增</w:t>
            </w:r>
          </w:p>
        </w:tc>
        <w:tc>
          <w:tcPr/>
          <w:p>
            <w:pPr>
              <w:pStyle w:val="Compact"/>
              <w:jc w:val="center"/>
            </w:pPr>
            <w:r>
              <w:t xml:space="preserve">0%</w:t>
            </w:r>
          </w:p>
        </w:tc>
        <w:tc>
          <w:tcPr/>
          <w:p>
            <w:pPr>
              <w:pStyle w:val="Compact"/>
              <w:jc w:val="center"/>
            </w:pPr>
            <w:r>
              <w:t xml:space="preserve">0%</w:t>
            </w:r>
          </w:p>
        </w:tc>
      </w:tr>
      <w:tr>
        <w:tc>
          <w:tcPr/>
          <w:p>
            <w:pPr>
              <w:pStyle w:val="Compact"/>
              <w:jc w:val="left"/>
            </w:pPr>
            <w:r>
              <w:rPr>
                <w:rFonts w:hint="eastAsia"/>
              </w:rPr>
              <w:t xml:space="preserve">北京</w:t>
            </w:r>
          </w:p>
        </w:tc>
        <w:tc>
          <w:tcPr/>
          <w:p>
            <w:pPr>
              <w:pStyle w:val="Compact"/>
              <w:jc w:val="center"/>
            </w:pPr>
            <w:r>
              <w:t xml:space="preserve">0.688</w:t>
            </w:r>
          </w:p>
        </w:tc>
        <w:tc>
          <w:tcPr/>
          <w:p>
            <w:pPr>
              <w:pStyle w:val="Compact"/>
              <w:jc w:val="left"/>
            </w:pPr>
            <w:r>
              <w:rPr>
                <w:rFonts w:hint="eastAsia"/>
              </w:rPr>
              <w:t xml:space="preserve">中绩效中效率</w:t>
            </w:r>
          </w:p>
        </w:tc>
        <w:tc>
          <w:tcPr/>
          <w:p>
            <w:pPr>
              <w:pStyle w:val="Compact"/>
              <w:jc w:val="center"/>
            </w:pPr>
            <w:r>
              <w:rPr>
                <w:rFonts w:hint="eastAsia"/>
              </w:rPr>
              <w:t xml:space="preserve">递减</w:t>
            </w:r>
          </w:p>
        </w:tc>
        <w:tc>
          <w:tcPr/>
          <w:p>
            <w:pPr>
              <w:pStyle w:val="Compact"/>
              <w:jc w:val="center"/>
            </w:pPr>
            <w:r>
              <w:t xml:space="preserve">15%</w:t>
            </w:r>
          </w:p>
        </w:tc>
        <w:tc>
          <w:tcPr/>
          <w:p>
            <w:pPr>
              <w:pStyle w:val="Compact"/>
              <w:jc w:val="center"/>
            </w:pPr>
            <w:r>
              <w:t xml:space="preserve">12%</w:t>
            </w:r>
          </w:p>
        </w:tc>
      </w:tr>
      <w:tr>
        <w:tc>
          <w:tcPr/>
          <w:p>
            <w:pPr>
              <w:pStyle w:val="Compact"/>
              <w:jc w:val="left"/>
            </w:pPr>
            <w:r>
              <w:rPr>
                <w:rFonts w:hint="eastAsia"/>
              </w:rPr>
              <w:t xml:space="preserve">上海</w:t>
            </w:r>
          </w:p>
        </w:tc>
        <w:tc>
          <w:tcPr/>
          <w:p>
            <w:pPr>
              <w:pStyle w:val="Compact"/>
              <w:jc w:val="center"/>
            </w:pPr>
            <w:r>
              <w:t xml:space="preserve">0.622</w:t>
            </w:r>
          </w:p>
        </w:tc>
        <w:tc>
          <w:tcPr/>
          <w:p>
            <w:pPr>
              <w:pStyle w:val="Compact"/>
              <w:jc w:val="left"/>
            </w:pPr>
            <w:r>
              <w:rPr>
                <w:rFonts w:hint="eastAsia"/>
              </w:rPr>
              <w:t xml:space="preserve">中绩效中效率</w:t>
            </w:r>
          </w:p>
        </w:tc>
        <w:tc>
          <w:tcPr/>
          <w:p>
            <w:pPr>
              <w:pStyle w:val="Compact"/>
              <w:jc w:val="center"/>
            </w:pPr>
            <w:r>
              <w:rPr>
                <w:rFonts w:hint="eastAsia"/>
              </w:rPr>
              <w:t xml:space="preserve">递减</w:t>
            </w:r>
          </w:p>
        </w:tc>
        <w:tc>
          <w:tcPr/>
          <w:p>
            <w:pPr>
              <w:pStyle w:val="Compact"/>
              <w:jc w:val="center"/>
            </w:pPr>
            <w:r>
              <w:t xml:space="preserve">18%</w:t>
            </w:r>
          </w:p>
        </w:tc>
        <w:tc>
          <w:tcPr/>
          <w:p>
            <w:pPr>
              <w:pStyle w:val="Compact"/>
              <w:jc w:val="center"/>
            </w:pPr>
            <w:r>
              <w:t xml:space="preserve">14%</w:t>
            </w:r>
          </w:p>
        </w:tc>
      </w:tr>
      <w:tr>
        <w:tc>
          <w:tcPr/>
          <w:p>
            <w:pPr>
              <w:pStyle w:val="Compact"/>
              <w:jc w:val="left"/>
            </w:pPr>
            <w:r>
              <w:rPr>
                <w:rFonts w:hint="eastAsia"/>
              </w:rPr>
              <w:t xml:space="preserve">福建</w:t>
            </w:r>
          </w:p>
        </w:tc>
        <w:tc>
          <w:tcPr/>
          <w:p>
            <w:pPr>
              <w:pStyle w:val="Compact"/>
              <w:jc w:val="center"/>
            </w:pPr>
            <w:r>
              <w:t xml:space="preserve">1.000</w:t>
            </w:r>
          </w:p>
        </w:tc>
        <w:tc>
          <w:tcPr/>
          <w:p>
            <w:pPr>
              <w:pStyle w:val="Compact"/>
              <w:jc w:val="left"/>
            </w:pPr>
            <w:r>
              <w:rPr>
                <w:rFonts w:hint="eastAsia"/>
              </w:rPr>
              <w:t xml:space="preserve">中绩效高效率</w:t>
            </w:r>
          </w:p>
        </w:tc>
        <w:tc>
          <w:tcPr/>
          <w:p>
            <w:pPr>
              <w:pStyle w:val="Compact"/>
              <w:jc w:val="center"/>
            </w:pPr>
            <w:r>
              <w:rPr>
                <w:rFonts w:hint="eastAsia"/>
              </w:rPr>
              <w:t xml:space="preserve">递增</w:t>
            </w:r>
          </w:p>
        </w:tc>
        <w:tc>
          <w:tcPr/>
          <w:p>
            <w:pPr>
              <w:pStyle w:val="Compact"/>
              <w:jc w:val="center"/>
            </w:pPr>
            <w:r>
              <w:t xml:space="preserve">0%</w:t>
            </w:r>
          </w:p>
        </w:tc>
        <w:tc>
          <w:tcPr/>
          <w:p>
            <w:pPr>
              <w:pStyle w:val="Compact"/>
              <w:jc w:val="center"/>
            </w:pPr>
            <w:r>
              <w:t xml:space="preserve">0%</w:t>
            </w:r>
          </w:p>
        </w:tc>
      </w:tr>
      <w:tr>
        <w:tc>
          <w:tcPr/>
          <w:p>
            <w:pPr>
              <w:pStyle w:val="Compact"/>
              <w:jc w:val="left"/>
            </w:pPr>
            <w:r>
              <w:rPr>
                <w:rFonts w:hint="eastAsia"/>
              </w:rPr>
              <w:t xml:space="preserve">河南</w:t>
            </w:r>
          </w:p>
        </w:tc>
        <w:tc>
          <w:tcPr/>
          <w:p>
            <w:pPr>
              <w:pStyle w:val="Compact"/>
              <w:jc w:val="center"/>
            </w:pPr>
            <w:r>
              <w:t xml:space="preserve">1.000</w:t>
            </w:r>
          </w:p>
        </w:tc>
        <w:tc>
          <w:tcPr/>
          <w:p>
            <w:pPr>
              <w:pStyle w:val="Compact"/>
              <w:jc w:val="left"/>
            </w:pPr>
            <w:r>
              <w:rPr>
                <w:rFonts w:hint="eastAsia"/>
              </w:rPr>
              <w:t xml:space="preserve">中绩效高效率</w:t>
            </w:r>
          </w:p>
        </w:tc>
        <w:tc>
          <w:tcPr/>
          <w:p>
            <w:pPr>
              <w:pStyle w:val="Compact"/>
              <w:jc w:val="center"/>
            </w:pPr>
            <w:r>
              <w:rPr>
                <w:rFonts w:hint="eastAsia"/>
              </w:rPr>
              <w:t xml:space="preserve">递增</w:t>
            </w:r>
          </w:p>
        </w:tc>
        <w:tc>
          <w:tcPr/>
          <w:p>
            <w:pPr>
              <w:pStyle w:val="Compact"/>
              <w:jc w:val="center"/>
            </w:pPr>
            <w:r>
              <w:t xml:space="preserve">0%</w:t>
            </w:r>
          </w:p>
        </w:tc>
        <w:tc>
          <w:tcPr/>
          <w:p>
            <w:pPr>
              <w:pStyle w:val="Compact"/>
              <w:jc w:val="center"/>
            </w:pPr>
            <w:r>
              <w:t xml:space="preserve">0%</w:t>
            </w:r>
          </w:p>
        </w:tc>
      </w:tr>
      <w:tr>
        <w:tc>
          <w:tcPr/>
          <w:p>
            <w:pPr>
              <w:pStyle w:val="Compact"/>
              <w:jc w:val="left"/>
            </w:pPr>
            <w:r>
              <w:rPr>
                <w:rFonts w:hint="eastAsia"/>
              </w:rPr>
              <w:t xml:space="preserve">江苏</w:t>
            </w:r>
          </w:p>
        </w:tc>
        <w:tc>
          <w:tcPr/>
          <w:p>
            <w:pPr>
              <w:pStyle w:val="Compact"/>
              <w:jc w:val="center"/>
            </w:pPr>
            <w:r>
              <w:t xml:space="preserve">0.710</w:t>
            </w:r>
          </w:p>
        </w:tc>
        <w:tc>
          <w:tcPr/>
          <w:p>
            <w:pPr>
              <w:pStyle w:val="Compact"/>
              <w:jc w:val="left"/>
            </w:pPr>
            <w:r>
              <w:rPr>
                <w:rFonts w:hint="eastAsia"/>
              </w:rPr>
              <w:t xml:space="preserve">中绩效中效率</w:t>
            </w:r>
          </w:p>
        </w:tc>
        <w:tc>
          <w:tcPr/>
          <w:p>
            <w:pPr>
              <w:pStyle w:val="Compact"/>
              <w:jc w:val="center"/>
            </w:pPr>
            <w:r>
              <w:rPr>
                <w:rFonts w:hint="eastAsia"/>
              </w:rPr>
              <w:t xml:space="preserve">递减</w:t>
            </w:r>
          </w:p>
        </w:tc>
        <w:tc>
          <w:tcPr/>
          <w:p>
            <w:pPr>
              <w:pStyle w:val="Compact"/>
              <w:jc w:val="center"/>
            </w:pPr>
            <w:r>
              <w:t xml:space="preserve">12%</w:t>
            </w:r>
          </w:p>
        </w:tc>
        <w:tc>
          <w:tcPr/>
          <w:p>
            <w:pPr>
              <w:pStyle w:val="Compact"/>
              <w:jc w:val="center"/>
            </w:pPr>
            <w:r>
              <w:t xml:space="preserve">9%</w:t>
            </w:r>
          </w:p>
        </w:tc>
      </w:tr>
      <w:tr>
        <w:tc>
          <w:tcPr/>
          <w:p>
            <w:pPr>
              <w:pStyle w:val="Compact"/>
              <w:jc w:val="left"/>
            </w:pPr>
            <w:r>
              <w:rPr>
                <w:rFonts w:hint="eastAsia"/>
              </w:rPr>
              <w:t xml:space="preserve">江西</w:t>
            </w:r>
          </w:p>
        </w:tc>
        <w:tc>
          <w:tcPr/>
          <w:p>
            <w:pPr>
              <w:pStyle w:val="Compact"/>
              <w:jc w:val="center"/>
            </w:pPr>
            <w:r>
              <w:t xml:space="preserve">1.000</w:t>
            </w:r>
          </w:p>
        </w:tc>
        <w:tc>
          <w:tcPr/>
          <w:p>
            <w:pPr>
              <w:pStyle w:val="Compact"/>
              <w:jc w:val="left"/>
            </w:pPr>
            <w:r>
              <w:rPr>
                <w:rFonts w:hint="eastAsia"/>
              </w:rPr>
              <w:t xml:space="preserve">中绩效高效率</w:t>
            </w:r>
          </w:p>
        </w:tc>
        <w:tc>
          <w:tcPr/>
          <w:p>
            <w:pPr>
              <w:pStyle w:val="Compact"/>
              <w:jc w:val="center"/>
            </w:pPr>
            <w:r>
              <w:rPr>
                <w:rFonts w:hint="eastAsia"/>
              </w:rPr>
              <w:t xml:space="preserve">递增</w:t>
            </w:r>
          </w:p>
        </w:tc>
        <w:tc>
          <w:tcPr/>
          <w:p>
            <w:pPr>
              <w:pStyle w:val="Compact"/>
              <w:jc w:val="center"/>
            </w:pPr>
            <w:r>
              <w:t xml:space="preserve">0%</w:t>
            </w:r>
          </w:p>
        </w:tc>
        <w:tc>
          <w:tcPr/>
          <w:p>
            <w:pPr>
              <w:pStyle w:val="Compact"/>
              <w:jc w:val="center"/>
            </w:pPr>
            <w:r>
              <w:t xml:space="preserve">0%</w:t>
            </w:r>
          </w:p>
        </w:tc>
      </w:tr>
      <w:tr>
        <w:tc>
          <w:tcPr/>
          <w:p>
            <w:pPr>
              <w:pStyle w:val="Compact"/>
              <w:jc w:val="left"/>
            </w:pPr>
            <w:r>
              <w:rPr>
                <w:rFonts w:hint="eastAsia"/>
              </w:rPr>
              <w:t xml:space="preserve">湖北</w:t>
            </w:r>
          </w:p>
        </w:tc>
        <w:tc>
          <w:tcPr/>
          <w:p>
            <w:pPr>
              <w:pStyle w:val="Compact"/>
              <w:jc w:val="center"/>
            </w:pPr>
            <w:r>
              <w:t xml:space="preserve">0.729</w:t>
            </w:r>
          </w:p>
        </w:tc>
        <w:tc>
          <w:tcPr/>
          <w:p>
            <w:pPr>
              <w:pStyle w:val="Compact"/>
              <w:jc w:val="left"/>
            </w:pPr>
            <w:r>
              <w:rPr>
                <w:rFonts w:hint="eastAsia"/>
              </w:rPr>
              <w:t xml:space="preserve">中绩效中效率</w:t>
            </w:r>
          </w:p>
        </w:tc>
        <w:tc>
          <w:tcPr/>
          <w:p>
            <w:pPr>
              <w:pStyle w:val="Compact"/>
              <w:jc w:val="center"/>
            </w:pPr>
            <w:r>
              <w:rPr>
                <w:rFonts w:hint="eastAsia"/>
              </w:rPr>
              <w:t xml:space="preserve">递增</w:t>
            </w:r>
          </w:p>
        </w:tc>
        <w:tc>
          <w:tcPr/>
          <w:p>
            <w:pPr>
              <w:pStyle w:val="Compact"/>
              <w:jc w:val="center"/>
            </w:pPr>
            <w:r>
              <w:t xml:space="preserve">10%</w:t>
            </w:r>
          </w:p>
        </w:tc>
        <w:tc>
          <w:tcPr/>
          <w:p>
            <w:pPr>
              <w:pStyle w:val="Compact"/>
              <w:jc w:val="center"/>
            </w:pPr>
            <w:r>
              <w:t xml:space="preserve">8%</w:t>
            </w:r>
          </w:p>
        </w:tc>
      </w:tr>
      <w:tr>
        <w:tc>
          <w:tcPr/>
          <w:p>
            <w:pPr>
              <w:pStyle w:val="Compact"/>
              <w:jc w:val="left"/>
            </w:pPr>
            <w:r>
              <w:rPr>
                <w:rFonts w:hint="eastAsia"/>
              </w:rPr>
              <w:t xml:space="preserve">广西</w:t>
            </w:r>
          </w:p>
        </w:tc>
        <w:tc>
          <w:tcPr/>
          <w:p>
            <w:pPr>
              <w:pStyle w:val="Compact"/>
              <w:jc w:val="center"/>
            </w:pPr>
            <w:r>
              <w:t xml:space="preserve">1.000</w:t>
            </w:r>
          </w:p>
        </w:tc>
        <w:tc>
          <w:tcPr/>
          <w:p>
            <w:pPr>
              <w:pStyle w:val="Compact"/>
              <w:jc w:val="left"/>
            </w:pPr>
            <w:r>
              <w:rPr>
                <w:rFonts w:hint="eastAsia"/>
              </w:rPr>
              <w:t xml:space="preserve">中绩效高效率</w:t>
            </w:r>
          </w:p>
        </w:tc>
        <w:tc>
          <w:tcPr/>
          <w:p>
            <w:pPr>
              <w:pStyle w:val="Compact"/>
              <w:jc w:val="center"/>
            </w:pPr>
            <w:r>
              <w:rPr>
                <w:rFonts w:hint="eastAsia"/>
              </w:rPr>
              <w:t xml:space="preserve">递增</w:t>
            </w:r>
          </w:p>
        </w:tc>
        <w:tc>
          <w:tcPr/>
          <w:p>
            <w:pPr>
              <w:pStyle w:val="Compact"/>
              <w:jc w:val="center"/>
            </w:pPr>
            <w:r>
              <w:t xml:space="preserve">0%</w:t>
            </w:r>
          </w:p>
        </w:tc>
        <w:tc>
          <w:tcPr/>
          <w:p>
            <w:pPr>
              <w:pStyle w:val="Compact"/>
              <w:jc w:val="center"/>
            </w:pPr>
            <w:r>
              <w:t xml:space="preserve">0%</w:t>
            </w:r>
          </w:p>
        </w:tc>
      </w:tr>
      <w:tr>
        <w:tc>
          <w:tcPr/>
          <w:p>
            <w:pPr>
              <w:pStyle w:val="Compact"/>
              <w:jc w:val="left"/>
            </w:pPr>
            <w:r>
              <w:rPr>
                <w:rFonts w:hint="eastAsia"/>
              </w:rPr>
              <w:t xml:space="preserve">湖南</w:t>
            </w:r>
          </w:p>
        </w:tc>
        <w:tc>
          <w:tcPr/>
          <w:p>
            <w:pPr>
              <w:pStyle w:val="Compact"/>
              <w:jc w:val="center"/>
            </w:pPr>
            <w:r>
              <w:t xml:space="preserve">1.000</w:t>
            </w:r>
          </w:p>
        </w:tc>
        <w:tc>
          <w:tcPr/>
          <w:p>
            <w:pPr>
              <w:pStyle w:val="Compact"/>
              <w:jc w:val="left"/>
            </w:pPr>
            <w:r>
              <w:rPr>
                <w:rFonts w:hint="eastAsia"/>
              </w:rPr>
              <w:t xml:space="preserve">中绩效高效率</w:t>
            </w:r>
          </w:p>
        </w:tc>
        <w:tc>
          <w:tcPr/>
          <w:p>
            <w:pPr>
              <w:pStyle w:val="Compact"/>
              <w:jc w:val="center"/>
            </w:pPr>
            <w:r>
              <w:rPr>
                <w:rFonts w:hint="eastAsia"/>
              </w:rPr>
              <w:t xml:space="preserve">递增</w:t>
            </w:r>
          </w:p>
        </w:tc>
        <w:tc>
          <w:tcPr/>
          <w:p>
            <w:pPr>
              <w:pStyle w:val="Compact"/>
              <w:jc w:val="center"/>
            </w:pPr>
            <w:r>
              <w:t xml:space="preserve">0%</w:t>
            </w:r>
          </w:p>
        </w:tc>
        <w:tc>
          <w:tcPr/>
          <w:p>
            <w:pPr>
              <w:pStyle w:val="Compact"/>
              <w:jc w:val="center"/>
            </w:pPr>
            <w:r>
              <w:t xml:space="preserve">0%</w:t>
            </w:r>
          </w:p>
        </w:tc>
      </w:tr>
      <w:tr>
        <w:tc>
          <w:tcPr/>
          <w:p>
            <w:pPr>
              <w:pStyle w:val="Compact"/>
              <w:jc w:val="left"/>
            </w:pPr>
            <w:r>
              <w:rPr>
                <w:rFonts w:hint="eastAsia"/>
              </w:rPr>
              <w:t xml:space="preserve">安徽</w:t>
            </w:r>
          </w:p>
        </w:tc>
        <w:tc>
          <w:tcPr/>
          <w:p>
            <w:pPr>
              <w:pStyle w:val="Compact"/>
              <w:jc w:val="center"/>
            </w:pPr>
            <w:r>
              <w:t xml:space="preserve">0.780</w:t>
            </w:r>
          </w:p>
        </w:tc>
        <w:tc>
          <w:tcPr/>
          <w:p>
            <w:pPr>
              <w:pStyle w:val="Compact"/>
              <w:jc w:val="left"/>
            </w:pPr>
            <w:r>
              <w:rPr>
                <w:rFonts w:hint="eastAsia"/>
              </w:rPr>
              <w:t xml:space="preserve">中绩效中效率</w:t>
            </w:r>
          </w:p>
        </w:tc>
        <w:tc>
          <w:tcPr/>
          <w:p>
            <w:pPr>
              <w:pStyle w:val="Compact"/>
              <w:jc w:val="center"/>
            </w:pPr>
            <w:r>
              <w:rPr>
                <w:rFonts w:hint="eastAsia"/>
              </w:rPr>
              <w:t xml:space="preserve">递增</w:t>
            </w:r>
          </w:p>
        </w:tc>
        <w:tc>
          <w:tcPr/>
          <w:p>
            <w:pPr>
              <w:pStyle w:val="Compact"/>
              <w:jc w:val="center"/>
            </w:pPr>
            <w:r>
              <w:t xml:space="preserve">9%</w:t>
            </w:r>
          </w:p>
        </w:tc>
        <w:tc>
          <w:tcPr/>
          <w:p>
            <w:pPr>
              <w:pStyle w:val="Compact"/>
              <w:jc w:val="center"/>
            </w:pPr>
            <w:r>
              <w:t xml:space="preserve">7%</w:t>
            </w:r>
          </w:p>
        </w:tc>
      </w:tr>
      <w:tr>
        <w:tc>
          <w:tcPr/>
          <w:p>
            <w:pPr>
              <w:pStyle w:val="Compact"/>
              <w:jc w:val="left"/>
            </w:pPr>
            <w:r>
              <w:rPr>
                <w:rFonts w:hint="eastAsia"/>
              </w:rPr>
              <w:t xml:space="preserve">海南</w:t>
            </w:r>
          </w:p>
        </w:tc>
        <w:tc>
          <w:tcPr/>
          <w:p>
            <w:pPr>
              <w:pStyle w:val="Compact"/>
              <w:jc w:val="center"/>
            </w:pPr>
            <w:r>
              <w:t xml:space="preserve">0.926</w:t>
            </w:r>
          </w:p>
        </w:tc>
        <w:tc>
          <w:tcPr/>
          <w:p>
            <w:pPr>
              <w:pStyle w:val="Compact"/>
              <w:jc w:val="left"/>
            </w:pPr>
            <w:r>
              <w:rPr>
                <w:rFonts w:hint="eastAsia"/>
              </w:rPr>
              <w:t xml:space="preserve">中绩效高效率</w:t>
            </w:r>
          </w:p>
        </w:tc>
        <w:tc>
          <w:tcPr/>
          <w:p>
            <w:pPr>
              <w:pStyle w:val="Compact"/>
              <w:jc w:val="center"/>
            </w:pPr>
            <w:r>
              <w:rPr>
                <w:rFonts w:hint="eastAsia"/>
              </w:rPr>
              <w:t xml:space="preserve">递增</w:t>
            </w:r>
          </w:p>
        </w:tc>
        <w:tc>
          <w:tcPr/>
          <w:p>
            <w:pPr>
              <w:pStyle w:val="Compact"/>
              <w:jc w:val="center"/>
            </w:pPr>
            <w:r>
              <w:t xml:space="preserve">3%</w:t>
            </w:r>
          </w:p>
        </w:tc>
        <w:tc>
          <w:tcPr/>
          <w:p>
            <w:pPr>
              <w:pStyle w:val="Compact"/>
              <w:jc w:val="center"/>
            </w:pPr>
            <w:r>
              <w:t xml:space="preserve">2%</w:t>
            </w:r>
          </w:p>
        </w:tc>
      </w:tr>
      <w:tr>
        <w:tc>
          <w:tcPr/>
          <w:p>
            <w:pPr>
              <w:pStyle w:val="Compact"/>
              <w:jc w:val="left"/>
            </w:pPr>
            <w:r>
              <w:rPr>
                <w:rFonts w:hint="eastAsia"/>
              </w:rPr>
              <w:t xml:space="preserve">辽宁</w:t>
            </w:r>
          </w:p>
        </w:tc>
        <w:tc>
          <w:tcPr/>
          <w:p>
            <w:pPr>
              <w:pStyle w:val="Compact"/>
              <w:jc w:val="center"/>
            </w:pPr>
            <w:r>
              <w:t xml:space="preserve">0.625</w:t>
            </w:r>
          </w:p>
        </w:tc>
        <w:tc>
          <w:tcPr/>
          <w:p>
            <w:pPr>
              <w:pStyle w:val="Compact"/>
              <w:jc w:val="left"/>
            </w:pPr>
            <w:r>
              <w:rPr>
                <w:rFonts w:hint="eastAsia"/>
              </w:rPr>
              <w:t xml:space="preserve">低绩效中效率</w:t>
            </w:r>
          </w:p>
        </w:tc>
        <w:tc>
          <w:tcPr/>
          <w:p>
            <w:pPr>
              <w:pStyle w:val="Compact"/>
              <w:jc w:val="center"/>
            </w:pPr>
            <w:r>
              <w:rPr>
                <w:rFonts w:hint="eastAsia"/>
              </w:rPr>
              <w:t xml:space="preserve">递增</w:t>
            </w:r>
          </w:p>
        </w:tc>
        <w:tc>
          <w:tcPr/>
          <w:p>
            <w:pPr>
              <w:pStyle w:val="Compact"/>
              <w:jc w:val="center"/>
            </w:pPr>
            <w:r>
              <w:t xml:space="preserve">16%</w:t>
            </w:r>
          </w:p>
        </w:tc>
        <w:tc>
          <w:tcPr/>
          <w:p>
            <w:pPr>
              <w:pStyle w:val="Compact"/>
              <w:jc w:val="center"/>
            </w:pPr>
            <w:r>
              <w:t xml:space="preserve">13%</w:t>
            </w:r>
          </w:p>
        </w:tc>
      </w:tr>
      <w:tr>
        <w:tc>
          <w:tcPr/>
          <w:p>
            <w:pPr>
              <w:pStyle w:val="Compact"/>
              <w:jc w:val="left"/>
            </w:pPr>
            <w:r>
              <w:rPr>
                <w:rFonts w:hint="eastAsia"/>
              </w:rPr>
              <w:t xml:space="preserve">河北</w:t>
            </w:r>
          </w:p>
        </w:tc>
        <w:tc>
          <w:tcPr/>
          <w:p>
            <w:pPr>
              <w:pStyle w:val="Compact"/>
              <w:jc w:val="center"/>
            </w:pPr>
            <w:r>
              <w:t xml:space="preserve">0.696</w:t>
            </w:r>
          </w:p>
        </w:tc>
        <w:tc>
          <w:tcPr/>
          <w:p>
            <w:pPr>
              <w:pStyle w:val="Compact"/>
              <w:jc w:val="left"/>
            </w:pPr>
            <w:r>
              <w:rPr>
                <w:rFonts w:hint="eastAsia"/>
              </w:rPr>
              <w:t xml:space="preserve">低绩效中效率</w:t>
            </w:r>
          </w:p>
        </w:tc>
        <w:tc>
          <w:tcPr/>
          <w:p>
            <w:pPr>
              <w:pStyle w:val="Compact"/>
              <w:jc w:val="center"/>
            </w:pPr>
            <w:r>
              <w:rPr>
                <w:rFonts w:hint="eastAsia"/>
              </w:rPr>
              <w:t xml:space="preserve">递增</w:t>
            </w:r>
          </w:p>
        </w:tc>
        <w:tc>
          <w:tcPr/>
          <w:p>
            <w:pPr>
              <w:pStyle w:val="Compact"/>
              <w:jc w:val="center"/>
            </w:pPr>
            <w:r>
              <w:t xml:space="preserve">14%</w:t>
            </w:r>
          </w:p>
        </w:tc>
        <w:tc>
          <w:tcPr/>
          <w:p>
            <w:pPr>
              <w:pStyle w:val="Compact"/>
              <w:jc w:val="center"/>
            </w:pPr>
            <w:r>
              <w:t xml:space="preserve">11%</w:t>
            </w:r>
          </w:p>
        </w:tc>
      </w:tr>
      <w:tr>
        <w:tc>
          <w:tcPr/>
          <w:p>
            <w:pPr>
              <w:pStyle w:val="Compact"/>
              <w:jc w:val="left"/>
            </w:pPr>
            <w:r>
              <w:rPr>
                <w:rFonts w:hint="eastAsia"/>
              </w:rPr>
              <w:t xml:space="preserve">云南</w:t>
            </w:r>
          </w:p>
        </w:tc>
        <w:tc>
          <w:tcPr/>
          <w:p>
            <w:pPr>
              <w:pStyle w:val="Compact"/>
              <w:jc w:val="center"/>
            </w:pPr>
            <w:r>
              <w:t xml:space="preserve">1.000</w:t>
            </w:r>
          </w:p>
        </w:tc>
        <w:tc>
          <w:tcPr/>
          <w:p>
            <w:pPr>
              <w:pStyle w:val="Compact"/>
              <w:jc w:val="left"/>
            </w:pPr>
            <w:r>
              <w:rPr>
                <w:rFonts w:hint="eastAsia"/>
              </w:rPr>
              <w:t xml:space="preserve">低绩效高效率</w:t>
            </w:r>
          </w:p>
        </w:tc>
        <w:tc>
          <w:tcPr/>
          <w:p>
            <w:pPr>
              <w:pStyle w:val="Compact"/>
              <w:jc w:val="center"/>
            </w:pPr>
            <w:r>
              <w:rPr>
                <w:rFonts w:hint="eastAsia"/>
              </w:rPr>
              <w:t xml:space="preserve">递增</w:t>
            </w:r>
          </w:p>
        </w:tc>
        <w:tc>
          <w:tcPr/>
          <w:p>
            <w:pPr>
              <w:pStyle w:val="Compact"/>
              <w:jc w:val="center"/>
            </w:pPr>
            <w:r>
              <w:t xml:space="preserve">0%</w:t>
            </w:r>
          </w:p>
        </w:tc>
        <w:tc>
          <w:tcPr/>
          <w:p>
            <w:pPr>
              <w:pStyle w:val="Compact"/>
              <w:jc w:val="center"/>
            </w:pPr>
            <w:r>
              <w:t xml:space="preserve">0%</w:t>
            </w:r>
          </w:p>
        </w:tc>
      </w:tr>
      <w:tr>
        <w:tc>
          <w:tcPr/>
          <w:p>
            <w:pPr>
              <w:pStyle w:val="Compact"/>
              <w:jc w:val="left"/>
            </w:pPr>
            <w:r>
              <w:rPr>
                <w:rFonts w:hint="eastAsia"/>
              </w:rPr>
              <w:t xml:space="preserve">黑龙江</w:t>
            </w:r>
          </w:p>
        </w:tc>
        <w:tc>
          <w:tcPr/>
          <w:p>
            <w:pPr>
              <w:pStyle w:val="Compact"/>
              <w:jc w:val="center"/>
            </w:pPr>
            <w:r>
              <w:t xml:space="preserve">0.632</w:t>
            </w:r>
          </w:p>
        </w:tc>
        <w:tc>
          <w:tcPr/>
          <w:p>
            <w:pPr>
              <w:pStyle w:val="Compact"/>
              <w:jc w:val="left"/>
            </w:pPr>
            <w:r>
              <w:rPr>
                <w:rFonts w:hint="eastAsia"/>
              </w:rPr>
              <w:t xml:space="preserve">低绩效中效率</w:t>
            </w:r>
          </w:p>
        </w:tc>
        <w:tc>
          <w:tcPr/>
          <w:p>
            <w:pPr>
              <w:pStyle w:val="Compact"/>
              <w:jc w:val="center"/>
            </w:pPr>
            <w:r>
              <w:rPr>
                <w:rFonts w:hint="eastAsia"/>
              </w:rPr>
              <w:t xml:space="preserve">递增</w:t>
            </w:r>
          </w:p>
        </w:tc>
        <w:tc>
          <w:tcPr/>
          <w:p>
            <w:pPr>
              <w:pStyle w:val="Compact"/>
              <w:jc w:val="center"/>
            </w:pPr>
            <w:r>
              <w:t xml:space="preserve">15%</w:t>
            </w:r>
          </w:p>
        </w:tc>
        <w:tc>
          <w:tcPr/>
          <w:p>
            <w:pPr>
              <w:pStyle w:val="Compact"/>
              <w:jc w:val="center"/>
            </w:pPr>
            <w:r>
              <w:t xml:space="preserve">12%</w:t>
            </w:r>
          </w:p>
        </w:tc>
      </w:tr>
      <w:tr>
        <w:tc>
          <w:tcPr/>
          <w:p>
            <w:pPr>
              <w:pStyle w:val="Compact"/>
              <w:jc w:val="left"/>
            </w:pPr>
            <w:r>
              <w:rPr>
                <w:rFonts w:hint="eastAsia"/>
              </w:rPr>
              <w:t xml:space="preserve">山西</w:t>
            </w:r>
          </w:p>
        </w:tc>
        <w:tc>
          <w:tcPr/>
          <w:p>
            <w:pPr>
              <w:pStyle w:val="Compact"/>
              <w:jc w:val="center"/>
            </w:pPr>
            <w:r>
              <w:t xml:space="preserve">0.534</w:t>
            </w:r>
          </w:p>
        </w:tc>
        <w:tc>
          <w:tcPr/>
          <w:p>
            <w:pPr>
              <w:pStyle w:val="Compact"/>
              <w:jc w:val="left"/>
            </w:pPr>
            <w:r>
              <w:rPr>
                <w:rFonts w:hint="eastAsia"/>
              </w:rPr>
              <w:t xml:space="preserve">低绩效低效率</w:t>
            </w:r>
          </w:p>
        </w:tc>
        <w:tc>
          <w:tcPr/>
          <w:p>
            <w:pPr>
              <w:pStyle w:val="Compact"/>
              <w:jc w:val="center"/>
            </w:pPr>
            <w:r>
              <w:rPr>
                <w:rFonts w:hint="eastAsia"/>
              </w:rPr>
              <w:t xml:space="preserve">递增</w:t>
            </w:r>
          </w:p>
        </w:tc>
        <w:tc>
          <w:tcPr/>
          <w:p>
            <w:pPr>
              <w:pStyle w:val="Compact"/>
              <w:jc w:val="center"/>
            </w:pPr>
            <w:r>
              <w:t xml:space="preserve">22%</w:t>
            </w:r>
          </w:p>
        </w:tc>
        <w:tc>
          <w:tcPr/>
          <w:p>
            <w:pPr>
              <w:pStyle w:val="Compact"/>
              <w:jc w:val="center"/>
            </w:pPr>
            <w:r>
              <w:t xml:space="preserve">18%</w:t>
            </w:r>
          </w:p>
        </w:tc>
      </w:tr>
      <w:tr>
        <w:tc>
          <w:tcPr/>
          <w:p>
            <w:pPr>
              <w:pStyle w:val="Compact"/>
              <w:jc w:val="left"/>
            </w:pPr>
            <w:r>
              <w:rPr>
                <w:rFonts w:hint="eastAsia"/>
              </w:rPr>
              <w:t xml:space="preserve">新疆</w:t>
            </w:r>
          </w:p>
        </w:tc>
        <w:tc>
          <w:tcPr/>
          <w:p>
            <w:pPr>
              <w:pStyle w:val="Compact"/>
              <w:jc w:val="center"/>
            </w:pPr>
            <w:r>
              <w:t xml:space="preserve">0.542</w:t>
            </w:r>
          </w:p>
        </w:tc>
        <w:tc>
          <w:tcPr/>
          <w:p>
            <w:pPr>
              <w:pStyle w:val="Compact"/>
              <w:jc w:val="left"/>
            </w:pPr>
            <w:r>
              <w:rPr>
                <w:rFonts w:hint="eastAsia"/>
              </w:rPr>
              <w:t xml:space="preserve">低绩效低效率</w:t>
            </w:r>
          </w:p>
        </w:tc>
        <w:tc>
          <w:tcPr/>
          <w:p>
            <w:pPr>
              <w:pStyle w:val="Compact"/>
              <w:jc w:val="center"/>
            </w:pPr>
            <w:r>
              <w:rPr>
                <w:rFonts w:hint="eastAsia"/>
              </w:rPr>
              <w:t xml:space="preserve">递增</w:t>
            </w:r>
          </w:p>
        </w:tc>
        <w:tc>
          <w:tcPr/>
          <w:p>
            <w:pPr>
              <w:pStyle w:val="Compact"/>
              <w:jc w:val="center"/>
            </w:pPr>
            <w:r>
              <w:t xml:space="preserve">20%</w:t>
            </w:r>
          </w:p>
        </w:tc>
        <w:tc>
          <w:tcPr/>
          <w:p>
            <w:pPr>
              <w:pStyle w:val="Compact"/>
              <w:jc w:val="center"/>
            </w:pPr>
            <w:r>
              <w:t xml:space="preserve">16%</w:t>
            </w:r>
          </w:p>
        </w:tc>
      </w:tr>
    </w:tbl>
    <w:p>
      <w:pPr>
        <w:pStyle w:val="BodyText"/>
        <w:spacing w:line="360" w:lineRule="auto"/>
      </w:pPr>
      <w:r>
        <w:rPr>
          <w:rFonts w:hint="eastAsia" w:ascii="宋体" w:hAnsi="宋体" w:eastAsia="宋体"/>
          <w:color w:val="000000"/>
          <w:sz w:val="24"/>
        </w:rPr>
        <w:t xml:space="preserve">效率评价结果显示，22个平台中DEA有效的平台有11个（效率值=1.000），DEA无效的平台有11个（效率值&lt;1.000）。DEA有效的平台不全是高绩效平台——贵州、四川、福建、河南、江西、广西、湖南、云南等中低绩效平台也达到了DEA有效，表明这些平台虽然绝对绩效不高，但相对于其投入水平而言，产出效率是最优的。这一发现具有重要的政策含义：对于中低绩效但高效率的平台，优化方向不是”提高效率”（因为效率已经最高），而是”增加投入”——在保持现有效率水平的前提下，增加资源投入以提升绝对绩效。</w:t>
      </w:r>
    </w:p>
    <w:p>
      <w:pPr>
        <w:pStyle w:val="BodyText"/>
        <w:spacing w:line="360" w:lineRule="auto"/>
      </w:pPr>
      <w:r>
        <w:rPr>
          <w:rFonts w:hint="eastAsia" w:ascii="宋体" w:hAnsi="宋体" w:eastAsia="宋体"/>
          <w:color w:val="000000"/>
          <w:sz w:val="24"/>
        </w:rPr>
        <w:t xml:space="preserve">DEA无效的平台也不全是低绩效平台——北京（效率值0.688）、上海（效率值0.622）、浙江（效率值0.861）等高绩效平台并未达到DEA有效，表明这些平台虽然绝对绩效高，但相对于其投入水平而言，产出效率仍有改进空间。这一发现同样具有重要的政策含义：对于高绩效但中低效率的平台，优化方向不是”增加投入”（因为投入已经很大），而是”提高产出”——在保持现有投入水平的前提下，通过优化资源配置来提升产出效率。</w:t>
      </w:r>
    </w:p>
    <w:bookmarkEnd w:id="170"/>
    <w:bookmarkStart w:id="171" w:name="效率类型划分"/>
    <w:p>
      <w:pPr>
        <w:pStyle w:val="Heading4"/>
        <w:spacing w:line="360" w:lineRule="auto"/>
      </w:pPr>
      <w:r>
        <w:rPr>
          <w:rFonts w:ascii="宋体" w:hAnsi="宋体" w:eastAsia="宋体"/>
          <w:color w:val="000000"/>
          <w:sz w:val="24"/>
        </w:rPr>
        <w:t xml:space="preserve">5.3.2 </w:t>
      </w:r>
      <w:r>
        <w:rPr>
          <w:rFonts w:hint="eastAsia" w:ascii="宋体" w:hAnsi="宋体" w:eastAsia="宋体"/>
          <w:color w:val="000000"/>
          <w:sz w:val="24"/>
        </w:rPr>
        <w:t xml:space="preserve">效率类型划分</w:t>
      </w:r>
    </w:p>
    <w:p>
      <w:pPr>
        <w:pStyle w:val="FirstParagraph"/>
        <w:spacing w:line="360" w:lineRule="auto"/>
      </w:pPr>
      <w:r>
        <w:rPr>
          <w:rFonts w:hint="eastAsia" w:ascii="宋体" w:hAnsi="宋体" w:eastAsia="宋体"/>
          <w:color w:val="000000"/>
          <w:sz w:val="24"/>
        </w:rPr>
        <w:t xml:space="preserve">结合TOPSIS绩效得分和DEA效率值，本研究将22个平台划分为四种类型。</w:t>
      </w:r>
    </w:p>
    <w:p>
      <w:pPr>
        <w:pStyle w:val="BodyText"/>
        <w:spacing w:line="360" w:lineRule="auto"/>
      </w:pPr>
      <w:r>
        <w:rPr>
          <w:rFonts w:hint="eastAsia" w:ascii="宋体" w:hAnsi="宋体" w:eastAsia="宋体"/>
          <w:b/>
          <w:bCs/>
          <w:color w:val="000000"/>
          <w:sz w:val="24"/>
        </w:rPr>
        <w:t xml:space="preserve">类型一：高绩效高效率（</w:t>
      </w:r>
      <w:r>
        <w:rPr>
          <w:rFonts w:hint="eastAsia" w:ascii="宋体" w:hAnsi="宋体" w:eastAsia="宋体"/>
          <w:b/>
          <w:bCs/>
          <w:color w:val="000000"/>
          <w:sz w:val="24"/>
        </w:rPr>
        <w:t xml:space="preserve">“标杆型”</w:t>
      </w:r>
      <w:r>
        <w:rPr>
          <w:rFonts w:hint="eastAsia" w:ascii="宋体" w:hAnsi="宋体" w:eastAsia="宋体"/>
          <w:b/>
          <w:bCs/>
          <w:color w:val="000000"/>
          <w:sz w:val="24"/>
        </w:rPr>
        <w:t xml:space="preserve">）。</w:t>
      </w:r>
      <w:r>
        <w:rPr>
          <w:rFonts w:ascii="宋体" w:hAnsi="宋体" w:eastAsia="宋体"/>
          <w:color w:val="000000"/>
          <w:sz w:val="24"/>
        </w:rPr>
        <w:t xml:space="preserve"> </w:t>
      </w:r>
      <w:r>
        <w:rPr>
          <w:rFonts w:hint="eastAsia" w:ascii="宋体" w:hAnsi="宋体" w:eastAsia="宋体"/>
          <w:color w:val="000000"/>
          <w:sz w:val="24"/>
        </w:rPr>
        <w:t xml:space="preserve">包括广东和山东两个平台。这两个平台的TOPSIS得分均大于0.7且DEA效率值为1.000，表明它们在绝对绩效和相对效率两个维度上均达到了最优水平。</w:t>
      </w:r>
      <w:r>
        <w:rPr>
          <w:rFonts w:hint="eastAsia" w:ascii="宋体" w:hAnsi="宋体" w:eastAsia="宋体"/>
          <w:color w:val="000000"/>
          <w:sz w:val="24"/>
        </w:rPr>
        <w:t xml:space="preserve">“标杆型”</w:t>
      </w:r>
      <w:r>
        <w:rPr>
          <w:rFonts w:hint="eastAsia" w:ascii="宋体" w:hAnsi="宋体" w:eastAsia="宋体"/>
          <w:color w:val="000000"/>
          <w:sz w:val="24"/>
        </w:rPr>
        <w:t xml:space="preserve">平台的特征是：投入产出比最优，资源配置效率最高，是其他平台学习的标杆。但需要注意的是，</w:t>
      </w:r>
      <w:r>
        <w:rPr>
          <w:rFonts w:hint="eastAsia" w:ascii="宋体" w:hAnsi="宋体" w:eastAsia="宋体"/>
          <w:color w:val="000000"/>
          <w:sz w:val="24"/>
        </w:rPr>
        <w:t xml:space="preserve">“标杆型”</w:t>
      </w:r>
      <w:r>
        <w:rPr>
          <w:rFonts w:hint="eastAsia" w:ascii="宋体" w:hAnsi="宋体" w:eastAsia="宋体"/>
          <w:color w:val="000000"/>
          <w:sz w:val="24"/>
        </w:rPr>
        <w:t xml:space="preserve">平台的经验并非完全可复制——广东和山东的高绩效高效率，既得益于其雄厚的经济基础和技术能力，也得益于其独特的制度创新（如广东的”数字政府”改革、山东的”大数据局”体制）。其他平台在借鉴”标杆型”平台经验时，需要结合自身的资源禀赋和发展阶段进行适应性调整。</w:t>
      </w:r>
    </w:p>
    <w:p>
      <w:pPr>
        <w:pStyle w:val="BodyText"/>
        <w:spacing w:line="360" w:lineRule="auto"/>
      </w:pPr>
      <w:r>
        <w:rPr>
          <w:rFonts w:hint="eastAsia" w:ascii="宋体" w:hAnsi="宋体" w:eastAsia="宋体"/>
          <w:b/>
          <w:bCs/>
          <w:color w:val="000000"/>
          <w:sz w:val="24"/>
        </w:rPr>
        <w:t xml:space="preserve">类型二：高绩效中效率（</w:t>
      </w:r>
      <w:r>
        <w:rPr>
          <w:rFonts w:hint="eastAsia" w:ascii="宋体" w:hAnsi="宋体" w:eastAsia="宋体"/>
          <w:b/>
          <w:bCs/>
          <w:color w:val="000000"/>
          <w:sz w:val="24"/>
        </w:rPr>
        <w:t xml:space="preserve">“潜力型”</w:t>
      </w:r>
      <w:r>
        <w:rPr>
          <w:rFonts w:hint="eastAsia" w:ascii="宋体" w:hAnsi="宋体" w:eastAsia="宋体"/>
          <w:b/>
          <w:bCs/>
          <w:color w:val="000000"/>
          <w:sz w:val="24"/>
        </w:rPr>
        <w:t xml:space="preserve">）。</w:t>
      </w:r>
      <w:r>
        <w:rPr>
          <w:rFonts w:ascii="宋体" w:hAnsi="宋体" w:eastAsia="宋体"/>
          <w:color w:val="000000"/>
          <w:sz w:val="24"/>
        </w:rPr>
        <w:t xml:space="preserve"> </w:t>
      </w:r>
      <w:r>
        <w:rPr>
          <w:rFonts w:hint="eastAsia" w:ascii="宋体" w:hAnsi="宋体" w:eastAsia="宋体"/>
          <w:color w:val="000000"/>
          <w:sz w:val="24"/>
        </w:rPr>
        <w:t xml:space="preserve">包括浙江、北京、上海三个平台。这三个平台的TOPSIS得分大于0.5但DEA效率值小于1.000，表明它们的绝对绩效较高，但相对于其巨大的投入而言，产出效率仍有提升空间。</w:t>
      </w:r>
      <w:r>
        <w:rPr>
          <w:rFonts w:hint="eastAsia" w:ascii="宋体" w:hAnsi="宋体" w:eastAsia="宋体"/>
          <w:color w:val="000000"/>
          <w:sz w:val="24"/>
        </w:rPr>
        <w:t xml:space="preserve">“潜力型”</w:t>
      </w:r>
      <w:r>
        <w:rPr>
          <w:rFonts w:hint="eastAsia" w:ascii="宋体" w:hAnsi="宋体" w:eastAsia="宋体"/>
          <w:color w:val="000000"/>
          <w:sz w:val="24"/>
        </w:rPr>
        <w:t xml:space="preserve">平台的特征是：资源丰富、基础雄厚，但资源配置存在浪费或产出不足的问题。优化方向是：在保持现有投入水平的前提下，通过优化资源配置、提升运营效率、培育利用生态等方式，将资源优势转化为更高的绩效产出。</w:t>
      </w:r>
    </w:p>
    <w:p>
      <w:pPr>
        <w:pStyle w:val="BodyText"/>
        <w:spacing w:line="360" w:lineRule="auto"/>
      </w:pPr>
      <w:r>
        <w:rPr>
          <w:rFonts w:hint="eastAsia" w:ascii="宋体" w:hAnsi="宋体" w:eastAsia="宋体"/>
          <w:b/>
          <w:bCs/>
          <w:color w:val="000000"/>
          <w:sz w:val="24"/>
        </w:rPr>
        <w:t xml:space="preserve">类型三：中绩效高效率（</w:t>
      </w:r>
      <w:r>
        <w:rPr>
          <w:rFonts w:hint="eastAsia" w:ascii="宋体" w:hAnsi="宋体" w:eastAsia="宋体"/>
          <w:b/>
          <w:bCs/>
          <w:color w:val="000000"/>
          <w:sz w:val="24"/>
        </w:rPr>
        <w:t xml:space="preserve">“节约型”</w:t>
      </w:r>
      <w:r>
        <w:rPr>
          <w:rFonts w:hint="eastAsia" w:ascii="宋体" w:hAnsi="宋体" w:eastAsia="宋体"/>
          <w:b/>
          <w:bCs/>
          <w:color w:val="000000"/>
          <w:sz w:val="24"/>
        </w:rPr>
        <w:t xml:space="preserve">）。</w:t>
      </w:r>
      <w:r>
        <w:rPr>
          <w:rFonts w:ascii="宋体" w:hAnsi="宋体" w:eastAsia="宋体"/>
          <w:color w:val="000000"/>
          <w:sz w:val="24"/>
        </w:rPr>
        <w:t xml:space="preserve"> </w:t>
      </w:r>
      <w:r>
        <w:rPr>
          <w:rFonts w:hint="eastAsia" w:ascii="宋体" w:hAnsi="宋体" w:eastAsia="宋体"/>
          <w:color w:val="000000"/>
          <w:sz w:val="24"/>
        </w:rPr>
        <w:t xml:space="preserve">包括贵州、四川、福建、河南、江西、广西、湖南、云南、海南等9个平台。这些平台的TOPSIS得分处于中等水平（0.3-0.7），但DEA效率值为1.000，表明它们以相对较少的投入获得了相对较高的产出，资源配置效率是最优的。</w:t>
      </w:r>
      <w:r>
        <w:rPr>
          <w:rFonts w:hint="eastAsia" w:ascii="宋体" w:hAnsi="宋体" w:eastAsia="宋体"/>
          <w:color w:val="000000"/>
          <w:sz w:val="24"/>
        </w:rPr>
        <w:t xml:space="preserve">“节约型”</w:t>
      </w:r>
      <w:r>
        <w:rPr>
          <w:rFonts w:hint="eastAsia" w:ascii="宋体" w:hAnsi="宋体" w:eastAsia="宋体"/>
          <w:color w:val="000000"/>
          <w:sz w:val="24"/>
        </w:rPr>
        <w:t xml:space="preserve">平台的特征是：投入有限但利用充分，</w:t>
      </w:r>
      <w:r>
        <w:rPr>
          <w:rFonts w:hint="eastAsia" w:ascii="宋体" w:hAnsi="宋体" w:eastAsia="宋体"/>
          <w:color w:val="000000"/>
          <w:sz w:val="24"/>
        </w:rPr>
        <w:t xml:space="preserve">“花小钱办大事”</w:t>
      </w:r>
      <w:r>
        <w:rPr>
          <w:rFonts w:hint="eastAsia" w:ascii="宋体" w:hAnsi="宋体" w:eastAsia="宋体"/>
          <w:color w:val="000000"/>
          <w:sz w:val="24"/>
        </w:rPr>
        <w:t xml:space="preserve">。优化方向是：在保持现有高效率水平的前提下，适度增加资源投入，扩大数据开放规模、提升平台服务能力、培育数据利用生态，以实现绩效的跨越式提升。</w:t>
      </w:r>
    </w:p>
    <w:p>
      <w:pPr>
        <w:pStyle w:val="BodyText"/>
        <w:spacing w:line="360" w:lineRule="auto"/>
      </w:pPr>
      <w:r>
        <w:rPr>
          <w:rFonts w:hint="eastAsia" w:ascii="宋体" w:hAnsi="宋体" w:eastAsia="宋体"/>
          <w:b/>
          <w:bCs/>
          <w:color w:val="000000"/>
          <w:sz w:val="24"/>
        </w:rPr>
        <w:t xml:space="preserve">类型四：低绩效低效率（</w:t>
      </w:r>
      <w:r>
        <w:rPr>
          <w:rFonts w:hint="eastAsia" w:ascii="宋体" w:hAnsi="宋体" w:eastAsia="宋体"/>
          <w:b/>
          <w:bCs/>
          <w:color w:val="000000"/>
          <w:sz w:val="24"/>
        </w:rPr>
        <w:t xml:space="preserve">“困境型”</w:t>
      </w:r>
      <w:r>
        <w:rPr>
          <w:rFonts w:hint="eastAsia" w:ascii="宋体" w:hAnsi="宋体" w:eastAsia="宋体"/>
          <w:b/>
          <w:bCs/>
          <w:color w:val="000000"/>
          <w:sz w:val="24"/>
        </w:rPr>
        <w:t xml:space="preserve">）。</w:t>
      </w:r>
      <w:r>
        <w:rPr>
          <w:rFonts w:ascii="宋体" w:hAnsi="宋体" w:eastAsia="宋体"/>
          <w:color w:val="000000"/>
          <w:sz w:val="24"/>
        </w:rPr>
        <w:t xml:space="preserve"> </w:t>
      </w:r>
      <w:r>
        <w:rPr>
          <w:rFonts w:hint="eastAsia" w:ascii="宋体" w:hAnsi="宋体" w:eastAsia="宋体"/>
          <w:color w:val="000000"/>
          <w:sz w:val="24"/>
        </w:rPr>
        <w:t xml:space="preserve">包括山西和新疆两个平台。这两个平台的TOPSIS得分小于0.3且DEA效率值小于0.6，表明它们的绝对绩效低、相对效率也低，面临”投入不足且产出低效”的双重困境。</w:t>
      </w:r>
      <w:r>
        <w:rPr>
          <w:rFonts w:hint="eastAsia" w:ascii="宋体" w:hAnsi="宋体" w:eastAsia="宋体"/>
          <w:color w:val="000000"/>
          <w:sz w:val="24"/>
        </w:rPr>
        <w:t xml:space="preserve">“困境型”</w:t>
      </w:r>
      <w:r>
        <w:rPr>
          <w:rFonts w:hint="eastAsia" w:ascii="宋体" w:hAnsi="宋体" w:eastAsia="宋体"/>
          <w:color w:val="000000"/>
          <w:sz w:val="24"/>
        </w:rPr>
        <w:t xml:space="preserve">平台的特征是：资源匮乏、能力薄弱、生态缺失，数据开放工作处于”勉强维持”的状态。优化方向是：需要外部支援——通过上级政府的专项扶持、发达地区的对口帮扶、技术企业的公益支持等方式，帮助”困境型”平台突破发展瓶颈。</w:t>
      </w:r>
    </w:p>
    <w:bookmarkEnd w:id="171"/>
    <w:bookmarkStart w:id="172" w:name="规模报酬分析"/>
    <w:p>
      <w:pPr>
        <w:pStyle w:val="Heading4"/>
        <w:spacing w:line="360" w:lineRule="auto"/>
      </w:pPr>
      <w:r>
        <w:rPr>
          <w:rFonts w:ascii="宋体" w:hAnsi="宋体" w:eastAsia="宋体"/>
          <w:color w:val="000000"/>
          <w:sz w:val="24"/>
        </w:rPr>
        <w:t xml:space="preserve">5.3.3 </w:t>
      </w:r>
      <w:r>
        <w:rPr>
          <w:rFonts w:hint="eastAsia" w:ascii="宋体" w:hAnsi="宋体" w:eastAsia="宋体"/>
          <w:color w:val="000000"/>
          <w:sz w:val="24"/>
        </w:rPr>
        <w:t xml:space="preserve">规模报酬分析</w:t>
      </w:r>
    </w:p>
    <w:p>
      <w:pPr>
        <w:pStyle w:val="FirstParagraph"/>
        <w:spacing w:line="360" w:lineRule="auto"/>
      </w:pPr>
      <w:r>
        <w:rPr>
          <w:rFonts w:hint="eastAsia" w:ascii="宋体" w:hAnsi="宋体" w:eastAsia="宋体"/>
          <w:color w:val="000000"/>
          <w:sz w:val="24"/>
        </w:rPr>
        <w:t xml:space="preserve">DEA-BCC模型的分析结果还提供了规模报酬信息，揭示了平台绩效与规模之间的关系。</w:t>
      </w:r>
    </w:p>
    <w:p>
      <w:pPr>
        <w:pStyle w:val="BodyText"/>
        <w:spacing w:line="360" w:lineRule="auto"/>
      </w:pPr>
      <w:r>
        <w:rPr>
          <w:rFonts w:hint="eastAsia" w:ascii="宋体" w:hAnsi="宋体" w:eastAsia="宋体"/>
          <w:color w:val="000000"/>
          <w:sz w:val="24"/>
        </w:rPr>
        <w:t xml:space="preserve">规模报酬递增的平台有15个（贵州、四川、福建、河南、江西、广西、湖南、云南、湖北、安徽、海南、辽宁、河北、黑龙江、山西、新疆），表明这些平台尚未达到最优规模，扩大投入规模能够带来更大比例的产出增长。对于规模报酬递增的平台，政策建议是”扩大投入”——在现有投入水平的基础上，增加财政投入、扩充数据资源、扩展平台功能，以实现规模效应。</w:t>
      </w:r>
    </w:p>
    <w:p>
      <w:pPr>
        <w:pStyle w:val="BodyText"/>
        <w:spacing w:line="360" w:lineRule="auto"/>
      </w:pPr>
      <w:r>
        <w:rPr>
          <w:rFonts w:hint="eastAsia" w:ascii="宋体" w:hAnsi="宋体" w:eastAsia="宋体"/>
          <w:color w:val="000000"/>
          <w:sz w:val="24"/>
        </w:rPr>
        <w:t xml:space="preserve">规模报酬不变的平台有2个（广东、山东），表明这两个平台已经达到了最优规模，投入与产出成比例增长。对于规模报酬不变的平台，政策建议是”维持现状”——保持现有的投入产出比例，将优化重点从”规模扩张”转向”质量提升”。</w:t>
      </w:r>
    </w:p>
    <w:p>
      <w:pPr>
        <w:pStyle w:val="BodyText"/>
        <w:spacing w:line="360" w:lineRule="auto"/>
      </w:pPr>
      <w:r>
        <w:rPr>
          <w:rFonts w:hint="eastAsia" w:ascii="宋体" w:hAnsi="宋体" w:eastAsia="宋体"/>
          <w:color w:val="000000"/>
          <w:sz w:val="24"/>
        </w:rPr>
        <w:t xml:space="preserve">规模报酬递减的平台有5个（浙江、北京、上海、江苏），表明这些平台的投入规模已经超过了最优水平，继续增加投入只会带来更小比例的产出增长。对于规模报酬递减的平台，政策建议是”优化结构”——在保持总投入不变的前提下，调整投入结构，将资源从”低效领域”转向”高效领域”，以提升整体资源配置效率。</w:t>
      </w:r>
    </w:p>
    <w:bookmarkEnd w:id="172"/>
    <w:bookmarkEnd w:id="173"/>
    <w:bookmarkStart w:id="174" w:name="与开放数林指数的外部效度检验"/>
    <w:p>
      <w:pPr>
        <w:pStyle w:val="Heading3"/>
        <w:spacing w:line="360" w:lineRule="auto"/>
      </w:pPr>
      <w:r>
        <w:rPr>
          <w:rFonts w:ascii="黑体" w:hAnsi="黑体" w:eastAsia="黑体"/>
          <w:b/>
          <w:color w:val="000000"/>
          <w:sz w:val="24"/>
        </w:rPr>
        <w:t xml:space="preserve">5.4 </w:t>
      </w:r>
      <w:r>
        <w:rPr>
          <w:rFonts w:hint="eastAsia" w:ascii="黑体" w:hAnsi="黑体" w:eastAsia="黑体"/>
          <w:b/>
          <w:color w:val="000000"/>
          <w:sz w:val="24"/>
        </w:rPr>
        <w:t xml:space="preserve">与开放数林指数的外部效度检验</w:t>
      </w:r>
    </w:p>
    <w:p>
      <w:pPr>
        <w:pStyle w:val="FirstParagraph"/>
        <w:spacing w:line="360" w:lineRule="auto"/>
      </w:pPr>
      <w:r>
        <w:rPr>
          <w:rFonts w:hint="eastAsia" w:ascii="宋体" w:hAnsi="宋体" w:eastAsia="宋体"/>
          <w:color w:val="000000"/>
          <w:sz w:val="24"/>
        </w:rPr>
        <w:t xml:space="preserve">为验证本研究评估结果的可靠性，本研究将TOPSIS综合得分与复旦大学数字与移动治理实验室发布的”中国开放数林指数”2024年省级评估结果进行了对比分析。</w:t>
      </w:r>
    </w:p>
    <w:p>
      <w:pPr>
        <w:pStyle w:val="BodyText"/>
        <w:spacing w:line="360" w:lineRule="auto"/>
      </w:pPr>
      <w:r>
        <w:rPr>
          <w:rFonts w:hint="eastAsia" w:ascii="宋体" w:hAnsi="宋体" w:eastAsia="宋体"/>
          <w:color w:val="000000"/>
          <w:sz w:val="24"/>
        </w:rPr>
        <w:t xml:space="preserve">Spearman秩相关分析显示，本研究TOPSIS得分与开放数林指数得分的相关系数为ρ=0.67（p&lt;0.001），属于中等偏高的正相关。这一结果表明，本研究的评估结果与权威评估工具具有较好的一致性，评估框架具有良好的外部效度。</w:t>
      </w:r>
    </w:p>
    <w:p>
      <w:pPr>
        <w:pStyle w:val="BodyText"/>
        <w:spacing w:line="360" w:lineRule="auto"/>
      </w:pPr>
      <w:r>
        <w:rPr>
          <w:rFonts w:hint="eastAsia" w:ascii="宋体" w:hAnsi="宋体" w:eastAsia="宋体"/>
          <w:color w:val="000000"/>
          <w:sz w:val="24"/>
        </w:rPr>
        <w:t xml:space="preserve">然而，两种评估工具的结果也存在显著差异。第一，排名差异——开放数林指数排名前五的平台是：上海、北京、浙江、山东、贵州；本研究TOPSIS排名前五的平台是：广东、浙江、山东、贵州、四川。差异的主要原因在于权重结构的不同——开放数林指数中供给层和平台层权重合计超过60%，而本研究中利用效果权重提升至30%，导致在利用效果维度表现突出的广东在本研究中排名上升，而在供给层表现突出但利用效果一般的上海排名下降。</w:t>
      </w:r>
    </w:p>
    <w:p>
      <w:pPr>
        <w:pStyle w:val="BodyText"/>
        <w:spacing w:line="360" w:lineRule="auto"/>
      </w:pPr>
      <w:r>
        <w:rPr>
          <w:rFonts w:hint="eastAsia" w:ascii="宋体" w:hAnsi="宋体" w:eastAsia="宋体"/>
          <w:color w:val="000000"/>
          <w:sz w:val="24"/>
        </w:rPr>
        <w:t xml:space="preserve">第二，得分分布差异——开放数林指数的得分分布较为集中（标准差较小），而本研究TOPSIS得分的分布较为分散（标准差较大）。差异的主要原因在于评估维度的不同——开放数林指数未纳入效率维度和公平性维度，而本研究的四维评估框架放大了平台间的绩效差异。</w:t>
      </w:r>
    </w:p>
    <w:p>
      <w:pPr>
        <w:pStyle w:val="BodyText"/>
        <w:spacing w:line="360" w:lineRule="auto"/>
      </w:pPr>
      <w:r>
        <w:rPr>
          <w:rFonts w:hint="eastAsia" w:ascii="宋体" w:hAnsi="宋体" w:eastAsia="宋体"/>
          <w:color w:val="000000"/>
          <w:sz w:val="24"/>
        </w:rPr>
        <w:t xml:space="preserve">第三，分类差异——开放数林指数将平台分为”五棵数”（最高等级）到”一棵树”（最低等级）五个等级；本研究将平台分为三个梯队。两种分类的对应关系大致为：</w:t>
      </w:r>
      <w:r>
        <w:rPr>
          <w:rFonts w:hint="eastAsia" w:ascii="宋体" w:hAnsi="宋体" w:eastAsia="宋体"/>
          <w:color w:val="000000"/>
          <w:sz w:val="24"/>
        </w:rPr>
        <w:t xml:space="preserve">“五棵数”</w:t>
      </w:r>
      <w:r>
        <w:rPr>
          <w:rFonts w:hint="eastAsia" w:ascii="宋体" w:hAnsi="宋体" w:eastAsia="宋体"/>
          <w:color w:val="000000"/>
          <w:sz w:val="24"/>
        </w:rPr>
        <w:t xml:space="preserve">≈第一梯队，</w:t>
      </w:r>
      <w:r>
        <w:rPr>
          <w:rFonts w:hint="eastAsia" w:ascii="宋体" w:hAnsi="宋体" w:eastAsia="宋体"/>
          <w:color w:val="000000"/>
          <w:sz w:val="24"/>
        </w:rPr>
        <w:t xml:space="preserve">“三-四棵数”</w:t>
      </w:r>
      <w:r>
        <w:rPr>
          <w:rFonts w:hint="eastAsia" w:ascii="宋体" w:hAnsi="宋体" w:eastAsia="宋体"/>
          <w:color w:val="000000"/>
          <w:sz w:val="24"/>
        </w:rPr>
        <w:t xml:space="preserve">≈第二梯队，</w:t>
      </w:r>
      <w:r>
        <w:rPr>
          <w:rFonts w:hint="eastAsia" w:ascii="宋体" w:hAnsi="宋体" w:eastAsia="宋体"/>
          <w:color w:val="000000"/>
          <w:sz w:val="24"/>
        </w:rPr>
        <w:t xml:space="preserve">“一-二棵数”</w:t>
      </w:r>
      <w:r>
        <w:rPr>
          <w:rFonts w:hint="eastAsia" w:ascii="宋体" w:hAnsi="宋体" w:eastAsia="宋体"/>
          <w:color w:val="000000"/>
          <w:sz w:val="24"/>
        </w:rPr>
        <w:t xml:space="preserve">≈第三梯队。但存在个别例外——如贵州在开放数林指数中为”四棵数”（第二等级），在本研究中为第二梯队；四川在开放数林指数中为”三棵数”（第三等级），在本研究中为第二梯队。这些例外反映了两种评估工具在维度权重和指标选取上的差异。</w:t>
      </w:r>
    </w:p>
    <w:p>
      <w:pPr>
        <w:pStyle w:val="BodyText"/>
        <w:spacing w:line="360" w:lineRule="auto"/>
      </w:pPr>
      <w:r>
        <w:rPr>
          <w:rFonts w:hint="eastAsia" w:ascii="宋体" w:hAnsi="宋体" w:eastAsia="宋体"/>
          <w:color w:val="000000"/>
          <w:sz w:val="24"/>
        </w:rPr>
        <w:t xml:space="preserve">外部效度检验的结果表明，本研究的评估框架在保持与权威工具一致性的同时，通过”效果导向”的权重调整和效率维度的引入，提供了不同于传统评估的绩效画像。两种评估工具的互补使用，能够更全面地反映平台绩效的真实状况。</w:t>
      </w:r>
    </w:p>
    <w:bookmarkEnd w:id="174"/>
    <w:bookmarkStart w:id="175" w:name="浙江模式与山东模式的类型学分析"/>
    <w:p>
      <w:pPr>
        <w:pStyle w:val="Heading3"/>
        <w:spacing w:line="360" w:lineRule="auto"/>
      </w:pPr>
      <w:r>
        <w:rPr>
          <w:rFonts w:ascii="黑体" w:hAnsi="黑体" w:eastAsia="黑体"/>
          <w:b/>
          <w:color w:val="000000"/>
          <w:sz w:val="24"/>
        </w:rPr>
        <w:t xml:space="preserve">5.5</w:t>
      </w:r>
      <w:r>
        <w:rPr>
          <w:rFonts w:ascii="黑体" w:hAnsi="黑体" w:eastAsia="黑体"/>
          <w:b/>
          <w:color w:val="000000"/>
          <w:sz w:val="24"/>
        </w:rPr>
        <w:t xml:space="preserve"> </w:t>
      </w:r>
      <w:r>
        <w:rPr>
          <w:rFonts w:hint="eastAsia" w:ascii="黑体" w:hAnsi="黑体" w:eastAsia="黑体"/>
          <w:b/>
          <w:color w:val="000000"/>
          <w:sz w:val="24"/>
        </w:rPr>
        <w:t xml:space="preserve">“浙江模式”</w:t>
      </w:r>
      <w:r>
        <w:rPr>
          <w:rFonts w:hint="eastAsia" w:ascii="黑体" w:hAnsi="黑体" w:eastAsia="黑体"/>
          <w:b/>
          <w:color w:val="000000"/>
          <w:sz w:val="24"/>
        </w:rPr>
        <w:t xml:space="preserve">与”山东模式”的类型学分析</w:t>
      </w:r>
    </w:p>
    <w:p>
      <w:pPr>
        <w:pStyle w:val="FirstParagraph"/>
        <w:spacing w:line="360" w:lineRule="auto"/>
      </w:pPr>
      <w:r>
        <w:rPr>
          <w:rFonts w:hint="eastAsia" w:ascii="宋体" w:hAnsi="宋体" w:eastAsia="宋体"/>
          <w:color w:val="000000"/>
          <w:sz w:val="24"/>
        </w:rPr>
        <w:t xml:space="preserve">基于绩效评估和效率评价的结果，本研究对22个平台进行了类型学分析，识别出两种典型的高绩效模式：</w:t>
      </w:r>
      <w:r>
        <w:rPr>
          <w:rFonts w:hint="eastAsia" w:ascii="宋体" w:hAnsi="宋体" w:eastAsia="宋体"/>
          <w:color w:val="000000"/>
          <w:sz w:val="24"/>
        </w:rPr>
        <w:t xml:space="preserve">“浙江模式”</w:t>
      </w:r>
      <w:r>
        <w:rPr>
          <w:rFonts w:hint="eastAsia" w:ascii="宋体" w:hAnsi="宋体" w:eastAsia="宋体"/>
          <w:color w:val="000000"/>
          <w:sz w:val="24"/>
        </w:rPr>
        <w:t xml:space="preserve">和”山东模式”。</w:t>
      </w:r>
    </w:p>
    <w:p>
      <w:pPr>
        <w:pStyle w:val="BodyText"/>
        <w:spacing w:line="360" w:lineRule="auto"/>
      </w:pPr>
      <w:r>
        <w:rPr>
          <w:rFonts w:hint="eastAsia" w:ascii="宋体" w:hAnsi="宋体" w:eastAsia="宋体"/>
          <w:b/>
          <w:bCs/>
          <w:color w:val="000000"/>
          <w:sz w:val="24"/>
        </w:rPr>
        <w:t xml:space="preserve">“浙江模式”</w:t>
      </w:r>
      <w:r>
        <w:rPr>
          <w:rFonts w:hint="eastAsia" w:ascii="宋体" w:hAnsi="宋体" w:eastAsia="宋体"/>
          <w:b/>
          <w:bCs/>
          <w:color w:val="000000"/>
          <w:sz w:val="24"/>
        </w:rPr>
        <w:t xml:space="preserve">：高绩效高效率+利用效果驱动。</w:t>
      </w:r>
      <w:r>
        <w:rPr>
          <w:rFonts w:ascii="宋体" w:hAnsi="宋体" w:eastAsia="宋体"/>
          <w:color w:val="000000"/>
          <w:sz w:val="24"/>
        </w:rPr>
        <w:t xml:space="preserve"> </w:t>
      </w:r>
      <w:r>
        <w:rPr>
          <w:rFonts w:hint="eastAsia" w:ascii="宋体" w:hAnsi="宋体" w:eastAsia="宋体"/>
          <w:color w:val="000000"/>
          <w:sz w:val="24"/>
        </w:rPr>
        <w:t xml:space="preserve">浙江平台的TOPSIS得分为0.782（排名第二），DEA效率值为0.861（高绩效中效率）。浙江模式的核心特征是”利用效果驱动”——浙江在利用效果维度得分全国第一，其开放数据催生了超过300个数据应用，数据创新大赛连续多年举办，开发者社区活跃度高。浙江模式的成功经验在于：第一，建立了完善的”数据供给→数据利用→价值反馈→供给优化”的正反馈循环；第二，注重数据利用生态的培育，通过大赛、培训、孵化等方式培育数据用户群体；第三，采用”平台+生态”的运营理念，不仅提供数据资源，还提供技术支持和创新服务。</w:t>
      </w:r>
    </w:p>
    <w:p>
      <w:pPr>
        <w:pStyle w:val="BodyText"/>
        <w:spacing w:line="360" w:lineRule="auto"/>
      </w:pPr>
      <w:r>
        <w:rPr>
          <w:rFonts w:hint="eastAsia" w:ascii="宋体" w:hAnsi="宋体" w:eastAsia="宋体"/>
          <w:b/>
          <w:bCs/>
          <w:color w:val="000000"/>
          <w:sz w:val="24"/>
        </w:rPr>
        <w:t xml:space="preserve">“山东模式”</w:t>
      </w:r>
      <w:r>
        <w:rPr>
          <w:rFonts w:hint="eastAsia" w:ascii="宋体" w:hAnsi="宋体" w:eastAsia="宋体"/>
          <w:b/>
          <w:bCs/>
          <w:color w:val="000000"/>
          <w:sz w:val="24"/>
        </w:rPr>
        <w:t xml:space="preserve">：高绩效高效率+供给规模驱动。</w:t>
      </w:r>
      <w:r>
        <w:rPr>
          <w:rFonts w:ascii="宋体" w:hAnsi="宋体" w:eastAsia="宋体"/>
          <w:color w:val="000000"/>
          <w:sz w:val="24"/>
        </w:rPr>
        <w:t xml:space="preserve"> </w:t>
      </w:r>
      <w:r>
        <w:rPr>
          <w:rFonts w:hint="eastAsia" w:ascii="宋体" w:hAnsi="宋体" w:eastAsia="宋体"/>
          <w:color w:val="000000"/>
          <w:sz w:val="24"/>
        </w:rPr>
        <w:t xml:space="preserve">山东平台的TOPSIS得分为0.741（排名第三），DEA效率值为1.000（高绩效高效率）。山东模式的核心特征是”供给规模驱动”——山东在供给保障维度得分全国第三，其数据集数量超过6万个（尽管有效数据集比例较低），主题覆盖广度全国领先。山东模式的成功经验在于：第一，建立了强有力的组织保障——山东省大数据局统筹协调全省数据开放工作，形成了”全省一盘棋”的数据开放格局；第二，采用了”大平台”的建设模式——建设统一的省级数据开放平台，汇聚各部门、各市县的数据资源，形成规模效应；第三，注重数据资源的汇聚整合，通过数据共享交换平台实现跨部门数据整合。</w:t>
      </w:r>
    </w:p>
    <w:p>
      <w:pPr>
        <w:pStyle w:val="BodyText"/>
        <w:spacing w:line="360" w:lineRule="auto"/>
      </w:pPr>
      <w:r>
        <w:rPr>
          <w:rFonts w:hint="eastAsia" w:ascii="宋体" w:hAnsi="宋体" w:eastAsia="宋体"/>
          <w:color w:val="000000"/>
          <w:sz w:val="24"/>
        </w:rPr>
        <w:t xml:space="preserve">两种模式的比较揭示了高绩效的不同路径：浙江模式通过”效果导向”实现了高质量的发展，山东模式通过”规模导向”实现了高效率的发展。两种模式各有优劣——浙江模式的利用效果更突出，但供给规模相对有限；山东模式的供给规模更庞大，但利用效果相对不足。两种模式的并存表明，高绩效并非只有一条路径，不同资源禀赋和发展阶段的平台可以探索适合自身的差异化发展道路。</w:t>
      </w:r>
    </w:p>
    <w:bookmarkEnd w:id="175"/>
    <w:bookmarkStart w:id="176" w:name="本章小结"/>
    <w:p>
      <w:pPr>
        <w:pStyle w:val="Heading3"/>
        <w:spacing w:line="360" w:lineRule="auto"/>
      </w:pPr>
      <w:r>
        <w:rPr>
          <w:rFonts w:ascii="黑体" w:hAnsi="黑体" w:eastAsia="黑体"/>
          <w:b/>
          <w:color w:val="000000"/>
          <w:sz w:val="24"/>
        </w:rPr>
        <w:t xml:space="preserve">5.6 </w:t>
      </w:r>
      <w:r>
        <w:rPr>
          <w:rFonts w:hint="eastAsia" w:ascii="黑体" w:hAnsi="黑体" w:eastAsia="黑体"/>
          <w:b/>
          <w:color w:val="000000"/>
          <w:sz w:val="24"/>
        </w:rPr>
        <w:t xml:space="preserve">本章小结</w:t>
      </w:r>
    </w:p>
    <w:p>
      <w:pPr>
        <w:pStyle w:val="FirstParagraph"/>
        <w:spacing w:line="360" w:lineRule="auto"/>
      </w:pPr>
      <w:r>
        <w:rPr>
          <w:rFonts w:hint="eastAsia" w:ascii="宋体" w:hAnsi="宋体" w:eastAsia="宋体"/>
          <w:color w:val="000000"/>
          <w:sz w:val="24"/>
        </w:rPr>
        <w:t xml:space="preserve">本章运用熵权-TOPSIS方法和DEA-BCC方法，对22个省级政府数据开放平台进行了绩效评估和效率评价。主要发现如下：</w:t>
      </w:r>
    </w:p>
    <w:p>
      <w:pPr>
        <w:pStyle w:val="BodyText"/>
        <w:spacing w:line="360" w:lineRule="auto"/>
      </w:pPr>
      <w:r>
        <w:rPr>
          <w:rFonts w:hint="eastAsia" w:ascii="宋体" w:hAnsi="宋体" w:eastAsia="宋体"/>
          <w:color w:val="000000"/>
          <w:sz w:val="24"/>
        </w:rPr>
        <w:t xml:space="preserve">第一，平台绩效呈现”头部集中”特征——第一梯队（广东、浙江、山东）的绩效显著领先于其他平台，形成了明显的”绩效断层”。</w:t>
      </w:r>
    </w:p>
    <w:p>
      <w:pPr>
        <w:pStyle w:val="BodyText"/>
        <w:spacing w:line="360" w:lineRule="auto"/>
      </w:pPr>
      <w:r>
        <w:rPr>
          <w:rFonts w:hint="eastAsia" w:ascii="宋体" w:hAnsi="宋体" w:eastAsia="宋体"/>
          <w:color w:val="000000"/>
          <w:sz w:val="24"/>
        </w:rPr>
        <w:t xml:space="preserve">第二，</w:t>
      </w:r>
      <w:r>
        <w:rPr>
          <w:rFonts w:hint="eastAsia" w:ascii="宋体" w:hAnsi="宋体" w:eastAsia="宋体"/>
          <w:color w:val="000000"/>
          <w:sz w:val="24"/>
        </w:rPr>
        <w:t xml:space="preserve">“利用效果”</w:t>
      </w:r>
      <w:r>
        <w:rPr>
          <w:rFonts w:hint="eastAsia" w:ascii="宋体" w:hAnsi="宋体" w:eastAsia="宋体"/>
          <w:color w:val="000000"/>
          <w:sz w:val="24"/>
        </w:rPr>
        <w:t xml:space="preserve">是区分高绩效平台和中等绩效平台的关键维度——第一梯队平台的共同特征是利用效果得分高，而第二梯队平台的共同特征是利用效果得分偏低。</w:t>
      </w:r>
    </w:p>
    <w:p>
      <w:pPr>
        <w:pStyle w:val="BodyText"/>
        <w:spacing w:line="360" w:lineRule="auto"/>
      </w:pPr>
      <w:r>
        <w:rPr>
          <w:rFonts w:hint="eastAsia" w:ascii="宋体" w:hAnsi="宋体" w:eastAsia="宋体"/>
          <w:color w:val="000000"/>
          <w:sz w:val="24"/>
        </w:rPr>
        <w:t xml:space="preserve">第三，区域差异显著——东部地区在供给保障、平台服务和数据质量三个维度上领先，但在公平性维度上落后；西部地区的公平性维度表现最优，但供给保障和数据质量存在短板。</w:t>
      </w:r>
    </w:p>
    <w:p>
      <w:pPr>
        <w:pStyle w:val="BodyText"/>
        <w:spacing w:line="360" w:lineRule="auto"/>
      </w:pPr>
      <w:r>
        <w:rPr>
          <w:rFonts w:hint="eastAsia" w:ascii="宋体" w:hAnsi="宋体" w:eastAsia="宋体"/>
          <w:color w:val="000000"/>
          <w:sz w:val="24"/>
        </w:rPr>
        <w:t xml:space="preserve">第四，效率与绩效并非完全对应——11个平台达到DEA有效，但其中只有2个是高绩效平台，其余9个是中低绩效但高效率的平台。这表明”高效率”不等于”高绩效”，平台需要在效率提升和规模扩张之间寻找平衡。</w:t>
      </w:r>
    </w:p>
    <w:p>
      <w:pPr>
        <w:pStyle w:val="BodyText"/>
        <w:spacing w:line="360" w:lineRule="auto"/>
      </w:pPr>
      <w:r>
        <w:rPr>
          <w:rFonts w:hint="eastAsia" w:ascii="宋体" w:hAnsi="宋体" w:eastAsia="宋体"/>
          <w:color w:val="000000"/>
          <w:sz w:val="24"/>
        </w:rPr>
        <w:t xml:space="preserve">第五，存在”标杆型”</w:t>
      </w:r>
      <w:r>
        <w:rPr>
          <w:rFonts w:hint="eastAsia" w:ascii="宋体" w:hAnsi="宋体" w:eastAsia="宋体"/>
          <w:color w:val="000000"/>
          <w:sz w:val="24"/>
        </w:rPr>
        <w:t xml:space="preserve">“潜力型”</w:t>
      </w:r>
      <w:r>
        <w:rPr>
          <w:rFonts w:hint="eastAsia" w:ascii="宋体" w:hAnsi="宋体" w:eastAsia="宋体"/>
          <w:color w:val="000000"/>
          <w:sz w:val="24"/>
        </w:rPr>
        <w:t xml:space="preserve">“节约型”</w:t>
      </w:r>
      <w:r>
        <w:rPr>
          <w:rFonts w:hint="eastAsia" w:ascii="宋体" w:hAnsi="宋体" w:eastAsia="宋体"/>
          <w:color w:val="000000"/>
          <w:sz w:val="24"/>
        </w:rPr>
        <w:t xml:space="preserve">“困境型”</w:t>
      </w:r>
      <w:r>
        <w:rPr>
          <w:rFonts w:hint="eastAsia" w:ascii="宋体" w:hAnsi="宋体" w:eastAsia="宋体"/>
          <w:color w:val="000000"/>
          <w:sz w:val="24"/>
        </w:rPr>
        <w:t xml:space="preserve">四种平台类型，不同类型平台的优化方向截然不同——</w:t>
      </w:r>
      <w:r>
        <w:rPr>
          <w:rFonts w:hint="eastAsia" w:ascii="宋体" w:hAnsi="宋体" w:eastAsia="宋体"/>
          <w:color w:val="000000"/>
          <w:sz w:val="24"/>
        </w:rPr>
        <w:t xml:space="preserve">“标杆型”</w:t>
      </w:r>
      <w:r>
        <w:rPr>
          <w:rFonts w:hint="eastAsia" w:ascii="宋体" w:hAnsi="宋体" w:eastAsia="宋体"/>
          <w:color w:val="000000"/>
          <w:sz w:val="24"/>
        </w:rPr>
        <w:t xml:space="preserve">需要维持优势，</w:t>
      </w:r>
      <w:r>
        <w:rPr>
          <w:rFonts w:hint="eastAsia" w:ascii="宋体" w:hAnsi="宋体" w:eastAsia="宋体"/>
          <w:color w:val="000000"/>
          <w:sz w:val="24"/>
        </w:rPr>
        <w:t xml:space="preserve">“潜力型”</w:t>
      </w:r>
      <w:r>
        <w:rPr>
          <w:rFonts w:hint="eastAsia" w:ascii="宋体" w:hAnsi="宋体" w:eastAsia="宋体"/>
          <w:color w:val="000000"/>
          <w:sz w:val="24"/>
        </w:rPr>
        <w:t xml:space="preserve">需要提升效率，</w:t>
      </w:r>
      <w:r>
        <w:rPr>
          <w:rFonts w:hint="eastAsia" w:ascii="宋体" w:hAnsi="宋体" w:eastAsia="宋体"/>
          <w:color w:val="000000"/>
          <w:sz w:val="24"/>
        </w:rPr>
        <w:t xml:space="preserve">“节约型”</w:t>
      </w:r>
      <w:r>
        <w:rPr>
          <w:rFonts w:hint="eastAsia" w:ascii="宋体" w:hAnsi="宋体" w:eastAsia="宋体"/>
          <w:color w:val="000000"/>
          <w:sz w:val="24"/>
        </w:rPr>
        <w:t xml:space="preserve">需要增加投入，</w:t>
      </w:r>
      <w:r>
        <w:rPr>
          <w:rFonts w:hint="eastAsia" w:ascii="宋体" w:hAnsi="宋体" w:eastAsia="宋体"/>
          <w:color w:val="000000"/>
          <w:sz w:val="24"/>
        </w:rPr>
        <w:t xml:space="preserve">“困境型”</w:t>
      </w:r>
      <w:r>
        <w:rPr>
          <w:rFonts w:hint="eastAsia" w:ascii="宋体" w:hAnsi="宋体" w:eastAsia="宋体"/>
          <w:color w:val="000000"/>
          <w:sz w:val="24"/>
        </w:rPr>
        <w:t xml:space="preserve">需要外部支援。</w:t>
      </w:r>
    </w:p>
    <w:p>
      <w:pPr>
        <w:spacing w:line="360" w:lineRule="auto"/>
      </w:pPr>
      <w:r>
        <w:rPr>
          <w:rFonts w:ascii="宋体" w:hAnsi="宋体" w:eastAsia="宋体"/>
          <w:color w:val="000000"/>
          <w:sz w:val="24"/>
        </w:rPr>
        <w:pict>
          <v:rect style="width:0;height:1.5pt" o:hralign="center" o:hrstd="t" o:hr="t"/>
        </w:pict>
      </w:r>
    </w:p>
    <w:bookmarkEnd w:id="176"/>
    <w:bookmarkEnd w:id="177"/>
    <w:bookmarkStart w:id="194" w:name="第6章-第六章-影响因素分析"/>
    <w:p>
      <w:pPr>
        <w:pStyle w:val="Heading1"/>
        <w:spacing w:line="360" w:lineRule="auto"/>
        <w:jc w:val="center"/>
      </w:pPr>
      <w:r>
        <w:rPr>
          <w:rFonts w:hint="eastAsia" w:ascii="黑体" w:hAnsi="黑体" w:eastAsia="黑体"/>
          <w:b/>
          <w:color w:val="000000"/>
          <w:sz w:val="32"/>
        </w:rPr>
        <w:t xml:space="preserve">第6章</w:t>
      </w:r>
      <w:r>
        <w:rPr>
          <w:rFonts w:ascii="黑体" w:hAnsi="黑体" w:eastAsia="黑体"/>
          <w:b/>
          <w:color w:val="000000"/>
          <w:sz w:val="32"/>
        </w:rPr>
        <w:t xml:space="preserve"> </w:t>
      </w:r>
      <w:r>
        <w:rPr>
          <w:rFonts w:hint="eastAsia" w:ascii="黑体" w:hAnsi="黑体" w:eastAsia="黑体"/>
          <w:b/>
          <w:color w:val="000000"/>
          <w:sz w:val="32"/>
        </w:rPr>
        <w:t xml:space="preserve">第六章</w:t>
      </w:r>
      <w:r>
        <w:rPr>
          <w:rFonts w:ascii="黑体" w:hAnsi="黑体" w:eastAsia="黑体"/>
          <w:b/>
          <w:color w:val="000000"/>
          <w:sz w:val="32"/>
        </w:rPr>
        <w:t xml:space="preserve"> </w:t>
      </w:r>
      <w:r>
        <w:rPr>
          <w:rFonts w:hint="eastAsia" w:ascii="黑体" w:hAnsi="黑体" w:eastAsia="黑体"/>
          <w:b/>
          <w:color w:val="000000"/>
          <w:sz w:val="32"/>
        </w:rPr>
        <w:t xml:space="preserve">影响因素分析</w:t>
      </w:r>
    </w:p>
    <w:bookmarkStart w:id="180" w:name="影响因素识别框架"/>
    <w:p>
      <w:pPr>
        <w:pStyle w:val="Heading3"/>
        <w:spacing w:line="360" w:lineRule="auto"/>
      </w:pPr>
      <w:r>
        <w:rPr>
          <w:rFonts w:ascii="黑体" w:hAnsi="黑体" w:eastAsia="黑体"/>
          <w:b/>
          <w:color w:val="000000"/>
          <w:sz w:val="24"/>
        </w:rPr>
        <w:t xml:space="preserve">6.1 </w:t>
      </w:r>
      <w:r>
        <w:rPr>
          <w:rFonts w:hint="eastAsia" w:ascii="黑体" w:hAnsi="黑体" w:eastAsia="黑体"/>
          <w:b/>
          <w:color w:val="000000"/>
          <w:sz w:val="24"/>
        </w:rPr>
        <w:t xml:space="preserve">影响因素识别框架</w:t>
      </w:r>
    </w:p>
    <w:bookmarkStart w:id="178" w:name="影响因素的理论来源"/>
    <w:p>
      <w:pPr>
        <w:pStyle w:val="Heading4"/>
        <w:spacing w:line="360" w:lineRule="auto"/>
      </w:pPr>
      <w:r>
        <w:rPr>
          <w:rFonts w:ascii="宋体" w:hAnsi="宋体" w:eastAsia="宋体"/>
          <w:color w:val="000000"/>
          <w:sz w:val="24"/>
        </w:rPr>
        <w:t xml:space="preserve">6.1.1 </w:t>
      </w:r>
      <w:r>
        <w:rPr>
          <w:rFonts w:hint="eastAsia" w:ascii="宋体" w:hAnsi="宋体" w:eastAsia="宋体"/>
          <w:color w:val="000000"/>
          <w:sz w:val="24"/>
        </w:rPr>
        <w:t xml:space="preserve">影响因素的理论来源</w:t>
      </w:r>
    </w:p>
    <w:p>
      <w:pPr>
        <w:pStyle w:val="FirstParagraph"/>
        <w:spacing w:line="360" w:lineRule="auto"/>
      </w:pPr>
      <w:r>
        <w:rPr>
          <w:rFonts w:hint="eastAsia" w:ascii="宋体" w:hAnsi="宋体" w:eastAsia="宋体"/>
          <w:color w:val="000000"/>
          <w:sz w:val="24"/>
        </w:rPr>
        <w:t xml:space="preserve">基于TOE框架和文献综述，本研究识别了六个关键影响因素：政策法规（PL）、平台建设（OG）、数据质量（PC）、数据集数量（DQ）、应用效果（AE）和运营模式（OP）。这六个因素覆盖了技术、组织和环境三个层面，构成了完整的影响因素体系。</w:t>
      </w:r>
    </w:p>
    <w:p>
      <w:pPr>
        <w:pStyle w:val="BodyText"/>
        <w:spacing w:line="360" w:lineRule="auto"/>
      </w:pPr>
      <w:r>
        <w:rPr>
          <w:rFonts w:hint="eastAsia" w:ascii="宋体" w:hAnsi="宋体" w:eastAsia="宋体"/>
          <w:color w:val="000000"/>
          <w:sz w:val="24"/>
        </w:rPr>
        <w:t xml:space="preserve">政策法规（PL）属于组织层面因素，衡量地方政府在数据开放领域的制度供给水平。包括：是否出台专门的数据开放管理办法、是否建立数据开放标准规范、是否将数据开放纳入绩效考核等。政策法规为数据开放提供了制度保障和行为激励——完善的政策法规体系能够明确数据开放的责任主体、规范数据开放的操作流程、保障数据开放的质量标准。</w:t>
      </w:r>
    </w:p>
    <w:p>
      <w:pPr>
        <w:pStyle w:val="BodyText"/>
        <w:spacing w:line="360" w:lineRule="auto"/>
      </w:pPr>
      <w:r>
        <w:rPr>
          <w:rFonts w:hint="eastAsia" w:ascii="宋体" w:hAnsi="宋体" w:eastAsia="宋体"/>
          <w:color w:val="000000"/>
          <w:sz w:val="24"/>
        </w:rPr>
        <w:t xml:space="preserve">平台建设（OG）属于技术层面因素，衡量平台的技术架构、功能完备性和用户体验。包括：API开放度、检索功能、数据预览、可视化展示、用户反馈等。平台建设是数据从”可获取”到”可利用”的技术桥梁——功能完善的平台能够降低数据利用的技术门槛，提升用户的数据获取和利用效率。</w:t>
      </w:r>
    </w:p>
    <w:p>
      <w:pPr>
        <w:pStyle w:val="BodyText"/>
        <w:spacing w:line="360" w:lineRule="auto"/>
      </w:pPr>
      <w:r>
        <w:rPr>
          <w:rFonts w:hint="eastAsia" w:ascii="宋体" w:hAnsi="宋体" w:eastAsia="宋体"/>
          <w:color w:val="000000"/>
          <w:sz w:val="24"/>
        </w:rPr>
        <w:t xml:space="preserve">数据质量（PC）属于技术层面因素，衡量数据的准确性、完整性、及时性和机器可读性。数据质量是数据利用的基础条件——低质量的数据不仅无法产生有效利用，还可能导致错误的分析结论和决策失误。</w:t>
      </w:r>
    </w:p>
    <w:p>
      <w:pPr>
        <w:pStyle w:val="BodyText"/>
        <w:spacing w:line="360" w:lineRule="auto"/>
      </w:pPr>
      <w:r>
        <w:rPr>
          <w:rFonts w:hint="eastAsia" w:ascii="宋体" w:hAnsi="宋体" w:eastAsia="宋体"/>
          <w:color w:val="000000"/>
          <w:sz w:val="24"/>
        </w:rPr>
        <w:t xml:space="preserve">数据集数量（DQ）属于组织层面因素，衡量平台数据供给的充分性和可持续性。充足的数据供给是数据利用的前提——没有数据就谈不上利用。但数据数量与利用效果之间并非简单的线性关系——当数据数量超过一定阈值后，边际效用递减效应开始显现。</w:t>
      </w:r>
    </w:p>
    <w:p>
      <w:pPr>
        <w:pStyle w:val="BodyText"/>
        <w:spacing w:line="360" w:lineRule="auto"/>
      </w:pPr>
      <w:r>
        <w:rPr>
          <w:rFonts w:hint="eastAsia" w:ascii="宋体" w:hAnsi="宋体" w:eastAsia="宋体"/>
          <w:color w:val="000000"/>
          <w:sz w:val="24"/>
        </w:rPr>
        <w:t xml:space="preserve">应用效果（AE）属于环境层面因素，衡量数据利用生态的活跃程度。包括：数据应用数量、API调用量、创新活动数量等。应用效果是数据价值实现的直接体现——只有数据被实际利用并产生价值，数据开放的意义才能得以实现。</w:t>
      </w:r>
    </w:p>
    <w:p>
      <w:pPr>
        <w:pStyle w:val="BodyText"/>
        <w:spacing w:line="360" w:lineRule="auto"/>
      </w:pPr>
      <w:r>
        <w:rPr>
          <w:rFonts w:hint="eastAsia" w:ascii="宋体" w:hAnsi="宋体" w:eastAsia="宋体"/>
          <w:color w:val="000000"/>
          <w:sz w:val="24"/>
        </w:rPr>
        <w:t xml:space="preserve">运营模式（OP）属于组织层面因素，衡量平台在授权运营、数据产品开发、数据服务创新等方面的探索程度。运营模式反映了平台从”直接开放”向”价值运营”转型的能力——通过授权运营等创新模式，平台可以在保障数据安全的前提下实现数据价值的深度挖掘。</w:t>
      </w:r>
    </w:p>
    <w:bookmarkEnd w:id="178"/>
    <w:bookmarkStart w:id="179" w:name="影响因素的操作化定义"/>
    <w:p>
      <w:pPr>
        <w:pStyle w:val="Heading4"/>
        <w:spacing w:line="360" w:lineRule="auto"/>
      </w:pPr>
      <w:r>
        <w:rPr>
          <w:rFonts w:ascii="宋体" w:hAnsi="宋体" w:eastAsia="宋体"/>
          <w:color w:val="000000"/>
          <w:sz w:val="24"/>
        </w:rPr>
        <w:t xml:space="preserve">6.1.2 </w:t>
      </w:r>
      <w:r>
        <w:rPr>
          <w:rFonts w:hint="eastAsia" w:ascii="宋体" w:hAnsi="宋体" w:eastAsia="宋体"/>
          <w:color w:val="000000"/>
          <w:sz w:val="24"/>
        </w:rPr>
        <w:t xml:space="preserve">影响因素的操作化定义</w:t>
      </w:r>
    </w:p>
    <w:p>
      <w:pPr>
        <w:pStyle w:val="FirstParagraph"/>
        <w:spacing w:line="360" w:lineRule="auto"/>
      </w:pPr>
      <w:r>
        <w:rPr>
          <w:rFonts w:hint="eastAsia" w:ascii="宋体" w:hAnsi="宋体" w:eastAsia="宋体"/>
          <w:color w:val="000000"/>
          <w:sz w:val="24"/>
        </w:rPr>
        <w:t xml:space="preserve">为便于定量分析，本研究对六个影响因素进行了操作化定义和测量。</w:t>
      </w:r>
    </w:p>
    <w:p>
      <w:pPr>
        <w:pStyle w:val="BodyText"/>
        <w:spacing w:line="360" w:lineRule="auto"/>
      </w:pPr>
      <w:r>
        <w:rPr>
          <w:rFonts w:hint="eastAsia" w:ascii="宋体" w:hAnsi="宋体" w:eastAsia="宋体"/>
          <w:b/>
          <w:bCs/>
          <w:color w:val="000000"/>
          <w:sz w:val="24"/>
        </w:rPr>
        <w:t xml:space="preserve">政策法规（PL）。</w:t>
      </w:r>
      <w:r>
        <w:rPr>
          <w:rFonts w:ascii="宋体" w:hAnsi="宋体" w:eastAsia="宋体"/>
          <w:color w:val="000000"/>
          <w:sz w:val="24"/>
        </w:rPr>
        <w:t xml:space="preserve"> </w:t>
      </w:r>
      <w:r>
        <w:rPr>
          <w:rFonts w:hint="eastAsia" w:ascii="宋体" w:hAnsi="宋体" w:eastAsia="宋体"/>
          <w:color w:val="000000"/>
          <w:sz w:val="24"/>
        </w:rPr>
        <w:t xml:space="preserve">采用”制度完备性指数”进行测量，该指数由以下四个子指标合成：（1）数据开放管理办法（有=1，无=0）；（2）数据质量标准（有=1，无=0）；（3）数据安全规范（有=1，无=0）；（4）数据开放纳入绩效考核（是=1，否=0）。PL的取值范围为0-4，得分越高表示政策法规越完善。</w:t>
      </w:r>
    </w:p>
    <w:p>
      <w:pPr>
        <w:pStyle w:val="BodyText"/>
        <w:spacing w:line="360" w:lineRule="auto"/>
      </w:pPr>
      <w:r>
        <w:rPr>
          <w:rFonts w:hint="eastAsia" w:ascii="宋体" w:hAnsi="宋体" w:eastAsia="宋体"/>
          <w:b/>
          <w:bCs/>
          <w:color w:val="000000"/>
          <w:sz w:val="24"/>
        </w:rPr>
        <w:t xml:space="preserve">平台建设（OG）。</w:t>
      </w:r>
      <w:r>
        <w:rPr>
          <w:rFonts w:ascii="宋体" w:hAnsi="宋体" w:eastAsia="宋体"/>
          <w:color w:val="000000"/>
          <w:sz w:val="24"/>
        </w:rPr>
        <w:t xml:space="preserve"> </w:t>
      </w:r>
      <w:r>
        <w:rPr>
          <w:rFonts w:hint="eastAsia" w:ascii="宋体" w:hAnsi="宋体" w:eastAsia="宋体"/>
          <w:color w:val="000000"/>
          <w:sz w:val="24"/>
        </w:rPr>
        <w:t xml:space="preserve">采用”平台功能完备性指数”进行测量，该指数由以下五个子指标合成：（1）API开放度（0-1标准化）；（2）检索功能完备性（0-1标准化）；（3）数据预览功能（0-1标准化）；（4）用户反馈机制（0-1标准化）；（5）平台迭代频率（0-1标准化）。OG的取值范围为0-1，得分越高表示平台功能越完善。</w:t>
      </w:r>
    </w:p>
    <w:p>
      <w:pPr>
        <w:pStyle w:val="BodyText"/>
        <w:spacing w:line="360" w:lineRule="auto"/>
      </w:pPr>
      <w:r>
        <w:rPr>
          <w:rFonts w:hint="eastAsia" w:ascii="宋体" w:hAnsi="宋体" w:eastAsia="宋体"/>
          <w:b/>
          <w:bCs/>
          <w:color w:val="000000"/>
          <w:sz w:val="24"/>
        </w:rPr>
        <w:t xml:space="preserve">数据质量（PC）。</w:t>
      </w:r>
      <w:r>
        <w:rPr>
          <w:rFonts w:ascii="宋体" w:hAnsi="宋体" w:eastAsia="宋体"/>
          <w:color w:val="000000"/>
          <w:sz w:val="24"/>
        </w:rPr>
        <w:t xml:space="preserve"> </w:t>
      </w:r>
      <w:r>
        <w:rPr>
          <w:rFonts w:hint="eastAsia" w:ascii="宋体" w:hAnsi="宋体" w:eastAsia="宋体"/>
          <w:color w:val="000000"/>
          <w:sz w:val="24"/>
        </w:rPr>
        <w:t xml:space="preserve">采用”数据质量综合指数”进行测量，该指数由以下五个子指标合成：（1）数据准确性（1-错误率）；（2）数据完整性（1-缺失率）；（3）数据及时性（1-滞后率）；（4）数据一致性（匹配率）；（5）机器可读性（结构化格式占比）。PC的取值范围为0-1，得分越高表示数据质量越好。</w:t>
      </w:r>
    </w:p>
    <w:p>
      <w:pPr>
        <w:pStyle w:val="BodyText"/>
        <w:spacing w:line="360" w:lineRule="auto"/>
      </w:pPr>
      <w:r>
        <w:rPr>
          <w:rFonts w:hint="eastAsia" w:ascii="宋体" w:hAnsi="宋体" w:eastAsia="宋体"/>
          <w:b/>
          <w:bCs/>
          <w:color w:val="000000"/>
          <w:sz w:val="24"/>
        </w:rPr>
        <w:t xml:space="preserve">数据集数量（DQ）。</w:t>
      </w:r>
      <w:r>
        <w:rPr>
          <w:rFonts w:ascii="宋体" w:hAnsi="宋体" w:eastAsia="宋体"/>
          <w:color w:val="000000"/>
          <w:sz w:val="24"/>
        </w:rPr>
        <w:t xml:space="preserve"> </w:t>
      </w:r>
      <w:r>
        <w:rPr>
          <w:rFonts w:hint="eastAsia" w:ascii="宋体" w:hAnsi="宋体" w:eastAsia="宋体"/>
          <w:color w:val="000000"/>
          <w:sz w:val="24"/>
        </w:rPr>
        <w:t xml:space="preserve">采用标准化后的数据集数量进行测量。由于各平台的数据集数量差异极大（从几十到几万），本研究采用对数转换和0-1标准化的方式处理原始数据，使DQ的取值范围为0-1。</w:t>
      </w:r>
    </w:p>
    <w:p>
      <w:pPr>
        <w:pStyle w:val="BodyText"/>
        <w:spacing w:line="360" w:lineRule="auto"/>
      </w:pPr>
      <w:r>
        <w:rPr>
          <w:rFonts w:hint="eastAsia" w:ascii="宋体" w:hAnsi="宋体" w:eastAsia="宋体"/>
          <w:b/>
          <w:bCs/>
          <w:color w:val="000000"/>
          <w:sz w:val="24"/>
        </w:rPr>
        <w:t xml:space="preserve">应用效果（AE）。</w:t>
      </w:r>
      <w:r>
        <w:rPr>
          <w:rFonts w:ascii="宋体" w:hAnsi="宋体" w:eastAsia="宋体"/>
          <w:color w:val="000000"/>
          <w:sz w:val="24"/>
        </w:rPr>
        <w:t xml:space="preserve"> </w:t>
      </w:r>
      <w:r>
        <w:rPr>
          <w:rFonts w:hint="eastAsia" w:ascii="宋体" w:hAnsi="宋体" w:eastAsia="宋体"/>
          <w:color w:val="000000"/>
          <w:sz w:val="24"/>
        </w:rPr>
        <w:t xml:space="preserve">采用”利用效果综合指数”进行测量，该指数由以下三个子指标合成：（1）数据集下载量（0-1标准化）；（2）API调用量（0-1标准化）；（3）应用成果数量（0-1标准化）。AE的取值范围为0-1，得分越高表示应用效果越好。</w:t>
      </w:r>
    </w:p>
    <w:p>
      <w:pPr>
        <w:pStyle w:val="BodyText"/>
        <w:spacing w:line="360" w:lineRule="auto"/>
      </w:pPr>
      <w:r>
        <w:rPr>
          <w:rFonts w:hint="eastAsia" w:ascii="宋体" w:hAnsi="宋体" w:eastAsia="宋体"/>
          <w:b/>
          <w:bCs/>
          <w:color w:val="000000"/>
          <w:sz w:val="24"/>
        </w:rPr>
        <w:t xml:space="preserve">运营模式（OP）。</w:t>
      </w:r>
      <w:r>
        <w:rPr>
          <w:rFonts w:ascii="宋体" w:hAnsi="宋体" w:eastAsia="宋体"/>
          <w:color w:val="000000"/>
          <w:sz w:val="24"/>
        </w:rPr>
        <w:t xml:space="preserve"> </w:t>
      </w:r>
      <w:r>
        <w:rPr>
          <w:rFonts w:hint="eastAsia" w:ascii="宋体" w:hAnsi="宋体" w:eastAsia="宋体"/>
          <w:color w:val="000000"/>
          <w:sz w:val="24"/>
        </w:rPr>
        <w:t xml:space="preserve">采用”运营创新指数”进行测量，该指数由以下三个子指标合成：（1）授权运营项目数量（0-1标准化）；（2）数据产品开发数量（0-1标准化）；（3）创新活动举办数量（0-1标准化）。OP的取值范围为0-1，得分越高表示运营模式越创新。</w:t>
      </w:r>
    </w:p>
    <w:bookmarkEnd w:id="179"/>
    <w:bookmarkEnd w:id="180"/>
    <w:bookmarkStart w:id="184" w:name="dematel因果关系分析"/>
    <w:p>
      <w:pPr>
        <w:pStyle w:val="Heading3"/>
        <w:spacing w:line="360" w:lineRule="auto"/>
      </w:pPr>
      <w:r>
        <w:rPr>
          <w:rFonts w:ascii="黑体" w:hAnsi="黑体" w:eastAsia="黑体"/>
          <w:b/>
          <w:color w:val="000000"/>
          <w:sz w:val="24"/>
        </w:rPr>
        <w:t xml:space="preserve">6.2 </w:t>
      </w:r>
      <w:r>
        <w:rPr>
          <w:rFonts w:hint="eastAsia" w:ascii="黑体" w:hAnsi="黑体" w:eastAsia="黑体"/>
          <w:b/>
          <w:color w:val="000000"/>
          <w:sz w:val="24"/>
        </w:rPr>
        <w:t xml:space="preserve">DEMATEL因果关系分析</w:t>
      </w:r>
    </w:p>
    <w:bookmarkStart w:id="181" w:name="分析方法与数据"/>
    <w:p>
      <w:pPr>
        <w:pStyle w:val="Heading4"/>
        <w:spacing w:line="360" w:lineRule="auto"/>
      </w:pPr>
      <w:r>
        <w:rPr>
          <w:rFonts w:ascii="宋体" w:hAnsi="宋体" w:eastAsia="宋体"/>
          <w:color w:val="000000"/>
          <w:sz w:val="24"/>
        </w:rPr>
        <w:t xml:space="preserve">6.2.1 </w:t>
      </w:r>
      <w:r>
        <w:rPr>
          <w:rFonts w:hint="eastAsia" w:ascii="宋体" w:hAnsi="宋体" w:eastAsia="宋体"/>
          <w:color w:val="000000"/>
          <w:sz w:val="24"/>
        </w:rPr>
        <w:t xml:space="preserve">分析方法与数据</w:t>
      </w:r>
    </w:p>
    <w:p>
      <w:pPr>
        <w:pStyle w:val="FirstParagraph"/>
        <w:spacing w:line="360" w:lineRule="auto"/>
      </w:pPr>
      <w:r>
        <w:rPr>
          <w:rFonts w:hint="eastAsia" w:ascii="宋体" w:hAnsi="宋体" w:eastAsia="宋体"/>
          <w:color w:val="000000"/>
          <w:sz w:val="24"/>
        </w:rPr>
        <w:t xml:space="preserve">DEMATEL方法通过构建因素的直接影响矩阵，计算因素之间的综合影响关系，识别因素网络中的传导中枢和因果结构。本研究邀请了8位政府数据开放领域的专家（包括高校研究者3人、平台运营者3人、政策制定者2人），对六个因素之间的直接影响关系进行评分。评分采用0-4标度：0表示无影响，1表示弱影响，2表示中等影响，3表示强影响，4表示极强影响。</w:t>
      </w:r>
    </w:p>
    <w:p>
      <w:pPr>
        <w:pStyle w:val="BodyText"/>
        <w:spacing w:line="360" w:lineRule="auto"/>
      </w:pPr>
      <w:r>
        <w:rPr>
          <w:rFonts w:hint="eastAsia" w:ascii="宋体" w:hAnsi="宋体" w:eastAsia="宋体"/>
          <w:color w:val="000000"/>
          <w:sz w:val="24"/>
        </w:rPr>
        <w:t xml:space="preserve">专家评分完成后，计算8位专家评分的平均值，构建直接影响矩阵。然后对直接影响矩阵进行规范化处理，计算综合影响矩阵T。基于综合影响矩阵，计算各因素的中心度（影响其他因素的总程度）和原因度（影响与被影响的差值）。</w:t>
      </w:r>
    </w:p>
    <w:bookmarkEnd w:id="181"/>
    <w:bookmarkStart w:id="182" w:name="dematel分析结果"/>
    <w:p>
      <w:pPr>
        <w:pStyle w:val="Heading4"/>
        <w:spacing w:line="360" w:lineRule="auto"/>
      </w:pPr>
      <w:r>
        <w:rPr>
          <w:rFonts w:ascii="宋体" w:hAnsi="宋体" w:eastAsia="宋体"/>
          <w:color w:val="000000"/>
          <w:sz w:val="24"/>
        </w:rPr>
        <w:t xml:space="preserve">6.2.2 </w:t>
      </w:r>
      <w:r>
        <w:rPr>
          <w:rFonts w:hint="eastAsia" w:ascii="宋体" w:hAnsi="宋体" w:eastAsia="宋体"/>
          <w:color w:val="000000"/>
          <w:sz w:val="24"/>
        </w:rPr>
        <w:t xml:space="preserve">DEMATEL分析结果</w:t>
      </w:r>
    </w:p>
    <w:p>
      <w:pPr>
        <w:pStyle w:val="FirstParagraph"/>
        <w:spacing w:line="360" w:lineRule="auto"/>
      </w:pPr>
      <w:r>
        <w:rPr>
          <w:rFonts w:hint="eastAsia" w:ascii="宋体" w:hAnsi="宋体" w:eastAsia="宋体"/>
          <w:color w:val="000000"/>
          <w:sz w:val="24"/>
        </w:rPr>
        <w:t xml:space="preserve">DEMATEL分析结果如表6-1所示。</w:t>
      </w:r>
    </w:p>
    <w:p>
      <w:pPr>
        <w:pStyle w:val="BodyText"/>
        <w:spacing w:line="360" w:lineRule="auto"/>
      </w:pPr>
      <w:r>
        <w:rPr>
          <w:rFonts w:hint="eastAsia" w:ascii="宋体" w:hAnsi="宋体" w:eastAsia="宋体"/>
          <w:b/>
          <w:bCs/>
          <w:color w:val="000000"/>
          <w:sz w:val="24"/>
        </w:rPr>
        <w:t xml:space="preserve">表6-1</w:t>
      </w:r>
      <w:r>
        <w:rPr>
          <w:rFonts w:ascii="宋体" w:hAnsi="宋体" w:eastAsia="宋体"/>
          <w:b/>
          <w:bCs/>
          <w:color w:val="000000"/>
          <w:sz w:val="24"/>
        </w:rPr>
        <w:t xml:space="preserve"> </w:t>
      </w:r>
      <w:r>
        <w:rPr>
          <w:rFonts w:hint="eastAsia" w:ascii="宋体" w:hAnsi="宋体" w:eastAsia="宋体"/>
          <w:b/>
          <w:bCs/>
          <w:color w:val="000000"/>
          <w:sz w:val="24"/>
        </w:rPr>
        <w:t xml:space="preserve">DEMATEL分析结果</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rFonts w:hint="eastAsia"/>
              </w:rPr>
              <w:t xml:space="preserve">因素</w:t>
            </w:r>
          </w:p>
        </w:tc>
        <w:tc>
          <w:tcPr/>
          <w:p>
            <w:pPr>
              <w:pStyle w:val="Compact"/>
              <w:jc w:val="center"/>
            </w:pPr>
            <w:r>
              <w:rPr>
                <w:rFonts w:hint="eastAsia"/>
              </w:rPr>
              <w:t xml:space="preserve">影响度D</w:t>
            </w:r>
          </w:p>
        </w:tc>
        <w:tc>
          <w:tcPr/>
          <w:p>
            <w:pPr>
              <w:pStyle w:val="Compact"/>
              <w:jc w:val="center"/>
            </w:pPr>
            <w:r>
              <w:rPr>
                <w:rFonts w:hint="eastAsia"/>
              </w:rPr>
              <w:t xml:space="preserve">被影响度R</w:t>
            </w:r>
          </w:p>
        </w:tc>
        <w:tc>
          <w:tcPr/>
          <w:p>
            <w:pPr>
              <w:pStyle w:val="Compact"/>
              <w:jc w:val="center"/>
            </w:pPr>
            <w:r>
              <w:rPr>
                <w:rFonts w:hint="eastAsia"/>
              </w:rPr>
              <w:t xml:space="preserve">中心度D+R</w:t>
            </w:r>
          </w:p>
        </w:tc>
        <w:tc>
          <w:tcPr/>
          <w:p>
            <w:pPr>
              <w:pStyle w:val="Compact"/>
              <w:jc w:val="center"/>
            </w:pPr>
            <w:r>
              <w:rPr>
                <w:rFonts w:hint="eastAsia"/>
              </w:rPr>
              <w:t xml:space="preserve">原因度D-R</w:t>
            </w:r>
          </w:p>
        </w:tc>
        <w:tc>
          <w:tcPr/>
          <w:p>
            <w:pPr>
              <w:pStyle w:val="Compact"/>
              <w:jc w:val="left"/>
            </w:pPr>
            <w:r>
              <w:rPr>
                <w:rFonts w:hint="eastAsia"/>
              </w:rPr>
              <w:t xml:space="preserve">类型</w:t>
            </w:r>
          </w:p>
        </w:tc>
      </w:tr>
      <w:tr>
        <w:tc>
          <w:tcPr/>
          <w:p>
            <w:pPr>
              <w:pStyle w:val="Compact"/>
              <w:jc w:val="left"/>
            </w:pPr>
            <w:r>
              <w:rPr>
                <w:rFonts w:hint="eastAsia"/>
              </w:rPr>
              <w:t xml:space="preserve">PL政策法规</w:t>
            </w:r>
          </w:p>
        </w:tc>
        <w:tc>
          <w:tcPr/>
          <w:p>
            <w:pPr>
              <w:pStyle w:val="Compact"/>
              <w:jc w:val="center"/>
            </w:pPr>
            <w:r>
              <w:t xml:space="preserve">3.856</w:t>
            </w:r>
          </w:p>
        </w:tc>
        <w:tc>
          <w:tcPr/>
          <w:p>
            <w:pPr>
              <w:pStyle w:val="Compact"/>
              <w:jc w:val="center"/>
            </w:pPr>
            <w:r>
              <w:t xml:space="preserve">1.245</w:t>
            </w:r>
          </w:p>
        </w:tc>
        <w:tc>
          <w:tcPr/>
          <w:p>
            <w:pPr>
              <w:pStyle w:val="Compact"/>
              <w:jc w:val="center"/>
            </w:pPr>
            <w:r>
              <w:t xml:space="preserve">5.101</w:t>
            </w:r>
          </w:p>
        </w:tc>
        <w:tc>
          <w:tcPr/>
          <w:p>
            <w:pPr>
              <w:pStyle w:val="Compact"/>
              <w:jc w:val="center"/>
            </w:pPr>
            <w:r>
              <w:t xml:space="preserve">2.611</w:t>
            </w:r>
          </w:p>
        </w:tc>
        <w:tc>
          <w:tcPr/>
          <w:p>
            <w:pPr>
              <w:pStyle w:val="Compact"/>
              <w:jc w:val="left"/>
            </w:pPr>
            <w:r>
              <w:rPr>
                <w:rFonts w:hint="eastAsia"/>
              </w:rPr>
              <w:t xml:space="preserve">原因因素</w:t>
            </w:r>
          </w:p>
        </w:tc>
      </w:tr>
      <w:tr>
        <w:tc>
          <w:tcPr/>
          <w:p>
            <w:pPr>
              <w:pStyle w:val="Compact"/>
              <w:jc w:val="left"/>
            </w:pPr>
            <w:r>
              <w:rPr>
                <w:rFonts w:hint="eastAsia"/>
              </w:rPr>
              <w:t xml:space="preserve">OG平台建设</w:t>
            </w:r>
          </w:p>
        </w:tc>
        <w:tc>
          <w:tcPr/>
          <w:p>
            <w:pPr>
              <w:pStyle w:val="Compact"/>
              <w:jc w:val="center"/>
            </w:pPr>
            <w:r>
              <w:t xml:space="preserve">3.124</w:t>
            </w:r>
          </w:p>
        </w:tc>
        <w:tc>
          <w:tcPr/>
          <w:p>
            <w:pPr>
              <w:pStyle w:val="Compact"/>
              <w:jc w:val="center"/>
            </w:pPr>
            <w:r>
              <w:t xml:space="preserve">2.156</w:t>
            </w:r>
          </w:p>
        </w:tc>
        <w:tc>
          <w:tcPr/>
          <w:p>
            <w:pPr>
              <w:pStyle w:val="Compact"/>
              <w:jc w:val="center"/>
            </w:pPr>
            <w:r>
              <w:t xml:space="preserve">5.280</w:t>
            </w:r>
          </w:p>
        </w:tc>
        <w:tc>
          <w:tcPr/>
          <w:p>
            <w:pPr>
              <w:pStyle w:val="Compact"/>
              <w:jc w:val="center"/>
            </w:pPr>
            <w:r>
              <w:t xml:space="preserve">0.968</w:t>
            </w:r>
          </w:p>
        </w:tc>
        <w:tc>
          <w:tcPr/>
          <w:p>
            <w:pPr>
              <w:pStyle w:val="Compact"/>
              <w:jc w:val="left"/>
            </w:pPr>
            <w:r>
              <w:rPr>
                <w:rFonts w:hint="eastAsia"/>
              </w:rPr>
              <w:t xml:space="preserve">原因因素</w:t>
            </w:r>
          </w:p>
        </w:tc>
      </w:tr>
      <w:tr>
        <w:tc>
          <w:tcPr/>
          <w:p>
            <w:pPr>
              <w:pStyle w:val="Compact"/>
              <w:jc w:val="left"/>
            </w:pPr>
            <w:r>
              <w:rPr>
                <w:rFonts w:hint="eastAsia"/>
              </w:rPr>
              <w:t xml:space="preserve">PC数据质量</w:t>
            </w:r>
          </w:p>
        </w:tc>
        <w:tc>
          <w:tcPr/>
          <w:p>
            <w:pPr>
              <w:pStyle w:val="Compact"/>
              <w:jc w:val="center"/>
            </w:pPr>
            <w:r>
              <w:t xml:space="preserve">2.678</w:t>
            </w:r>
          </w:p>
        </w:tc>
        <w:tc>
          <w:tcPr/>
          <w:p>
            <w:pPr>
              <w:pStyle w:val="Compact"/>
              <w:jc w:val="center"/>
            </w:pPr>
            <w:r>
              <w:t xml:space="preserve">2.845</w:t>
            </w:r>
          </w:p>
        </w:tc>
        <w:tc>
          <w:tcPr/>
          <w:p>
            <w:pPr>
              <w:pStyle w:val="Compact"/>
              <w:jc w:val="center"/>
            </w:pPr>
            <w:r>
              <w:t xml:space="preserve">5.523</w:t>
            </w:r>
          </w:p>
        </w:tc>
        <w:tc>
          <w:tcPr/>
          <w:p>
            <w:pPr>
              <w:pStyle w:val="Compact"/>
              <w:jc w:val="center"/>
            </w:pPr>
            <w:r>
              <w:t xml:space="preserve">-0.167</w:t>
            </w:r>
          </w:p>
        </w:tc>
        <w:tc>
          <w:tcPr/>
          <w:p>
            <w:pPr>
              <w:pStyle w:val="Compact"/>
              <w:jc w:val="left"/>
            </w:pPr>
            <w:r>
              <w:rPr>
                <w:rFonts w:hint="eastAsia"/>
              </w:rPr>
              <w:t xml:space="preserve">结果因素</w:t>
            </w:r>
          </w:p>
        </w:tc>
      </w:tr>
      <w:tr>
        <w:tc>
          <w:tcPr/>
          <w:p>
            <w:pPr>
              <w:pStyle w:val="Compact"/>
              <w:jc w:val="left"/>
            </w:pPr>
            <w:r>
              <w:rPr>
                <w:rFonts w:hint="eastAsia"/>
              </w:rPr>
              <w:t xml:space="preserve">DQ数据集数量</w:t>
            </w:r>
          </w:p>
        </w:tc>
        <w:tc>
          <w:tcPr/>
          <w:p>
            <w:pPr>
              <w:pStyle w:val="Compact"/>
              <w:jc w:val="center"/>
            </w:pPr>
            <w:r>
              <w:t xml:space="preserve">2.245</w:t>
            </w:r>
          </w:p>
        </w:tc>
        <w:tc>
          <w:tcPr/>
          <w:p>
            <w:pPr>
              <w:pStyle w:val="Compact"/>
              <w:jc w:val="center"/>
            </w:pPr>
            <w:r>
              <w:t xml:space="preserve">3.124</w:t>
            </w:r>
          </w:p>
        </w:tc>
        <w:tc>
          <w:tcPr/>
          <w:p>
            <w:pPr>
              <w:pStyle w:val="Compact"/>
              <w:jc w:val="center"/>
            </w:pPr>
            <w:r>
              <w:t xml:space="preserve">5.369</w:t>
            </w:r>
          </w:p>
        </w:tc>
        <w:tc>
          <w:tcPr/>
          <w:p>
            <w:pPr>
              <w:pStyle w:val="Compact"/>
              <w:jc w:val="center"/>
            </w:pPr>
            <w:r>
              <w:t xml:space="preserve">-0.879</w:t>
            </w:r>
          </w:p>
        </w:tc>
        <w:tc>
          <w:tcPr/>
          <w:p>
            <w:pPr>
              <w:pStyle w:val="Compact"/>
              <w:jc w:val="left"/>
            </w:pPr>
            <w:r>
              <w:rPr>
                <w:rFonts w:hint="eastAsia"/>
              </w:rPr>
              <w:t xml:space="preserve">结果因素</w:t>
            </w:r>
          </w:p>
        </w:tc>
      </w:tr>
      <w:tr>
        <w:tc>
          <w:tcPr/>
          <w:p>
            <w:pPr>
              <w:pStyle w:val="Compact"/>
              <w:jc w:val="left"/>
            </w:pPr>
            <w:r>
              <w:rPr>
                <w:rFonts w:hint="eastAsia"/>
              </w:rPr>
              <w:t xml:space="preserve">AE应用效果</w:t>
            </w:r>
          </w:p>
        </w:tc>
        <w:tc>
          <w:tcPr/>
          <w:p>
            <w:pPr>
              <w:pStyle w:val="Compact"/>
              <w:jc w:val="center"/>
            </w:pPr>
            <w:r>
              <w:t xml:space="preserve">1.567</w:t>
            </w:r>
          </w:p>
        </w:tc>
        <w:tc>
          <w:tcPr/>
          <w:p>
            <w:pPr>
              <w:pStyle w:val="Compact"/>
              <w:jc w:val="center"/>
            </w:pPr>
            <w:r>
              <w:t xml:space="preserve">3.678</w:t>
            </w:r>
          </w:p>
        </w:tc>
        <w:tc>
          <w:tcPr/>
          <w:p>
            <w:pPr>
              <w:pStyle w:val="Compact"/>
              <w:jc w:val="center"/>
            </w:pPr>
            <w:r>
              <w:t xml:space="preserve">5.245</w:t>
            </w:r>
          </w:p>
        </w:tc>
        <w:tc>
          <w:tcPr/>
          <w:p>
            <w:pPr>
              <w:pStyle w:val="Compact"/>
              <w:jc w:val="center"/>
            </w:pPr>
            <w:r>
              <w:t xml:space="preserve">-2.111</w:t>
            </w:r>
          </w:p>
        </w:tc>
        <w:tc>
          <w:tcPr/>
          <w:p>
            <w:pPr>
              <w:pStyle w:val="Compact"/>
              <w:jc w:val="left"/>
            </w:pPr>
            <w:r>
              <w:rPr>
                <w:rFonts w:hint="eastAsia"/>
              </w:rPr>
              <w:t xml:space="preserve">结果因素</w:t>
            </w:r>
          </w:p>
        </w:tc>
      </w:tr>
      <w:tr>
        <w:tc>
          <w:tcPr/>
          <w:p>
            <w:pPr>
              <w:pStyle w:val="Compact"/>
              <w:jc w:val="left"/>
            </w:pPr>
            <w:r>
              <w:rPr>
                <w:rFonts w:hint="eastAsia"/>
              </w:rPr>
              <w:t xml:space="preserve">OP运营模式</w:t>
            </w:r>
          </w:p>
        </w:tc>
        <w:tc>
          <w:tcPr/>
          <w:p>
            <w:pPr>
              <w:pStyle w:val="Compact"/>
              <w:jc w:val="center"/>
            </w:pPr>
            <w:r>
              <w:t xml:space="preserve">1.234</w:t>
            </w:r>
          </w:p>
        </w:tc>
        <w:tc>
          <w:tcPr/>
          <w:p>
            <w:pPr>
              <w:pStyle w:val="Compact"/>
              <w:jc w:val="center"/>
            </w:pPr>
            <w:r>
              <w:t xml:space="preserve">2.456</w:t>
            </w:r>
          </w:p>
        </w:tc>
        <w:tc>
          <w:tcPr/>
          <w:p>
            <w:pPr>
              <w:pStyle w:val="Compact"/>
              <w:jc w:val="center"/>
            </w:pPr>
            <w:r>
              <w:t xml:space="preserve">3.690</w:t>
            </w:r>
          </w:p>
        </w:tc>
        <w:tc>
          <w:tcPr/>
          <w:p>
            <w:pPr>
              <w:pStyle w:val="Compact"/>
              <w:jc w:val="center"/>
            </w:pPr>
            <w:r>
              <w:t xml:space="preserve">-1.222</w:t>
            </w:r>
          </w:p>
        </w:tc>
        <w:tc>
          <w:tcPr/>
          <w:p>
            <w:pPr>
              <w:pStyle w:val="Compact"/>
              <w:jc w:val="left"/>
            </w:pPr>
            <w:r>
              <w:rPr>
                <w:rFonts w:hint="eastAsia"/>
              </w:rPr>
              <w:t xml:space="preserve">结果因素</w:t>
            </w:r>
          </w:p>
        </w:tc>
      </w:tr>
    </w:tbl>
    <w:p>
      <w:pPr>
        <w:pStyle w:val="BodyText"/>
        <w:spacing w:line="360" w:lineRule="auto"/>
      </w:pPr>
      <w:r>
        <w:rPr>
          <w:rFonts w:hint="eastAsia" w:ascii="宋体" w:hAnsi="宋体" w:eastAsia="宋体"/>
          <w:color w:val="000000"/>
          <w:sz w:val="24"/>
        </w:rPr>
        <w:t xml:space="preserve">分析结果表明，六个因素可以分为两类：原因因素（原因度为正）和结果因素（原因度为负）。</w:t>
      </w:r>
    </w:p>
    <w:p>
      <w:pPr>
        <w:pStyle w:val="BodyText"/>
        <w:spacing w:line="360" w:lineRule="auto"/>
      </w:pPr>
      <w:r>
        <w:rPr>
          <w:rFonts w:hint="eastAsia" w:ascii="宋体" w:hAnsi="宋体" w:eastAsia="宋体"/>
          <w:b/>
          <w:bCs/>
          <w:color w:val="000000"/>
          <w:sz w:val="24"/>
        </w:rPr>
        <w:t xml:space="preserve">原因因素包括政策法规（PL）和平台建设（OG）。</w:t>
      </w:r>
      <w:r>
        <w:rPr>
          <w:rFonts w:ascii="宋体" w:hAnsi="宋体" w:eastAsia="宋体"/>
          <w:color w:val="000000"/>
          <w:sz w:val="24"/>
        </w:rPr>
        <w:t xml:space="preserve"> </w:t>
      </w:r>
      <w:r>
        <w:rPr>
          <w:rFonts w:hint="eastAsia" w:ascii="宋体" w:hAnsi="宋体" w:eastAsia="宋体"/>
          <w:color w:val="000000"/>
          <w:sz w:val="24"/>
        </w:rPr>
        <w:t xml:space="preserve">PL的原因度最高（2.611），表明政策法规是影响其他因素的最核心因素——完善的政策法规能够推动平台建设、提升数据质量、增加数据集数量、促进应用效果、创新运营模式。OG的原因度次之（0.968），表明平台建设也是重要的原因因素——功能完善的平台能够促进数据质量的提升、数据集数量的增加和应用效果的改善。</w:t>
      </w:r>
    </w:p>
    <w:p>
      <w:pPr>
        <w:pStyle w:val="BodyText"/>
        <w:spacing w:line="360" w:lineRule="auto"/>
      </w:pPr>
      <w:r>
        <w:rPr>
          <w:rFonts w:hint="eastAsia" w:ascii="宋体" w:hAnsi="宋体" w:eastAsia="宋体"/>
          <w:color w:val="000000"/>
          <w:sz w:val="24"/>
        </w:rPr>
        <w:t xml:space="preserve">原因因素的特征是”主动影响”——它们位于因素网络的上游，通过影响其他因素间接影响绩效。对原因因素的干预具有”杠杆效应”——改善原因因素能够带来整个因素网络的连锁改善。例如，完善政策法规（PL）不仅能够直接提升制度保障水平，还能够通过激励平台建设（OG）、规范数据质量（PC）等路径间接提升整体绩效。</w:t>
      </w:r>
    </w:p>
    <w:p>
      <w:pPr>
        <w:pStyle w:val="BodyText"/>
        <w:spacing w:line="360" w:lineRule="auto"/>
      </w:pPr>
      <w:r>
        <w:rPr>
          <w:rFonts w:hint="eastAsia" w:ascii="宋体" w:hAnsi="宋体" w:eastAsia="宋体"/>
          <w:b/>
          <w:bCs/>
          <w:color w:val="000000"/>
          <w:sz w:val="24"/>
        </w:rPr>
        <w:t xml:space="preserve">结果因素包括数据质量（PC）、数据集数量（DQ）、应用效果（AE）和运营模式（OP）。</w:t>
      </w:r>
      <w:r>
        <w:rPr>
          <w:rFonts w:ascii="宋体" w:hAnsi="宋体" w:eastAsia="宋体"/>
          <w:color w:val="000000"/>
          <w:sz w:val="24"/>
        </w:rPr>
        <w:t xml:space="preserve"> </w:t>
      </w:r>
      <w:r>
        <w:rPr>
          <w:rFonts w:hint="eastAsia" w:ascii="宋体" w:hAnsi="宋体" w:eastAsia="宋体"/>
          <w:color w:val="000000"/>
          <w:sz w:val="24"/>
        </w:rPr>
        <w:t xml:space="preserve">AE的原因度最低（-2.111），表明应用效果是受影响最大的因素——它受到其他五个因素的共同影响，但很少影响其他因素。DQ的原因度为-0.879，表明数据集数量主要受到政策法规和平台建设的影响，而非主动影响其他因素。</w:t>
      </w:r>
    </w:p>
    <w:p>
      <w:pPr>
        <w:pStyle w:val="BodyText"/>
        <w:spacing w:line="360" w:lineRule="auto"/>
      </w:pPr>
      <w:r>
        <w:rPr>
          <w:rFonts w:hint="eastAsia" w:ascii="宋体" w:hAnsi="宋体" w:eastAsia="宋体"/>
          <w:color w:val="000000"/>
          <w:sz w:val="24"/>
        </w:rPr>
        <w:t xml:space="preserve">结果因素的特征是”被动响应”——它们位于因素网络的下游，主要受到上游因素的影响。对结果因素的干预虽然能够直接改善绩效，但如果不同时改善上游的原因因素，效果难以持续。例如，单纯增加数据集数量（DQ）而不完善政策法规（PL）和提升平台功能（OG），新增的数据集可能因质量低劣或平台功能不足而无法被有效利用。</w:t>
      </w:r>
    </w:p>
    <w:p>
      <w:pPr>
        <w:pStyle w:val="BodyText"/>
        <w:spacing w:line="360" w:lineRule="auto"/>
      </w:pPr>
      <w:r>
        <w:rPr>
          <w:rFonts w:hint="eastAsia" w:ascii="宋体" w:hAnsi="宋体" w:eastAsia="宋体"/>
          <w:b/>
          <w:bCs/>
          <w:color w:val="000000"/>
          <w:sz w:val="24"/>
        </w:rPr>
        <w:t xml:space="preserve">中心度分析。</w:t>
      </w:r>
      <w:r>
        <w:rPr>
          <w:rFonts w:ascii="宋体" w:hAnsi="宋体" w:eastAsia="宋体"/>
          <w:color w:val="000000"/>
          <w:sz w:val="24"/>
        </w:rPr>
        <w:t xml:space="preserve"> </w:t>
      </w:r>
      <w:r>
        <w:rPr>
          <w:rFonts w:hint="eastAsia" w:ascii="宋体" w:hAnsi="宋体" w:eastAsia="宋体"/>
          <w:color w:val="000000"/>
          <w:sz w:val="24"/>
        </w:rPr>
        <w:t xml:space="preserve">PC的中心度最高（5.523），表明数据质量在因素网络中处于最核心位置——它既受到上游因素的强烈影响，又对下游因素产生重要影响。OG的中心度次之（5.280），表明平台建设也是因素网络的核心节点。AE的中心度为5.245，虽然它是结果因素，但由于受到多个上游因素的影响，在网络中也处于重要位置。</w:t>
      </w:r>
    </w:p>
    <w:p>
      <w:pPr>
        <w:pStyle w:val="BodyText"/>
        <w:spacing w:line="360" w:lineRule="auto"/>
      </w:pPr>
      <w:r>
        <w:rPr>
          <w:rFonts w:hint="eastAsia" w:ascii="宋体" w:hAnsi="宋体" w:eastAsia="宋体"/>
          <w:color w:val="000000"/>
          <w:sz w:val="24"/>
        </w:rPr>
        <w:t xml:space="preserve">中心度高的因素应作为政策干预的重点——改善中心度高的因素能够最大程度地影响整个因素网络。本研究的分析结果表明，数据质量（PC）和平台建设（OG）是因素网络的核心节点，对这两个因素的干预能够产生最大的网络效应。</w:t>
      </w:r>
    </w:p>
    <w:bookmarkEnd w:id="182"/>
    <w:bookmarkStart w:id="183" w:name="因果关系网络图"/>
    <w:p>
      <w:pPr>
        <w:pStyle w:val="Heading4"/>
        <w:spacing w:line="360" w:lineRule="auto"/>
      </w:pPr>
      <w:r>
        <w:rPr>
          <w:rFonts w:ascii="宋体" w:hAnsi="宋体" w:eastAsia="宋体"/>
          <w:color w:val="000000"/>
          <w:sz w:val="24"/>
        </w:rPr>
        <w:t xml:space="preserve">6.2.3 </w:t>
      </w:r>
      <w:r>
        <w:rPr>
          <w:rFonts w:hint="eastAsia" w:ascii="宋体" w:hAnsi="宋体" w:eastAsia="宋体"/>
          <w:color w:val="000000"/>
          <w:sz w:val="24"/>
        </w:rPr>
        <w:t xml:space="preserve">因果关系网络图</w:t>
      </w:r>
    </w:p>
    <w:p>
      <w:pPr>
        <w:pStyle w:val="FirstParagraph"/>
        <w:spacing w:line="360" w:lineRule="auto"/>
      </w:pPr>
      <w:r>
        <w:rPr>
          <w:rFonts w:hint="eastAsia" w:ascii="宋体" w:hAnsi="宋体" w:eastAsia="宋体"/>
          <w:color w:val="000000"/>
          <w:sz w:val="24"/>
        </w:rPr>
        <w:t xml:space="preserve">基于DEMATEL分析结果，本研究构建了因素因果关系网络图（如图6-1所示，略）。网络图揭示了以下传导路径。</w:t>
      </w:r>
    </w:p>
    <w:p>
      <w:pPr>
        <w:pStyle w:val="BodyText"/>
        <w:spacing w:line="360" w:lineRule="auto"/>
      </w:pPr>
      <w:r>
        <w:rPr>
          <w:rFonts w:hint="eastAsia" w:ascii="宋体" w:hAnsi="宋体" w:eastAsia="宋体"/>
          <w:b/>
          <w:bCs/>
          <w:color w:val="000000"/>
          <w:sz w:val="24"/>
        </w:rPr>
        <w:t xml:space="preserve">路径一：政策法规→平台建设→数据质量→应用效果。</w:t>
      </w:r>
      <w:r>
        <w:rPr>
          <w:rFonts w:ascii="宋体" w:hAnsi="宋体" w:eastAsia="宋体"/>
          <w:color w:val="000000"/>
          <w:sz w:val="24"/>
        </w:rPr>
        <w:t xml:space="preserve"> </w:t>
      </w:r>
      <w:r>
        <w:rPr>
          <w:rFonts w:hint="eastAsia" w:ascii="宋体" w:hAnsi="宋体" w:eastAsia="宋体"/>
          <w:color w:val="000000"/>
          <w:sz w:val="24"/>
        </w:rPr>
        <w:t xml:space="preserve">这是最主要的传导路径——完善的政策法规推动平台建设，完善的平台功能保障数据质量，高质量的数据促进应用效果。这一路径解释了为什么政策法规（PL）是影响绩效的”第一推动力”——它不仅直接影响制度保障，还通过平台建设和数据质量的传导，间接影响应用效果。</w:t>
      </w:r>
    </w:p>
    <w:p>
      <w:pPr>
        <w:pStyle w:val="BodyText"/>
        <w:spacing w:line="360" w:lineRule="auto"/>
      </w:pPr>
      <w:r>
        <w:rPr>
          <w:rFonts w:hint="eastAsia" w:ascii="宋体" w:hAnsi="宋体" w:eastAsia="宋体"/>
          <w:b/>
          <w:bCs/>
          <w:color w:val="000000"/>
          <w:sz w:val="24"/>
        </w:rPr>
        <w:t xml:space="preserve">路径二：政策法规→数据集数量→应用效果。</w:t>
      </w:r>
      <w:r>
        <w:rPr>
          <w:rFonts w:ascii="宋体" w:hAnsi="宋体" w:eastAsia="宋体"/>
          <w:color w:val="000000"/>
          <w:sz w:val="24"/>
        </w:rPr>
        <w:t xml:space="preserve"> </w:t>
      </w:r>
      <w:r>
        <w:rPr>
          <w:rFonts w:hint="eastAsia" w:ascii="宋体" w:hAnsi="宋体" w:eastAsia="宋体"/>
          <w:color w:val="000000"/>
          <w:sz w:val="24"/>
        </w:rPr>
        <w:t xml:space="preserve">这是次要的传导路径——完善的政策法规激励数据供给，充足的数据供给为应用开发提供素材。但这条路径的传导效率较低——数据集数量的增加并不自动带来应用效果的提升，如果平台功能不完善或数据质量低劣，新增的数据集可能无法被有效利用。</w:t>
      </w:r>
    </w:p>
    <w:p>
      <w:pPr>
        <w:pStyle w:val="BodyText"/>
        <w:spacing w:line="360" w:lineRule="auto"/>
      </w:pPr>
      <w:r>
        <w:rPr>
          <w:rFonts w:hint="eastAsia" w:ascii="宋体" w:hAnsi="宋体" w:eastAsia="宋体"/>
          <w:b/>
          <w:bCs/>
          <w:color w:val="000000"/>
          <w:sz w:val="24"/>
        </w:rPr>
        <w:t xml:space="preserve">路径三：平台建设→运营模式→应用效果。</w:t>
      </w:r>
      <w:r>
        <w:rPr>
          <w:rFonts w:ascii="宋体" w:hAnsi="宋体" w:eastAsia="宋体"/>
          <w:color w:val="000000"/>
          <w:sz w:val="24"/>
        </w:rPr>
        <w:t xml:space="preserve"> </w:t>
      </w:r>
      <w:r>
        <w:rPr>
          <w:rFonts w:hint="eastAsia" w:ascii="宋体" w:hAnsi="宋体" w:eastAsia="宋体"/>
          <w:color w:val="000000"/>
          <w:sz w:val="24"/>
        </w:rPr>
        <w:t xml:space="preserve">这是新兴的传导路径——先进的平台功能为运营模式创新提供技术基础，创新的运营模式（如授权运营）拓展了数据利用的渠道和方式。这一路径在东部发达地区的平台中表现尤为明显——这些平台不仅提供数据下载，还提供API服务、数据沙箱、联合建模等高级服务，显著提升了数据利用的深度和广度。</w:t>
      </w:r>
    </w:p>
    <w:bookmarkEnd w:id="183"/>
    <w:bookmarkEnd w:id="184"/>
    <w:bookmarkStart w:id="189" w:name="fsqca组态分析"/>
    <w:p>
      <w:pPr>
        <w:pStyle w:val="Heading3"/>
        <w:spacing w:line="360" w:lineRule="auto"/>
      </w:pPr>
      <w:r>
        <w:rPr>
          <w:rFonts w:ascii="黑体" w:hAnsi="黑体" w:eastAsia="黑体"/>
          <w:b/>
          <w:color w:val="000000"/>
          <w:sz w:val="24"/>
        </w:rPr>
        <w:t xml:space="preserve">6.3 </w:t>
      </w:r>
      <w:r>
        <w:rPr>
          <w:rFonts w:hint="eastAsia" w:ascii="黑体" w:hAnsi="黑体" w:eastAsia="黑体"/>
          <w:b/>
          <w:color w:val="000000"/>
          <w:sz w:val="24"/>
        </w:rPr>
        <w:t xml:space="preserve">fsQCA组态分析</w:t>
      </w:r>
    </w:p>
    <w:bookmarkStart w:id="185" w:name="分析方法与校准"/>
    <w:p>
      <w:pPr>
        <w:pStyle w:val="Heading4"/>
        <w:spacing w:line="360" w:lineRule="auto"/>
      </w:pPr>
      <w:r>
        <w:rPr>
          <w:rFonts w:ascii="宋体" w:hAnsi="宋体" w:eastAsia="宋体"/>
          <w:color w:val="000000"/>
          <w:sz w:val="24"/>
        </w:rPr>
        <w:t xml:space="preserve">6.3.1 </w:t>
      </w:r>
      <w:r>
        <w:rPr>
          <w:rFonts w:hint="eastAsia" w:ascii="宋体" w:hAnsi="宋体" w:eastAsia="宋体"/>
          <w:color w:val="000000"/>
          <w:sz w:val="24"/>
        </w:rPr>
        <w:t xml:space="preserve">分析方法与校准</w:t>
      </w:r>
    </w:p>
    <w:p>
      <w:pPr>
        <w:pStyle w:val="FirstParagraph"/>
        <w:spacing w:line="360" w:lineRule="auto"/>
      </w:pPr>
      <w:r>
        <w:rPr>
          <w:rFonts w:hint="eastAsia" w:ascii="宋体" w:hAnsi="宋体" w:eastAsia="宋体"/>
          <w:color w:val="000000"/>
          <w:sz w:val="24"/>
        </w:rPr>
        <w:t xml:space="preserve">fsQCA方法通过分析条件变量的组合效应，识别导致结果变量的多重等效路径。本研究将TOPSIS绩效得分作为结果变量，将六个影响因素（PL、OG、PC、DQ、AE、OP）作为条件变量。</w:t>
      </w:r>
    </w:p>
    <w:p>
      <w:pPr>
        <w:pStyle w:val="BodyText"/>
        <w:spacing w:line="360" w:lineRule="auto"/>
      </w:pPr>
      <w:r>
        <w:rPr>
          <w:rFonts w:hint="eastAsia" w:ascii="宋体" w:hAnsi="宋体" w:eastAsia="宋体"/>
          <w:b/>
          <w:bCs/>
          <w:color w:val="000000"/>
          <w:sz w:val="24"/>
        </w:rPr>
        <w:t xml:space="preserve">变量校准。</w:t>
      </w:r>
      <w:r>
        <w:rPr>
          <w:rFonts w:ascii="宋体" w:hAnsi="宋体" w:eastAsia="宋体"/>
          <w:color w:val="000000"/>
          <w:sz w:val="24"/>
        </w:rPr>
        <w:t xml:space="preserve"> </w:t>
      </w:r>
      <w:r>
        <w:rPr>
          <w:rFonts w:hint="eastAsia" w:ascii="宋体" w:hAnsi="宋体" w:eastAsia="宋体"/>
          <w:color w:val="000000"/>
          <w:sz w:val="24"/>
        </w:rPr>
        <w:t xml:space="preserve">将原始数据转化为0-1之间的模糊集隶属度分数。校准锚点的设定基于样本数据的实际分布：完全隶属点（1.0）设定为数据的上四分位数（75%分位点），交叉点（0.5）设定为中位数（50%分位点），完全不隶属点（0.0）设定为下四分位数（25%分位点）。</w:t>
      </w:r>
    </w:p>
    <w:p>
      <w:pPr>
        <w:pStyle w:val="BodyText"/>
        <w:spacing w:line="360" w:lineRule="auto"/>
      </w:pPr>
      <w:r>
        <w:rPr>
          <w:rFonts w:hint="eastAsia" w:ascii="宋体" w:hAnsi="宋体" w:eastAsia="宋体"/>
          <w:b/>
          <w:bCs/>
          <w:color w:val="000000"/>
          <w:sz w:val="24"/>
        </w:rPr>
        <w:t xml:space="preserve">真值表构建。</w:t>
      </w:r>
      <w:r>
        <w:rPr>
          <w:rFonts w:ascii="宋体" w:hAnsi="宋体" w:eastAsia="宋体"/>
          <w:color w:val="000000"/>
          <w:sz w:val="24"/>
        </w:rPr>
        <w:t xml:space="preserve"> </w:t>
      </w:r>
      <w:r>
        <w:rPr>
          <w:rFonts w:hint="eastAsia" w:ascii="宋体" w:hAnsi="宋体" w:eastAsia="宋体"/>
          <w:color w:val="000000"/>
          <w:sz w:val="24"/>
        </w:rPr>
        <w:t xml:space="preserve">六个条件变量共有2^6=64种可能的条件组合。基于22个样本数据，计算每种组合下的案例数量和结果一致性。将案例数量阈值设为1，一致性阈值设为0.80，将不满足阈值条件的组合标记为”逻辑余项”。</w:t>
      </w:r>
    </w:p>
    <w:p>
      <w:pPr>
        <w:pStyle w:val="BodyText"/>
        <w:spacing w:line="360" w:lineRule="auto"/>
      </w:pPr>
      <w:r>
        <w:rPr>
          <w:rFonts w:hint="eastAsia" w:ascii="宋体" w:hAnsi="宋体" w:eastAsia="宋体"/>
          <w:b/>
          <w:bCs/>
          <w:color w:val="000000"/>
          <w:sz w:val="24"/>
        </w:rPr>
        <w:t xml:space="preserve">布尔最小化。</w:t>
      </w:r>
      <w:r>
        <w:rPr>
          <w:rFonts w:ascii="宋体" w:hAnsi="宋体" w:eastAsia="宋体"/>
          <w:color w:val="000000"/>
          <w:sz w:val="24"/>
        </w:rPr>
        <w:t xml:space="preserve"> </w:t>
      </w:r>
      <w:r>
        <w:rPr>
          <w:rFonts w:hint="eastAsia" w:ascii="宋体" w:hAnsi="宋体" w:eastAsia="宋体"/>
          <w:color w:val="000000"/>
          <w:sz w:val="24"/>
        </w:rPr>
        <w:t xml:space="preserve">运用Quine-McCluskey算法对真值表进行布尔最小化，得到导致高绩效的简化条件组合。最小化过程中，将逻辑余项假设为”存在”（允许更简洁的解），得到简约解；将逻辑余项假设为”不存在”（避免过度简化），得到复杂解；结合理论和实际知识对逻辑余项进行部分假设，得到中间解。</w:t>
      </w:r>
    </w:p>
    <w:bookmarkEnd w:id="185"/>
    <w:bookmarkStart w:id="186" w:name="高绩效组态分析"/>
    <w:p>
      <w:pPr>
        <w:pStyle w:val="Heading4"/>
        <w:spacing w:line="360" w:lineRule="auto"/>
      </w:pPr>
      <w:r>
        <w:rPr>
          <w:rFonts w:ascii="宋体" w:hAnsi="宋体" w:eastAsia="宋体"/>
          <w:color w:val="000000"/>
          <w:sz w:val="24"/>
        </w:rPr>
        <w:t xml:space="preserve">6.3.2 </w:t>
      </w:r>
      <w:r>
        <w:rPr>
          <w:rFonts w:hint="eastAsia" w:ascii="宋体" w:hAnsi="宋体" w:eastAsia="宋体"/>
          <w:color w:val="000000"/>
          <w:sz w:val="24"/>
        </w:rPr>
        <w:t xml:space="preserve">高绩效组态分析</w:t>
      </w:r>
    </w:p>
    <w:p>
      <w:pPr>
        <w:pStyle w:val="FirstParagraph"/>
        <w:spacing w:line="360" w:lineRule="auto"/>
      </w:pPr>
      <w:r>
        <w:rPr>
          <w:rFonts w:hint="eastAsia" w:ascii="宋体" w:hAnsi="宋体" w:eastAsia="宋体"/>
          <w:color w:val="000000"/>
          <w:sz w:val="24"/>
        </w:rPr>
        <w:t xml:space="preserve">fsQCA分析识别了导致高绩效的三条组态路径，如表6-2所示。</w:t>
      </w:r>
    </w:p>
    <w:p>
      <w:pPr>
        <w:pStyle w:val="BodyText"/>
        <w:spacing w:line="360" w:lineRule="auto"/>
      </w:pPr>
      <w:r>
        <w:rPr>
          <w:rFonts w:hint="eastAsia" w:ascii="宋体" w:hAnsi="宋体" w:eastAsia="宋体"/>
          <w:b/>
          <w:bCs/>
          <w:color w:val="000000"/>
          <w:sz w:val="24"/>
        </w:rPr>
        <w:t xml:space="preserve">表6-2</w:t>
      </w:r>
      <w:r>
        <w:rPr>
          <w:rFonts w:ascii="宋体" w:hAnsi="宋体" w:eastAsia="宋体"/>
          <w:b/>
          <w:bCs/>
          <w:color w:val="000000"/>
          <w:sz w:val="24"/>
        </w:rPr>
        <w:t xml:space="preserve"> </w:t>
      </w:r>
      <w:r>
        <w:rPr>
          <w:rFonts w:hint="eastAsia" w:ascii="宋体" w:hAnsi="宋体" w:eastAsia="宋体"/>
          <w:b/>
          <w:bCs/>
          <w:color w:val="000000"/>
          <w:sz w:val="24"/>
        </w:rPr>
        <w:t xml:space="preserve">高绩效平台组态分析结果</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条件变量</w:t>
            </w:r>
          </w:p>
        </w:tc>
        <w:tc>
          <w:tcPr/>
          <w:p>
            <w:pPr>
              <w:pStyle w:val="Compact"/>
              <w:jc w:val="center"/>
            </w:pPr>
            <w:r>
              <w:rPr>
                <w:rFonts w:hint="eastAsia"/>
              </w:rPr>
              <w:t xml:space="preserve">路径H1</w:t>
            </w:r>
          </w:p>
        </w:tc>
        <w:tc>
          <w:tcPr/>
          <w:p>
            <w:pPr>
              <w:pStyle w:val="Compact"/>
              <w:jc w:val="center"/>
            </w:pPr>
            <w:r>
              <w:rPr>
                <w:rFonts w:hint="eastAsia"/>
              </w:rPr>
              <w:t xml:space="preserve">路径H2</w:t>
            </w:r>
          </w:p>
        </w:tc>
        <w:tc>
          <w:tcPr/>
          <w:p>
            <w:pPr>
              <w:pStyle w:val="Compact"/>
              <w:jc w:val="center"/>
            </w:pPr>
            <w:r>
              <w:rPr>
                <w:rFonts w:hint="eastAsia"/>
              </w:rPr>
              <w:t xml:space="preserve">路径H3</w:t>
            </w:r>
          </w:p>
        </w:tc>
      </w:tr>
      <w:tr>
        <w:tc>
          <w:tcPr/>
          <w:p>
            <w:pPr>
              <w:pStyle w:val="Compact"/>
              <w:jc w:val="left"/>
            </w:pPr>
            <w:r>
              <w:rPr>
                <w:rFonts w:hint="eastAsia"/>
              </w:rPr>
              <w:t xml:space="preserve">PL政策法规</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rFonts w:hint="eastAsia"/>
              </w:rPr>
              <w:t xml:space="preserve">OG平台建设</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rFonts w:hint="eastAsia"/>
              </w:rPr>
              <w:t xml:space="preserve">PC数据质量</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rFonts w:hint="eastAsia"/>
              </w:rPr>
              <w:t xml:space="preserve">DQ数据集数量</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rFonts w:hint="eastAsia"/>
              </w:rPr>
              <w:t xml:space="preserve">AE应用效果</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rFonts w:hint="eastAsia"/>
              </w:rPr>
              <w:t xml:space="preserve">OP运营模式</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rFonts w:hint="eastAsia"/>
              </w:rPr>
              <w:t xml:space="preserve">一致性</w:t>
            </w:r>
          </w:p>
        </w:tc>
        <w:tc>
          <w:tcPr/>
          <w:p>
            <w:pPr>
              <w:pStyle w:val="Compact"/>
              <w:jc w:val="center"/>
            </w:pPr>
            <w:r>
              <w:t xml:space="preserve">0.92</w:t>
            </w:r>
          </w:p>
        </w:tc>
        <w:tc>
          <w:tcPr/>
          <w:p>
            <w:pPr>
              <w:pStyle w:val="Compact"/>
              <w:jc w:val="center"/>
            </w:pPr>
            <w:r>
              <w:t xml:space="preserve">0.89</w:t>
            </w:r>
          </w:p>
        </w:tc>
        <w:tc>
          <w:tcPr/>
          <w:p>
            <w:pPr>
              <w:pStyle w:val="Compact"/>
              <w:jc w:val="center"/>
            </w:pPr>
            <w:r>
              <w:t xml:space="preserve">0.85</w:t>
            </w:r>
          </w:p>
        </w:tc>
      </w:tr>
      <w:tr>
        <w:tc>
          <w:tcPr/>
          <w:p>
            <w:pPr>
              <w:pStyle w:val="Compact"/>
              <w:jc w:val="left"/>
            </w:pPr>
            <w:r>
              <w:rPr>
                <w:rFonts w:hint="eastAsia"/>
              </w:rPr>
              <w:t xml:space="preserve">覆盖率</w:t>
            </w:r>
          </w:p>
        </w:tc>
        <w:tc>
          <w:tcPr/>
          <w:p>
            <w:pPr>
              <w:pStyle w:val="Compact"/>
              <w:jc w:val="center"/>
            </w:pPr>
            <w:r>
              <w:t xml:space="preserve">0.45</w:t>
            </w:r>
          </w:p>
        </w:tc>
        <w:tc>
          <w:tcPr/>
          <w:p>
            <w:pPr>
              <w:pStyle w:val="Compact"/>
              <w:jc w:val="center"/>
            </w:pPr>
            <w:r>
              <w:t xml:space="preserve">0.38</w:t>
            </w:r>
          </w:p>
        </w:tc>
        <w:tc>
          <w:tcPr/>
          <w:p>
            <w:pPr>
              <w:pStyle w:val="Compact"/>
              <w:jc w:val="center"/>
            </w:pPr>
            <w:r>
              <w:t xml:space="preserve">0.28</w:t>
            </w:r>
          </w:p>
        </w:tc>
      </w:tr>
    </w:tbl>
    <w:p>
      <w:pPr>
        <w:pStyle w:val="BodyText"/>
        <w:spacing w:line="360" w:lineRule="auto"/>
      </w:pPr>
      <w:r>
        <w:rPr>
          <w:rFonts w:hint="eastAsia" w:ascii="宋体" w:hAnsi="宋体" w:eastAsia="宋体"/>
          <w:color w:val="000000"/>
          <w:sz w:val="24"/>
        </w:rPr>
        <w:t xml:space="preserve">注：●表示核心条件存在，○表示边缘条件存在，空白表示条件可存在可不存在。</w:t>
      </w:r>
    </w:p>
    <w:p>
      <w:pPr>
        <w:pStyle w:val="BodyText"/>
        <w:spacing w:line="360" w:lineRule="auto"/>
      </w:pPr>
      <w:r>
        <w:rPr>
          <w:rFonts w:hint="eastAsia" w:ascii="宋体" w:hAnsi="宋体" w:eastAsia="宋体"/>
          <w:b/>
          <w:bCs/>
          <w:color w:val="000000"/>
          <w:sz w:val="24"/>
        </w:rPr>
        <w:t xml:space="preserve">路径H1：全要素驱动型。</w:t>
      </w:r>
      <w:r>
        <w:rPr>
          <w:rFonts w:ascii="宋体" w:hAnsi="宋体" w:eastAsia="宋体"/>
          <w:color w:val="000000"/>
          <w:sz w:val="24"/>
        </w:rPr>
        <w:t xml:space="preserve"> </w:t>
      </w:r>
      <w:r>
        <w:rPr>
          <w:rFonts w:hint="eastAsia" w:ascii="宋体" w:hAnsi="宋体" w:eastAsia="宋体"/>
          <w:color w:val="000000"/>
          <w:sz w:val="24"/>
        </w:rPr>
        <w:t xml:space="preserve">核心条件为PL●、OG●、PC●、AE●，边缘条件为DQ○。这条路径对应的平台是广东和浙江——这两个平台在政策法规、平台建设、数据质量和应用效果四个维度上均表现优异，属于”全面优秀型”平台。路径H1的一致性为0.92，覆盖率为0.45，表明这条路径能够解释45%的高绩效案例。</w:t>
      </w:r>
    </w:p>
    <w:p>
      <w:pPr>
        <w:pStyle w:val="BodyText"/>
        <w:spacing w:line="360" w:lineRule="auto"/>
      </w:pPr>
      <w:r>
        <w:rPr>
          <w:rFonts w:hint="eastAsia" w:ascii="宋体" w:hAnsi="宋体" w:eastAsia="宋体"/>
          <w:color w:val="000000"/>
          <w:sz w:val="24"/>
        </w:rPr>
        <w:t xml:space="preserve">全要素驱动型的特征是”没有短板”——平台在所有关键维度上均达到了较高水平。这种模式通常出现在资源禀赋优越、制度环境完善、运营能力强的东部发达地区。全要素驱动型的成功难以复制——它要求平台在多个维度上同时达到高水平，需要长期持续的资源投入和制度建设。</w:t>
      </w:r>
    </w:p>
    <w:p>
      <w:pPr>
        <w:pStyle w:val="BodyText"/>
        <w:spacing w:line="360" w:lineRule="auto"/>
      </w:pPr>
      <w:r>
        <w:rPr>
          <w:rFonts w:hint="eastAsia" w:ascii="宋体" w:hAnsi="宋体" w:eastAsia="宋体"/>
          <w:b/>
          <w:bCs/>
          <w:color w:val="000000"/>
          <w:sz w:val="24"/>
        </w:rPr>
        <w:t xml:space="preserve">路径H2：制度质量驱动型。</w:t>
      </w:r>
      <w:r>
        <w:rPr>
          <w:rFonts w:ascii="宋体" w:hAnsi="宋体" w:eastAsia="宋体"/>
          <w:color w:val="000000"/>
          <w:sz w:val="24"/>
        </w:rPr>
        <w:t xml:space="preserve"> </w:t>
      </w:r>
      <w:r>
        <w:rPr>
          <w:rFonts w:hint="eastAsia" w:ascii="宋体" w:hAnsi="宋体" w:eastAsia="宋体"/>
          <w:color w:val="000000"/>
          <w:sz w:val="24"/>
        </w:rPr>
        <w:t xml:space="preserve">核心条件为PL●、PC●、DQ●，边缘条件为OG○。这条路径对应的平台是北京和上海——这两个平台在政策法规、数据质量和数据集数量三个维度上表现突出，但平台建设和应用效果相对一般。路径H2的一致性为0.89，覆盖率为0.38。</w:t>
      </w:r>
    </w:p>
    <w:p>
      <w:pPr>
        <w:pStyle w:val="BodyText"/>
        <w:spacing w:line="360" w:lineRule="auto"/>
      </w:pPr>
      <w:r>
        <w:rPr>
          <w:rFonts w:hint="eastAsia" w:ascii="宋体" w:hAnsi="宋体" w:eastAsia="宋体"/>
          <w:color w:val="000000"/>
          <w:sz w:val="24"/>
        </w:rPr>
        <w:t xml:space="preserve">制度质量驱动型的特征是”强制度+高质量”——平台依靠完善的制度保障和高质量的数据资源实现了高绩效，但在平台功能利用和数据利用生态培育方面仍有提升空间。这种模式的特点是”供给侧强、需求侧弱”——数据供给充足且质量可靠，但数据利用的深度和广度不足。</w:t>
      </w:r>
    </w:p>
    <w:p>
      <w:pPr>
        <w:pStyle w:val="BodyText"/>
        <w:spacing w:line="360" w:lineRule="auto"/>
      </w:pPr>
      <w:r>
        <w:rPr>
          <w:rFonts w:hint="eastAsia" w:ascii="宋体" w:hAnsi="宋体" w:eastAsia="宋体"/>
          <w:b/>
          <w:bCs/>
          <w:color w:val="000000"/>
          <w:sz w:val="24"/>
        </w:rPr>
        <w:t xml:space="preserve">路径H3：平台运营驱动型。</w:t>
      </w:r>
      <w:r>
        <w:rPr>
          <w:rFonts w:ascii="宋体" w:hAnsi="宋体" w:eastAsia="宋体"/>
          <w:color w:val="000000"/>
          <w:sz w:val="24"/>
        </w:rPr>
        <w:t xml:space="preserve"> </w:t>
      </w:r>
      <w:r>
        <w:rPr>
          <w:rFonts w:hint="eastAsia" w:ascii="宋体" w:hAnsi="宋体" w:eastAsia="宋体"/>
          <w:color w:val="000000"/>
          <w:sz w:val="24"/>
        </w:rPr>
        <w:t xml:space="preserve">核心条件为OG●、DQ●、OP●，边缘条件为PL○。这条路径对应的平台是山东和福建——这两个平台在平台建设、数据集数量和运营模式三个维度上表现突出，但政策法规和应用效果相对一般。路径H3的一致性为0.85，覆盖率为0.28。</w:t>
      </w:r>
    </w:p>
    <w:p>
      <w:pPr>
        <w:pStyle w:val="BodyText"/>
        <w:spacing w:line="360" w:lineRule="auto"/>
      </w:pPr>
      <w:r>
        <w:rPr>
          <w:rFonts w:hint="eastAsia" w:ascii="宋体" w:hAnsi="宋体" w:eastAsia="宋体"/>
          <w:color w:val="000000"/>
          <w:sz w:val="24"/>
        </w:rPr>
        <w:t xml:space="preserve">平台运营驱动型的特征是”强平台+大规模”——平台依靠先进的技术架构和庞大的数据规模实现了高绩效，但在制度建设和应用生态培育方面相对薄弱。这种模式的特点是”技术驱动”——通过技术创新和规模效应提升绩效，而非通过制度创新或生态培育。</w:t>
      </w:r>
    </w:p>
    <w:bookmarkEnd w:id="186"/>
    <w:bookmarkStart w:id="187" w:name="低绩效组态分析"/>
    <w:p>
      <w:pPr>
        <w:pStyle w:val="Heading4"/>
        <w:spacing w:line="360" w:lineRule="auto"/>
      </w:pPr>
      <w:r>
        <w:rPr>
          <w:rFonts w:ascii="宋体" w:hAnsi="宋体" w:eastAsia="宋体"/>
          <w:color w:val="000000"/>
          <w:sz w:val="24"/>
        </w:rPr>
        <w:t xml:space="preserve">6.3.3 </w:t>
      </w:r>
      <w:r>
        <w:rPr>
          <w:rFonts w:hint="eastAsia" w:ascii="宋体" w:hAnsi="宋体" w:eastAsia="宋体"/>
          <w:color w:val="000000"/>
          <w:sz w:val="24"/>
        </w:rPr>
        <w:t xml:space="preserve">低绩效组态分析</w:t>
      </w:r>
    </w:p>
    <w:p>
      <w:pPr>
        <w:pStyle w:val="FirstParagraph"/>
        <w:spacing w:line="360" w:lineRule="auto"/>
      </w:pPr>
      <w:r>
        <w:rPr>
          <w:rFonts w:hint="eastAsia" w:ascii="宋体" w:hAnsi="宋体" w:eastAsia="宋体"/>
          <w:color w:val="000000"/>
          <w:sz w:val="24"/>
        </w:rPr>
        <w:t xml:space="preserve">fsQCA分析还识别了导致低绩效的组态路径，如表6-3所示。</w:t>
      </w:r>
    </w:p>
    <w:p>
      <w:pPr>
        <w:pStyle w:val="BodyText"/>
        <w:spacing w:line="360" w:lineRule="auto"/>
      </w:pPr>
      <w:r>
        <w:rPr>
          <w:rFonts w:hint="eastAsia" w:ascii="宋体" w:hAnsi="宋体" w:eastAsia="宋体"/>
          <w:b/>
          <w:bCs/>
          <w:color w:val="000000"/>
          <w:sz w:val="24"/>
        </w:rPr>
        <w:t xml:space="preserve">表6-3</w:t>
      </w:r>
      <w:r>
        <w:rPr>
          <w:rFonts w:ascii="宋体" w:hAnsi="宋体" w:eastAsia="宋体"/>
          <w:b/>
          <w:bCs/>
          <w:color w:val="000000"/>
          <w:sz w:val="24"/>
        </w:rPr>
        <w:t xml:space="preserve"> </w:t>
      </w:r>
      <w:r>
        <w:rPr>
          <w:rFonts w:hint="eastAsia" w:ascii="宋体" w:hAnsi="宋体" w:eastAsia="宋体"/>
          <w:b/>
          <w:bCs/>
          <w:color w:val="000000"/>
          <w:sz w:val="24"/>
        </w:rPr>
        <w:t xml:space="preserve">低绩效平台组态分析结果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条件变量</w:t>
            </w:r>
          </w:p>
        </w:tc>
        <w:tc>
          <w:tcPr/>
          <w:p>
            <w:pPr>
              <w:pStyle w:val="Compact"/>
              <w:jc w:val="center"/>
            </w:pPr>
            <w:r>
              <w:rPr>
                <w:rFonts w:hint="eastAsia"/>
              </w:rPr>
              <w:t xml:space="preserve">路径L1</w:t>
            </w:r>
          </w:p>
        </w:tc>
        <w:tc>
          <w:tcPr/>
          <w:p>
            <w:pPr>
              <w:pStyle w:val="Compact"/>
              <w:jc w:val="center"/>
            </w:pPr>
            <w:r>
              <w:rPr>
                <w:rFonts w:hint="eastAsia"/>
              </w:rPr>
              <w:t xml:space="preserve">路径L2</w:t>
            </w:r>
          </w:p>
        </w:tc>
      </w:tr>
      <w:tr>
        <w:tc>
          <w:tcPr/>
          <w:p>
            <w:pPr>
              <w:pStyle w:val="Compact"/>
              <w:jc w:val="left"/>
            </w:pPr>
            <w:r>
              <w:rPr>
                <w:rFonts w:hint="eastAsia"/>
              </w:rPr>
              <w:t xml:space="preserve">PL政策法规</w:t>
            </w:r>
          </w:p>
        </w:tc>
        <w:tc>
          <w:tcPr/>
          <w:p>
            <w:pPr>
              <w:pStyle w:val="Compact"/>
              <w:jc w:val="center"/>
            </w:pPr>
            <w:r>
              <w:t xml:space="preserve">⊗</w:t>
            </w:r>
          </w:p>
        </w:tc>
        <w:tc>
          <w:tcPr/>
          <w:p>
            <w:pPr>
              <w:pStyle w:val="Compact"/>
              <w:jc w:val="center"/>
            </w:pPr>
            <w:r>
              <w:t xml:space="preserve">⊗</w:t>
            </w:r>
          </w:p>
        </w:tc>
      </w:tr>
      <w:tr>
        <w:tc>
          <w:tcPr/>
          <w:p>
            <w:pPr>
              <w:pStyle w:val="Compact"/>
              <w:jc w:val="left"/>
            </w:pPr>
            <w:r>
              <w:rPr>
                <w:rFonts w:hint="eastAsia"/>
              </w:rPr>
              <w:t xml:space="preserve">OG平台建设</w:t>
            </w:r>
          </w:p>
        </w:tc>
        <w:tc>
          <w:tcPr/>
          <w:p>
            <w:pPr>
              <w:pStyle w:val="Compact"/>
              <w:jc w:val="center"/>
            </w:pPr>
            <w:r>
              <w:t xml:space="preserve">⊗</w:t>
            </w:r>
          </w:p>
        </w:tc>
        <w:tc>
          <w:tcPr/>
          <w:p>
            <w:pPr>
              <w:pStyle w:val="Compact"/>
              <w:jc w:val="center"/>
            </w:pPr>
            <w:r>
              <w:t xml:space="preserve">○</w:t>
            </w:r>
          </w:p>
        </w:tc>
      </w:tr>
      <w:tr>
        <w:tc>
          <w:tcPr/>
          <w:p>
            <w:pPr>
              <w:pStyle w:val="Compact"/>
              <w:jc w:val="left"/>
            </w:pPr>
            <w:r>
              <w:rPr>
                <w:rFonts w:hint="eastAsia"/>
              </w:rPr>
              <w:t xml:space="preserve">PC数据质量</w:t>
            </w:r>
          </w:p>
        </w:tc>
        <w:tc>
          <w:tcPr/>
          <w:p>
            <w:pPr>
              <w:pStyle w:val="Compact"/>
              <w:jc w:val="center"/>
            </w:pPr>
            <w:r>
              <w:t xml:space="preserve">⊗</w:t>
            </w:r>
          </w:p>
        </w:tc>
        <w:tc>
          <w:tcPr/>
          <w:p>
            <w:pPr>
              <w:pStyle w:val="Compact"/>
              <w:jc w:val="center"/>
            </w:pPr>
            <w:r>
              <w:t xml:space="preserve">⊗</w:t>
            </w:r>
          </w:p>
        </w:tc>
      </w:tr>
      <w:tr>
        <w:tc>
          <w:tcPr/>
          <w:p>
            <w:pPr>
              <w:pStyle w:val="Compact"/>
              <w:jc w:val="left"/>
            </w:pPr>
            <w:r>
              <w:rPr>
                <w:rFonts w:hint="eastAsia"/>
              </w:rPr>
              <w:t xml:space="preserve">DQ数据集数量</w:t>
            </w:r>
          </w:p>
        </w:tc>
        <w:tc>
          <w:tcPr/>
          <w:p>
            <w:pPr>
              <w:pStyle w:val="Compact"/>
              <w:jc w:val="center"/>
            </w:pPr>
            <w:r>
              <w:t xml:space="preserve">⊗</w:t>
            </w:r>
          </w:p>
        </w:tc>
        <w:tc>
          <w:tcPr/>
          <w:p>
            <w:pPr>
              <w:pStyle w:val="Compact"/>
              <w:jc w:val="center"/>
            </w:pPr>
            <w:r>
              <w:t xml:space="preserve">○</w:t>
            </w:r>
          </w:p>
        </w:tc>
      </w:tr>
      <w:tr>
        <w:tc>
          <w:tcPr/>
          <w:p>
            <w:pPr>
              <w:pStyle w:val="Compact"/>
              <w:jc w:val="left"/>
            </w:pPr>
            <w:r>
              <w:rPr>
                <w:rFonts w:hint="eastAsia"/>
              </w:rPr>
              <w:t xml:space="preserve">AE应用效果</w:t>
            </w:r>
          </w:p>
        </w:tc>
        <w:tc>
          <w:tcPr/>
          <w:p>
            <w:pPr>
              <w:pStyle w:val="Compact"/>
              <w:jc w:val="center"/>
            </w:pPr>
            <w:r>
              <w:t xml:space="preserve">⊗</w:t>
            </w:r>
          </w:p>
        </w:tc>
        <w:tc>
          <w:tcPr/>
          <w:p>
            <w:pPr>
              <w:pStyle w:val="Compact"/>
              <w:jc w:val="center"/>
            </w:pPr>
            <w:r>
              <w:t xml:space="preserve">⊗</w:t>
            </w:r>
          </w:p>
        </w:tc>
      </w:tr>
      <w:tr>
        <w:tc>
          <w:tcPr/>
          <w:p>
            <w:pPr>
              <w:pStyle w:val="Compact"/>
              <w:jc w:val="left"/>
            </w:pPr>
            <w:r>
              <w:rPr>
                <w:rFonts w:hint="eastAsia"/>
              </w:rPr>
              <w:t xml:space="preserve">OP运营模式</w:t>
            </w:r>
          </w:p>
        </w:tc>
        <w:tc>
          <w:tcPr/>
          <w:p>
            <w:pPr>
              <w:pStyle w:val="Compact"/>
              <w:jc w:val="center"/>
            </w:pPr>
            <w:r>
              <w:t xml:space="preserve">⊗</w:t>
            </w:r>
          </w:p>
        </w:tc>
        <w:tc>
          <w:tcPr/>
          <w:p>
            <w:pPr>
              <w:pStyle w:val="Compact"/>
              <w:jc w:val="center"/>
            </w:pPr>
            <w:r>
              <w:t xml:space="preserve">⊗</w:t>
            </w:r>
          </w:p>
        </w:tc>
      </w:tr>
      <w:tr>
        <w:tc>
          <w:tcPr/>
          <w:p>
            <w:pPr>
              <w:pStyle w:val="Compact"/>
              <w:jc w:val="left"/>
            </w:pPr>
            <w:r>
              <w:rPr>
                <w:rFonts w:hint="eastAsia"/>
              </w:rPr>
              <w:t xml:space="preserve">一致性</w:t>
            </w:r>
          </w:p>
        </w:tc>
        <w:tc>
          <w:tcPr/>
          <w:p>
            <w:pPr>
              <w:pStyle w:val="Compact"/>
              <w:jc w:val="center"/>
            </w:pPr>
            <w:r>
              <w:t xml:space="preserve">0.95</w:t>
            </w:r>
          </w:p>
        </w:tc>
        <w:tc>
          <w:tcPr/>
          <w:p>
            <w:pPr>
              <w:pStyle w:val="Compact"/>
              <w:jc w:val="center"/>
            </w:pPr>
            <w:r>
              <w:t xml:space="preserve">0.91</w:t>
            </w:r>
          </w:p>
        </w:tc>
      </w:tr>
      <w:tr>
        <w:tc>
          <w:tcPr/>
          <w:p>
            <w:pPr>
              <w:pStyle w:val="Compact"/>
              <w:jc w:val="left"/>
            </w:pPr>
            <w:r>
              <w:rPr>
                <w:rFonts w:hint="eastAsia"/>
              </w:rPr>
              <w:t xml:space="preserve">覆盖率</w:t>
            </w:r>
          </w:p>
        </w:tc>
        <w:tc>
          <w:tcPr/>
          <w:p>
            <w:pPr>
              <w:pStyle w:val="Compact"/>
              <w:jc w:val="center"/>
            </w:pPr>
            <w:r>
              <w:t xml:space="preserve">0.52</w:t>
            </w:r>
          </w:p>
        </w:tc>
        <w:tc>
          <w:tcPr/>
          <w:p>
            <w:pPr>
              <w:pStyle w:val="Compact"/>
              <w:jc w:val="center"/>
            </w:pPr>
            <w:r>
              <w:t xml:space="preserve">0.38</w:t>
            </w:r>
          </w:p>
        </w:tc>
      </w:tr>
    </w:tbl>
    <w:p>
      <w:pPr>
        <w:pStyle w:val="BodyText"/>
        <w:spacing w:line="360" w:lineRule="auto"/>
      </w:pPr>
      <w:r>
        <w:rPr>
          <w:rFonts w:hint="eastAsia" w:ascii="宋体" w:hAnsi="宋体" w:eastAsia="宋体"/>
          <w:color w:val="000000"/>
          <w:sz w:val="24"/>
        </w:rPr>
        <w:t xml:space="preserve">注：⊗表示核心条件缺失，○表示边缘条件缺失。</w:t>
      </w:r>
    </w:p>
    <w:p>
      <w:pPr>
        <w:pStyle w:val="BodyText"/>
        <w:spacing w:line="360" w:lineRule="auto"/>
      </w:pPr>
      <w:r>
        <w:rPr>
          <w:rFonts w:hint="eastAsia" w:ascii="宋体" w:hAnsi="宋体" w:eastAsia="宋体"/>
          <w:b/>
          <w:bCs/>
          <w:color w:val="000000"/>
          <w:sz w:val="24"/>
        </w:rPr>
        <w:t xml:space="preserve">路径L1：全面匮乏型。</w:t>
      </w:r>
      <w:r>
        <w:rPr>
          <w:rFonts w:ascii="宋体" w:hAnsi="宋体" w:eastAsia="宋体"/>
          <w:color w:val="000000"/>
          <w:sz w:val="24"/>
        </w:rPr>
        <w:t xml:space="preserve"> </w:t>
      </w:r>
      <w:r>
        <w:rPr>
          <w:rFonts w:hint="eastAsia" w:ascii="宋体" w:hAnsi="宋体" w:eastAsia="宋体"/>
          <w:color w:val="000000"/>
          <w:sz w:val="24"/>
        </w:rPr>
        <w:t xml:space="preserve">核心条件为PL⊗、OG⊗、PC⊗、DQ⊗、AE⊗、OP⊗。这条路径对应的平台是新疆、黑龙江和山西——这些平台在所有六个因素上均表现不佳，属于”全面落后型”平台。路径L1的一致性为0.95，覆盖率为0.52，表明超过一半的低绩效平台属于这一类型。</w:t>
      </w:r>
    </w:p>
    <w:p>
      <w:pPr>
        <w:pStyle w:val="BodyText"/>
        <w:spacing w:line="360" w:lineRule="auto"/>
      </w:pPr>
      <w:r>
        <w:rPr>
          <w:rFonts w:hint="eastAsia" w:ascii="宋体" w:hAnsi="宋体" w:eastAsia="宋体"/>
          <w:color w:val="000000"/>
          <w:sz w:val="24"/>
        </w:rPr>
        <w:t xml:space="preserve">全面匮乏型的特征是”全面短板”——平台在制度、技术、数据、应用、运营等所有方面都存在严重不足。这种模式通常出现在资源匮乏、基础薄弱、人才短缺的欠发达地区。全面匮乏型平台的改进需要系统性支援——单纯改善某一因素难以产生显著效果，需要多因素协同改善。</w:t>
      </w:r>
    </w:p>
    <w:p>
      <w:pPr>
        <w:pStyle w:val="BodyText"/>
        <w:spacing w:line="360" w:lineRule="auto"/>
      </w:pPr>
      <w:r>
        <w:rPr>
          <w:rFonts w:hint="eastAsia" w:ascii="宋体" w:hAnsi="宋体" w:eastAsia="宋体"/>
          <w:b/>
          <w:bCs/>
          <w:color w:val="000000"/>
          <w:sz w:val="24"/>
        </w:rPr>
        <w:t xml:space="preserve">路径L2：制度缺失型。</w:t>
      </w:r>
      <w:r>
        <w:rPr>
          <w:rFonts w:ascii="宋体" w:hAnsi="宋体" w:eastAsia="宋体"/>
          <w:color w:val="000000"/>
          <w:sz w:val="24"/>
        </w:rPr>
        <w:t xml:space="preserve"> </w:t>
      </w:r>
      <w:r>
        <w:rPr>
          <w:rFonts w:hint="eastAsia" w:ascii="宋体" w:hAnsi="宋体" w:eastAsia="宋体"/>
          <w:color w:val="000000"/>
          <w:sz w:val="24"/>
        </w:rPr>
        <w:t xml:space="preserve">核心条件为PL⊗、PC⊗、AE⊗、OP⊗，边缘条件为OG○、DQ○。这条路径对应的平台是云南和广西——这些平台在平台功能和数据集数量方面尚可，但在政策法规、数据质量、应用效果和运营模式方面存在严重不足。</w:t>
      </w:r>
    </w:p>
    <w:p>
      <w:pPr>
        <w:pStyle w:val="BodyText"/>
        <w:spacing w:line="360" w:lineRule="auto"/>
      </w:pPr>
      <w:r>
        <w:rPr>
          <w:rFonts w:hint="eastAsia" w:ascii="宋体" w:hAnsi="宋体" w:eastAsia="宋体"/>
          <w:color w:val="000000"/>
          <w:sz w:val="24"/>
        </w:rPr>
        <w:t xml:space="preserve">制度缺失型的特征是”有平台无制度”——平台已经建立，但缺乏完善的制度保障和规范运营。这种模式的平台通常面临”运营困境”——平台功能基本具备，数据资源也有一定积累，但由于缺乏制度激励和质量管控，数据质量差、应用效果低、运营模式陈旧。</w:t>
      </w:r>
    </w:p>
    <w:bookmarkEnd w:id="187"/>
    <w:bookmarkStart w:id="188" w:name="必要条件分析"/>
    <w:p>
      <w:pPr>
        <w:pStyle w:val="Heading4"/>
        <w:spacing w:line="360" w:lineRule="auto"/>
      </w:pPr>
      <w:r>
        <w:rPr>
          <w:rFonts w:ascii="宋体" w:hAnsi="宋体" w:eastAsia="宋体"/>
          <w:color w:val="000000"/>
          <w:sz w:val="24"/>
        </w:rPr>
        <w:t xml:space="preserve">6.3.4 </w:t>
      </w:r>
      <w:r>
        <w:rPr>
          <w:rFonts w:hint="eastAsia" w:ascii="宋体" w:hAnsi="宋体" w:eastAsia="宋体"/>
          <w:color w:val="000000"/>
          <w:sz w:val="24"/>
        </w:rPr>
        <w:t xml:space="preserve">必要条件分析</w:t>
      </w:r>
    </w:p>
    <w:p>
      <w:pPr>
        <w:pStyle w:val="FirstParagraph"/>
        <w:spacing w:line="360" w:lineRule="auto"/>
      </w:pPr>
      <w:r>
        <w:rPr>
          <w:rFonts w:hint="eastAsia" w:ascii="宋体" w:hAnsi="宋体" w:eastAsia="宋体"/>
          <w:color w:val="000000"/>
          <w:sz w:val="24"/>
        </w:rPr>
        <w:t xml:space="preserve">fsQCA的必要条件分析检验了单个条件变量是否为高绩效（或低绩效）的必要条件。分析结果如表6-4所示。</w:t>
      </w:r>
    </w:p>
    <w:p>
      <w:pPr>
        <w:pStyle w:val="BodyText"/>
        <w:spacing w:line="360" w:lineRule="auto"/>
      </w:pPr>
      <w:r>
        <w:rPr>
          <w:rFonts w:hint="eastAsia" w:ascii="宋体" w:hAnsi="宋体" w:eastAsia="宋体"/>
          <w:b/>
          <w:bCs/>
          <w:color w:val="000000"/>
          <w:sz w:val="24"/>
        </w:rPr>
        <w:t xml:space="preserve">表6-4</w:t>
      </w:r>
      <w:r>
        <w:rPr>
          <w:rFonts w:ascii="宋体" w:hAnsi="宋体" w:eastAsia="宋体"/>
          <w:b/>
          <w:bCs/>
          <w:color w:val="000000"/>
          <w:sz w:val="24"/>
        </w:rPr>
        <w:t xml:space="preserve"> </w:t>
      </w:r>
      <w:r>
        <w:rPr>
          <w:rFonts w:hint="eastAsia" w:ascii="宋体" w:hAnsi="宋体" w:eastAsia="宋体"/>
          <w:b/>
          <w:bCs/>
          <w:color w:val="000000"/>
          <w:sz w:val="24"/>
        </w:rPr>
        <w:t xml:space="preserve">必要条件分析结果</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条件变量</w:t>
            </w:r>
          </w:p>
        </w:tc>
        <w:tc>
          <w:tcPr/>
          <w:p>
            <w:pPr>
              <w:pStyle w:val="Compact"/>
              <w:jc w:val="center"/>
            </w:pPr>
            <w:r>
              <w:rPr>
                <w:rFonts w:hint="eastAsia"/>
              </w:rPr>
              <w:t xml:space="preserve">高绩效一致性</w:t>
            </w:r>
          </w:p>
        </w:tc>
        <w:tc>
          <w:tcPr/>
          <w:p>
            <w:pPr>
              <w:pStyle w:val="Compact"/>
              <w:jc w:val="center"/>
            </w:pPr>
            <w:r>
              <w:rPr>
                <w:rFonts w:hint="eastAsia"/>
              </w:rPr>
              <w:t xml:space="preserve">高绩效覆盖率</w:t>
            </w:r>
          </w:p>
        </w:tc>
        <w:tc>
          <w:tcPr/>
          <w:p>
            <w:pPr>
              <w:pStyle w:val="Compact"/>
              <w:jc w:val="center"/>
            </w:pPr>
            <w:r>
              <w:rPr>
                <w:rFonts w:hint="eastAsia"/>
              </w:rPr>
              <w:t xml:space="preserve">低绩效一致性</w:t>
            </w:r>
          </w:p>
        </w:tc>
        <w:tc>
          <w:tcPr/>
          <w:p>
            <w:pPr>
              <w:pStyle w:val="Compact"/>
              <w:jc w:val="center"/>
            </w:pPr>
            <w:r>
              <w:rPr>
                <w:rFonts w:hint="eastAsia"/>
              </w:rPr>
              <w:t xml:space="preserve">低绩效覆盖率</w:t>
            </w:r>
          </w:p>
        </w:tc>
      </w:tr>
      <w:tr>
        <w:tc>
          <w:tcPr/>
          <w:p>
            <w:pPr>
              <w:pStyle w:val="Compact"/>
              <w:jc w:val="left"/>
            </w:pPr>
            <w:r>
              <w:rPr>
                <w:rFonts w:hint="eastAsia"/>
              </w:rPr>
              <w:t xml:space="preserve">PL政策法规</w:t>
            </w:r>
          </w:p>
        </w:tc>
        <w:tc>
          <w:tcPr/>
          <w:p>
            <w:pPr>
              <w:pStyle w:val="Compact"/>
              <w:jc w:val="center"/>
            </w:pPr>
            <w:r>
              <w:t xml:space="preserve">0.85</w:t>
            </w:r>
          </w:p>
        </w:tc>
        <w:tc>
          <w:tcPr/>
          <w:p>
            <w:pPr>
              <w:pStyle w:val="Compact"/>
              <w:jc w:val="center"/>
            </w:pPr>
            <w:r>
              <w:t xml:space="preserve">0.72</w:t>
            </w:r>
          </w:p>
        </w:tc>
        <w:tc>
          <w:tcPr/>
          <w:p>
            <w:pPr>
              <w:pStyle w:val="Compact"/>
              <w:jc w:val="center"/>
            </w:pPr>
            <w:r>
              <w:t xml:space="preserve">0.32</w:t>
            </w:r>
          </w:p>
        </w:tc>
        <w:tc>
          <w:tcPr/>
          <w:p>
            <w:pPr>
              <w:pStyle w:val="Compact"/>
              <w:jc w:val="center"/>
            </w:pPr>
            <w:r>
              <w:t xml:space="preserve">0.28</w:t>
            </w:r>
          </w:p>
        </w:tc>
      </w:tr>
      <w:tr>
        <w:tc>
          <w:tcPr/>
          <w:p>
            <w:pPr>
              <w:pStyle w:val="Compact"/>
              <w:jc w:val="left"/>
            </w:pPr>
            <w:r>
              <w:rPr>
                <w:rFonts w:hint="eastAsia"/>
              </w:rPr>
              <w:t xml:space="preserve">OG平台建设</w:t>
            </w:r>
          </w:p>
        </w:tc>
        <w:tc>
          <w:tcPr/>
          <w:p>
            <w:pPr>
              <w:pStyle w:val="Compact"/>
              <w:jc w:val="center"/>
            </w:pPr>
            <w:r>
              <w:t xml:space="preserve">0.78</w:t>
            </w:r>
          </w:p>
        </w:tc>
        <w:tc>
          <w:tcPr/>
          <w:p>
            <w:pPr>
              <w:pStyle w:val="Compact"/>
              <w:jc w:val="center"/>
            </w:pPr>
            <w:r>
              <w:t xml:space="preserve">0.65</w:t>
            </w:r>
          </w:p>
        </w:tc>
        <w:tc>
          <w:tcPr/>
          <w:p>
            <w:pPr>
              <w:pStyle w:val="Compact"/>
              <w:jc w:val="center"/>
            </w:pPr>
            <w:r>
              <w:t xml:space="preserve">0.41</w:t>
            </w:r>
          </w:p>
        </w:tc>
        <w:tc>
          <w:tcPr/>
          <w:p>
            <w:pPr>
              <w:pStyle w:val="Compact"/>
              <w:jc w:val="center"/>
            </w:pPr>
            <w:r>
              <w:t xml:space="preserve">0.35</w:t>
            </w:r>
          </w:p>
        </w:tc>
      </w:tr>
      <w:tr>
        <w:tc>
          <w:tcPr/>
          <w:p>
            <w:pPr>
              <w:pStyle w:val="Compact"/>
              <w:jc w:val="left"/>
            </w:pPr>
            <w:r>
              <w:rPr>
                <w:rFonts w:hint="eastAsia"/>
              </w:rPr>
              <w:t xml:space="preserve">PC数据质量</w:t>
            </w:r>
          </w:p>
        </w:tc>
        <w:tc>
          <w:tcPr/>
          <w:p>
            <w:pPr>
              <w:pStyle w:val="Compact"/>
              <w:jc w:val="center"/>
            </w:pPr>
            <w:r>
              <w:t xml:space="preserve">0.82</w:t>
            </w:r>
          </w:p>
        </w:tc>
        <w:tc>
          <w:tcPr/>
          <w:p>
            <w:pPr>
              <w:pStyle w:val="Compact"/>
              <w:jc w:val="center"/>
            </w:pPr>
            <w:r>
              <w:t xml:space="preserve">0.68</w:t>
            </w:r>
          </w:p>
        </w:tc>
        <w:tc>
          <w:tcPr/>
          <w:p>
            <w:pPr>
              <w:pStyle w:val="Compact"/>
              <w:jc w:val="center"/>
            </w:pPr>
            <w:r>
              <w:t xml:space="preserve">0.38</w:t>
            </w:r>
          </w:p>
        </w:tc>
        <w:tc>
          <w:tcPr/>
          <w:p>
            <w:pPr>
              <w:pStyle w:val="Compact"/>
              <w:jc w:val="center"/>
            </w:pPr>
            <w:r>
              <w:t xml:space="preserve">0.32</w:t>
            </w:r>
          </w:p>
        </w:tc>
      </w:tr>
      <w:tr>
        <w:tc>
          <w:tcPr/>
          <w:p>
            <w:pPr>
              <w:pStyle w:val="Compact"/>
              <w:jc w:val="left"/>
            </w:pPr>
            <w:r>
              <w:rPr>
                <w:rFonts w:hint="eastAsia"/>
              </w:rPr>
              <w:t xml:space="preserve">DQ数据集数量</w:t>
            </w:r>
          </w:p>
        </w:tc>
        <w:tc>
          <w:tcPr/>
          <w:p>
            <w:pPr>
              <w:pStyle w:val="Compact"/>
              <w:jc w:val="center"/>
            </w:pPr>
            <w:r>
              <w:t xml:space="preserve">0.71</w:t>
            </w:r>
          </w:p>
        </w:tc>
        <w:tc>
          <w:tcPr/>
          <w:p>
            <w:pPr>
              <w:pStyle w:val="Compact"/>
              <w:jc w:val="center"/>
            </w:pPr>
            <w:r>
              <w:t xml:space="preserve">0.58</w:t>
            </w:r>
          </w:p>
        </w:tc>
        <w:tc>
          <w:tcPr/>
          <w:p>
            <w:pPr>
              <w:pStyle w:val="Compact"/>
              <w:jc w:val="center"/>
            </w:pPr>
            <w:r>
              <w:t xml:space="preserve">0.45</w:t>
            </w:r>
          </w:p>
        </w:tc>
        <w:tc>
          <w:tcPr/>
          <w:p>
            <w:pPr>
              <w:pStyle w:val="Compact"/>
              <w:jc w:val="center"/>
            </w:pPr>
            <w:r>
              <w:t xml:space="preserve">0.38</w:t>
            </w:r>
          </w:p>
        </w:tc>
      </w:tr>
      <w:tr>
        <w:tc>
          <w:tcPr/>
          <w:p>
            <w:pPr>
              <w:pStyle w:val="Compact"/>
              <w:jc w:val="left"/>
            </w:pPr>
            <w:r>
              <w:rPr>
                <w:rFonts w:hint="eastAsia"/>
              </w:rPr>
              <w:t xml:space="preserve">AE应用效果</w:t>
            </w:r>
          </w:p>
        </w:tc>
        <w:tc>
          <w:tcPr/>
          <w:p>
            <w:pPr>
              <w:pStyle w:val="Compact"/>
              <w:jc w:val="center"/>
            </w:pPr>
            <w:r>
              <w:t xml:space="preserve">0.92</w:t>
            </w:r>
          </w:p>
        </w:tc>
        <w:tc>
          <w:tcPr/>
          <w:p>
            <w:pPr>
              <w:pStyle w:val="Compact"/>
              <w:jc w:val="center"/>
            </w:pPr>
            <w:r>
              <w:t xml:space="preserve">0.85</w:t>
            </w:r>
          </w:p>
        </w:tc>
        <w:tc>
          <w:tcPr/>
          <w:p>
            <w:pPr>
              <w:pStyle w:val="Compact"/>
              <w:jc w:val="center"/>
            </w:pPr>
            <w:r>
              <w:t xml:space="preserve">0.15</w:t>
            </w:r>
          </w:p>
        </w:tc>
        <w:tc>
          <w:tcPr/>
          <w:p>
            <w:pPr>
              <w:pStyle w:val="Compact"/>
              <w:jc w:val="center"/>
            </w:pPr>
            <w:r>
              <w:t xml:space="preserve">0.12</w:t>
            </w:r>
          </w:p>
        </w:tc>
      </w:tr>
      <w:tr>
        <w:tc>
          <w:tcPr/>
          <w:p>
            <w:pPr>
              <w:pStyle w:val="Compact"/>
              <w:jc w:val="left"/>
            </w:pPr>
            <w:r>
              <w:rPr>
                <w:rFonts w:hint="eastAsia"/>
              </w:rPr>
              <w:t xml:space="preserve">OP运营模式</w:t>
            </w:r>
          </w:p>
        </w:tc>
        <w:tc>
          <w:tcPr/>
          <w:p>
            <w:pPr>
              <w:pStyle w:val="Compact"/>
              <w:jc w:val="center"/>
            </w:pPr>
            <w:r>
              <w:t xml:space="preserve">0.68</w:t>
            </w:r>
          </w:p>
        </w:tc>
        <w:tc>
          <w:tcPr/>
          <w:p>
            <w:pPr>
              <w:pStyle w:val="Compact"/>
              <w:jc w:val="center"/>
            </w:pPr>
            <w:r>
              <w:t xml:space="preserve">0.55</w:t>
            </w:r>
          </w:p>
        </w:tc>
        <w:tc>
          <w:tcPr/>
          <w:p>
            <w:pPr>
              <w:pStyle w:val="Compact"/>
              <w:jc w:val="center"/>
            </w:pPr>
            <w:r>
              <w:t xml:space="preserve">0.48</w:t>
            </w:r>
          </w:p>
        </w:tc>
        <w:tc>
          <w:tcPr/>
          <w:p>
            <w:pPr>
              <w:pStyle w:val="Compact"/>
              <w:jc w:val="center"/>
            </w:pPr>
            <w:r>
              <w:t xml:space="preserve">0.42</w:t>
            </w:r>
          </w:p>
        </w:tc>
      </w:tr>
    </w:tbl>
    <w:p>
      <w:pPr>
        <w:pStyle w:val="BodyText"/>
        <w:spacing w:line="360" w:lineRule="auto"/>
      </w:pPr>
      <w:r>
        <w:rPr>
          <w:rFonts w:hint="eastAsia" w:ascii="宋体" w:hAnsi="宋体" w:eastAsia="宋体"/>
          <w:color w:val="000000"/>
          <w:sz w:val="24"/>
        </w:rPr>
        <w:t xml:space="preserve">必要条件的一致性阈值通常为0.90。分析结果表明，只有”应用效果（AE）“的高绩效一致性超过了0.90（0.92），表明应用效果是高绩效的近似必要条件——几乎所有高绩效平台都具有较高的应用效果得分，但应用效果高并不必然导致高绩效（覆盖率0.85&lt;1.00）。</w:t>
      </w:r>
    </w:p>
    <w:p>
      <w:pPr>
        <w:pStyle w:val="BodyText"/>
        <w:spacing w:line="360" w:lineRule="auto"/>
      </w:pPr>
      <w:r>
        <w:rPr>
          <w:rFonts w:hint="eastAsia" w:ascii="宋体" w:hAnsi="宋体" w:eastAsia="宋体"/>
          <w:color w:val="000000"/>
          <w:sz w:val="24"/>
        </w:rPr>
        <w:t xml:space="preserve">这一发现具有重要的理论含义：数据利用是绩效的”门槛条件”——没有数据利用，就不可能实现高绩效；但仅有数据利用，也不足以保证高绩效（还需要其他条件的配合）。这一”门槛效应”解释了为什么部分平台虽然数据集数量庞大、平台功能完善，但因数据利用生态薄弱而绩效平庸——它们跨过了”供给”和”平台”的门槛，但未能跨过”利用”的门槛。</w:t>
      </w:r>
    </w:p>
    <w:bookmarkEnd w:id="188"/>
    <w:bookmarkEnd w:id="189"/>
    <w:bookmarkStart w:id="192" w:name="dematel与fsqca交叉验证"/>
    <w:p>
      <w:pPr>
        <w:pStyle w:val="Heading3"/>
        <w:spacing w:line="360" w:lineRule="auto"/>
      </w:pPr>
      <w:r>
        <w:rPr>
          <w:rFonts w:ascii="黑体" w:hAnsi="黑体" w:eastAsia="黑体"/>
          <w:b/>
          <w:color w:val="000000"/>
          <w:sz w:val="24"/>
        </w:rPr>
        <w:t xml:space="preserve">6.4 </w:t>
      </w:r>
      <w:r>
        <w:rPr>
          <w:rFonts w:hint="eastAsia" w:ascii="黑体" w:hAnsi="黑体" w:eastAsia="黑体"/>
          <w:b/>
          <w:color w:val="000000"/>
          <w:sz w:val="24"/>
        </w:rPr>
        <w:t xml:space="preserve">DEMATEL与fsQCA交叉验证</w:t>
      </w:r>
    </w:p>
    <w:bookmarkStart w:id="190" w:name="两种方法的结论一致性"/>
    <w:p>
      <w:pPr>
        <w:pStyle w:val="Heading4"/>
        <w:spacing w:line="360" w:lineRule="auto"/>
      </w:pPr>
      <w:r>
        <w:rPr>
          <w:rFonts w:ascii="宋体" w:hAnsi="宋体" w:eastAsia="宋体"/>
          <w:color w:val="000000"/>
          <w:sz w:val="24"/>
        </w:rPr>
        <w:t xml:space="preserve">6.4.1 </w:t>
      </w:r>
      <w:r>
        <w:rPr>
          <w:rFonts w:hint="eastAsia" w:ascii="宋体" w:hAnsi="宋体" w:eastAsia="宋体"/>
          <w:color w:val="000000"/>
          <w:sz w:val="24"/>
        </w:rPr>
        <w:t xml:space="preserve">两种方法的结论一致性</w:t>
      </w:r>
    </w:p>
    <w:p>
      <w:pPr>
        <w:pStyle w:val="FirstParagraph"/>
        <w:spacing w:line="360" w:lineRule="auto"/>
      </w:pPr>
      <w:r>
        <w:rPr>
          <w:rFonts w:hint="eastAsia" w:ascii="宋体" w:hAnsi="宋体" w:eastAsia="宋体"/>
          <w:color w:val="000000"/>
          <w:sz w:val="24"/>
        </w:rPr>
        <w:t xml:space="preserve">DEMATEL和fsQCA两种方法的结论具有较高的互补性和一致性。</w:t>
      </w:r>
    </w:p>
    <w:p>
      <w:pPr>
        <w:pStyle w:val="BodyText"/>
        <w:spacing w:line="360" w:lineRule="auto"/>
      </w:pPr>
      <w:r>
        <w:rPr>
          <w:rFonts w:hint="eastAsia" w:ascii="宋体" w:hAnsi="宋体" w:eastAsia="宋体"/>
          <w:color w:val="000000"/>
          <w:sz w:val="24"/>
        </w:rPr>
        <w:t xml:space="preserve">DEMATEL分析表明，政策法规（PL）和平台建设（OG）是原因因素，位于因素网络的上游；fsQCA分析表明，PL和OG是高绩效路径中的核心条件。两种方法的结论一致：PL和OG是影响绩效的关键驱动因素。</w:t>
      </w:r>
    </w:p>
    <w:p>
      <w:pPr>
        <w:pStyle w:val="BodyText"/>
        <w:spacing w:line="360" w:lineRule="auto"/>
      </w:pPr>
      <w:r>
        <w:rPr>
          <w:rFonts w:hint="eastAsia" w:ascii="宋体" w:hAnsi="宋体" w:eastAsia="宋体"/>
          <w:color w:val="000000"/>
          <w:sz w:val="24"/>
        </w:rPr>
        <w:t xml:space="preserve">DEMATEL分析表明，应用效果（AE）是结果因素，位于因素网络的下游；fsQCA分析表明，AE是高绩效的近似必要条件。两种方法的结论互补：DEMATEL揭示了AE的”结果属性”（受其他因素影响），fsQCA揭示了AE的”必要属性”（高绩效不可或缺）。</w:t>
      </w:r>
    </w:p>
    <w:p>
      <w:pPr>
        <w:pStyle w:val="BodyText"/>
        <w:spacing w:line="360" w:lineRule="auto"/>
      </w:pPr>
      <w:r>
        <w:rPr>
          <w:rFonts w:hint="eastAsia" w:ascii="宋体" w:hAnsi="宋体" w:eastAsia="宋体"/>
          <w:color w:val="000000"/>
          <w:sz w:val="24"/>
        </w:rPr>
        <w:t xml:space="preserve">DEMATEL分析揭示了因素之间的因果关系和传导路径；fsQCA分析揭示了因素之间的组合效应和等效路径。两种方法的结合，提供了从”机制”到”路径”的完整解释——DEMATEL解释了”为什么绩效有差异”，fsQCA解释了”如何组合才能高绩效”。</w:t>
      </w:r>
    </w:p>
    <w:bookmarkEnd w:id="190"/>
    <w:bookmarkStart w:id="191" w:name="差异化优化策略的理论基础"/>
    <w:p>
      <w:pPr>
        <w:pStyle w:val="Heading4"/>
        <w:spacing w:line="360" w:lineRule="auto"/>
      </w:pPr>
      <w:r>
        <w:rPr>
          <w:rFonts w:ascii="宋体" w:hAnsi="宋体" w:eastAsia="宋体"/>
          <w:color w:val="000000"/>
          <w:sz w:val="24"/>
        </w:rPr>
        <w:t xml:space="preserve">6.4.2 </w:t>
      </w:r>
      <w:r>
        <w:rPr>
          <w:rFonts w:hint="eastAsia" w:ascii="宋体" w:hAnsi="宋体" w:eastAsia="宋体"/>
          <w:color w:val="000000"/>
          <w:sz w:val="24"/>
        </w:rPr>
        <w:t xml:space="preserve">差异化优化策略的理论基础</w:t>
      </w:r>
    </w:p>
    <w:p>
      <w:pPr>
        <w:pStyle w:val="FirstParagraph"/>
        <w:spacing w:line="360" w:lineRule="auto"/>
      </w:pPr>
      <w:r>
        <w:rPr>
          <w:rFonts w:hint="eastAsia" w:ascii="宋体" w:hAnsi="宋体" w:eastAsia="宋体"/>
          <w:color w:val="000000"/>
          <w:sz w:val="24"/>
        </w:rPr>
        <w:t xml:space="preserve">基于DEMATEL和fsQCA的交叉验证结果，本研究提出了差异化的优化策略框架。</w:t>
      </w:r>
    </w:p>
    <w:p>
      <w:pPr>
        <w:pStyle w:val="BodyText"/>
        <w:spacing w:line="360" w:lineRule="auto"/>
      </w:pPr>
      <w:r>
        <w:rPr>
          <w:rFonts w:hint="eastAsia" w:ascii="宋体" w:hAnsi="宋体" w:eastAsia="宋体"/>
          <w:color w:val="000000"/>
          <w:sz w:val="24"/>
        </w:rPr>
        <w:t xml:space="preserve">对于</w:t>
      </w:r>
      <w:r>
        <w:rPr>
          <w:rFonts w:hint="eastAsia" w:ascii="宋体" w:hAnsi="宋体" w:eastAsia="宋体"/>
          <w:b/>
          <w:bCs/>
          <w:color w:val="000000"/>
          <w:sz w:val="24"/>
        </w:rPr>
        <w:t xml:space="preserve">原因因素（PL、OG）</w:t>
      </w:r>
      <w:r>
        <w:rPr>
          <w:rFonts w:hint="eastAsia" w:ascii="宋体" w:hAnsi="宋体" w:eastAsia="宋体"/>
          <w:color w:val="000000"/>
          <w:sz w:val="24"/>
        </w:rPr>
        <w:t xml:space="preserve">，应采取”源头治理”策略——通过完善政策法规、优化平台功能，从因素网络的上游进行干预，产生连锁改善效应。原因因素的改善具有”杠杆效应”——PL的改善能够带动OG、PC、DQ等多个下游因素的改善。</w:t>
      </w:r>
    </w:p>
    <w:p>
      <w:pPr>
        <w:pStyle w:val="BodyText"/>
        <w:spacing w:line="360" w:lineRule="auto"/>
      </w:pPr>
      <w:r>
        <w:rPr>
          <w:rFonts w:hint="eastAsia" w:ascii="宋体" w:hAnsi="宋体" w:eastAsia="宋体"/>
          <w:color w:val="000000"/>
          <w:sz w:val="24"/>
        </w:rPr>
        <w:t xml:space="preserve">对于</w:t>
      </w:r>
      <w:r>
        <w:rPr>
          <w:rFonts w:hint="eastAsia" w:ascii="宋体" w:hAnsi="宋体" w:eastAsia="宋体"/>
          <w:b/>
          <w:bCs/>
          <w:color w:val="000000"/>
          <w:sz w:val="24"/>
        </w:rPr>
        <w:t xml:space="preserve">中心度高的因素（PC、OG）</w:t>
      </w:r>
      <w:r>
        <w:rPr>
          <w:rFonts w:hint="eastAsia" w:ascii="宋体" w:hAnsi="宋体" w:eastAsia="宋体"/>
          <w:color w:val="000000"/>
          <w:sz w:val="24"/>
        </w:rPr>
        <w:t xml:space="preserve">，应采取”重点突破”策略——数据质量和平台建设是因素网络的核心节点，对这两个因素的改善能够最大程度地影响整个网络。</w:t>
      </w:r>
    </w:p>
    <w:p>
      <w:pPr>
        <w:pStyle w:val="BodyText"/>
        <w:spacing w:line="360" w:lineRule="auto"/>
      </w:pPr>
      <w:r>
        <w:rPr>
          <w:rFonts w:hint="eastAsia" w:ascii="宋体" w:hAnsi="宋体" w:eastAsia="宋体"/>
          <w:color w:val="000000"/>
          <w:sz w:val="24"/>
        </w:rPr>
        <w:t xml:space="preserve">对于</w:t>
      </w:r>
      <w:r>
        <w:rPr>
          <w:rFonts w:hint="eastAsia" w:ascii="宋体" w:hAnsi="宋体" w:eastAsia="宋体"/>
          <w:b/>
          <w:bCs/>
          <w:color w:val="000000"/>
          <w:sz w:val="24"/>
        </w:rPr>
        <w:t xml:space="preserve">必要条件（AE）</w:t>
      </w:r>
      <w:r>
        <w:rPr>
          <w:rFonts w:hint="eastAsia" w:ascii="宋体" w:hAnsi="宋体" w:eastAsia="宋体"/>
          <w:color w:val="000000"/>
          <w:sz w:val="24"/>
        </w:rPr>
        <w:t xml:space="preserve">，应采取”底线保障”策略——应用效果是绩效的门槛条件，任何平台都必须首先保障数据利用的基本水平，然后才能追求其他维度的优化。</w:t>
      </w:r>
    </w:p>
    <w:p>
      <w:pPr>
        <w:pStyle w:val="BodyText"/>
        <w:spacing w:line="360" w:lineRule="auto"/>
      </w:pPr>
      <w:r>
        <w:rPr>
          <w:rFonts w:hint="eastAsia" w:ascii="宋体" w:hAnsi="宋体" w:eastAsia="宋体"/>
          <w:color w:val="000000"/>
          <w:sz w:val="24"/>
        </w:rPr>
        <w:t xml:space="preserve">对于</w:t>
      </w:r>
      <w:r>
        <w:rPr>
          <w:rFonts w:hint="eastAsia" w:ascii="宋体" w:hAnsi="宋体" w:eastAsia="宋体"/>
          <w:b/>
          <w:bCs/>
          <w:color w:val="000000"/>
          <w:sz w:val="24"/>
        </w:rPr>
        <w:t xml:space="preserve">高绩效平台</w:t>
      </w:r>
      <w:r>
        <w:rPr>
          <w:rFonts w:hint="eastAsia" w:ascii="宋体" w:hAnsi="宋体" w:eastAsia="宋体"/>
          <w:color w:val="000000"/>
          <w:sz w:val="24"/>
        </w:rPr>
        <w:t xml:space="preserve">，应根据其组态路径（H1、H2、H3）设计差异化的维持和提升策略——全要素驱动型平台应防止”短板退化”，制度质量驱动型平台应加强平台建设和生态培育，平台运营驱动型平台应完善制度建设和质量管控。</w:t>
      </w:r>
    </w:p>
    <w:p>
      <w:pPr>
        <w:pStyle w:val="BodyText"/>
        <w:spacing w:line="360" w:lineRule="auto"/>
      </w:pPr>
      <w:r>
        <w:rPr>
          <w:rFonts w:hint="eastAsia" w:ascii="宋体" w:hAnsi="宋体" w:eastAsia="宋体"/>
          <w:color w:val="000000"/>
          <w:sz w:val="24"/>
        </w:rPr>
        <w:t xml:space="preserve">对于</w:t>
      </w:r>
      <w:r>
        <w:rPr>
          <w:rFonts w:hint="eastAsia" w:ascii="宋体" w:hAnsi="宋体" w:eastAsia="宋体"/>
          <w:b/>
          <w:bCs/>
          <w:color w:val="000000"/>
          <w:sz w:val="24"/>
        </w:rPr>
        <w:t xml:space="preserve">低绩效平台</w:t>
      </w:r>
      <w:r>
        <w:rPr>
          <w:rFonts w:hint="eastAsia" w:ascii="宋体" w:hAnsi="宋体" w:eastAsia="宋体"/>
          <w:color w:val="000000"/>
          <w:sz w:val="24"/>
        </w:rPr>
        <w:t xml:space="preserve">，应根据其组态路径（L1、L2）设计差异化的追赶策略——全面匮乏型平台需要外部支援和系统改善，制度缺失型平台需要优先完善制度保障和质量管控。</w:t>
      </w:r>
    </w:p>
    <w:bookmarkEnd w:id="191"/>
    <w:bookmarkEnd w:id="192"/>
    <w:bookmarkStart w:id="193" w:name="本章小结-1"/>
    <w:p>
      <w:pPr>
        <w:pStyle w:val="Heading3"/>
        <w:spacing w:line="360" w:lineRule="auto"/>
      </w:pPr>
      <w:r>
        <w:rPr>
          <w:rFonts w:ascii="黑体" w:hAnsi="黑体" w:eastAsia="黑体"/>
          <w:b/>
          <w:color w:val="000000"/>
          <w:sz w:val="24"/>
        </w:rPr>
        <w:t xml:space="preserve">6.5 </w:t>
      </w:r>
      <w:r>
        <w:rPr>
          <w:rFonts w:hint="eastAsia" w:ascii="黑体" w:hAnsi="黑体" w:eastAsia="黑体"/>
          <w:b/>
          <w:color w:val="000000"/>
          <w:sz w:val="24"/>
        </w:rPr>
        <w:t xml:space="preserve">本章小结</w:t>
      </w:r>
    </w:p>
    <w:p>
      <w:pPr>
        <w:pStyle w:val="FirstParagraph"/>
        <w:spacing w:line="360" w:lineRule="auto"/>
      </w:pPr>
      <w:r>
        <w:rPr>
          <w:rFonts w:hint="eastAsia" w:ascii="宋体" w:hAnsi="宋体" w:eastAsia="宋体"/>
          <w:color w:val="000000"/>
          <w:sz w:val="24"/>
        </w:rPr>
        <w:t xml:space="preserve">本章运用DEMATEL和fsQCA方法，对政府数据开放平台绩效的影响因素进行了因果分析和组态分析。主要发现如下：</w:t>
      </w:r>
    </w:p>
    <w:p>
      <w:pPr>
        <w:pStyle w:val="BodyText"/>
        <w:spacing w:line="360" w:lineRule="auto"/>
      </w:pPr>
      <w:r>
        <w:rPr>
          <w:rFonts w:hint="eastAsia" w:ascii="宋体" w:hAnsi="宋体" w:eastAsia="宋体"/>
          <w:color w:val="000000"/>
          <w:sz w:val="24"/>
        </w:rPr>
        <w:t xml:space="preserve">第一，政策法规（PL）和平台建设（OG）是原因因素，位于因素网络的上游；应用效果（AE）、数据质量（PC）、数据集数量（DQ）和运营模式（OP）是结果因素，位于因素网络的下游。对原因因素的干预具有杠杆效应。</w:t>
      </w:r>
    </w:p>
    <w:p>
      <w:pPr>
        <w:pStyle w:val="BodyText"/>
        <w:spacing w:line="360" w:lineRule="auto"/>
      </w:pPr>
      <w:r>
        <w:rPr>
          <w:rFonts w:hint="eastAsia" w:ascii="宋体" w:hAnsi="宋体" w:eastAsia="宋体"/>
          <w:color w:val="000000"/>
          <w:sz w:val="24"/>
        </w:rPr>
        <w:t xml:space="preserve">第二，存在三条高绩效路径：全要素驱动型（PL●+OG●+PC●+AE●）、制度质量驱动型（PL●+PC●+DQ●）和平台运营驱动型（OG●+DQ●+OP●）。不同路径对应不同类型的高绩效平台。</w:t>
      </w:r>
    </w:p>
    <w:p>
      <w:pPr>
        <w:pStyle w:val="BodyText"/>
        <w:spacing w:line="360" w:lineRule="auto"/>
      </w:pPr>
      <w:r>
        <w:rPr>
          <w:rFonts w:hint="eastAsia" w:ascii="宋体" w:hAnsi="宋体" w:eastAsia="宋体"/>
          <w:color w:val="000000"/>
          <w:sz w:val="24"/>
        </w:rPr>
        <w:t xml:space="preserve">第三，应用效果（AE）是高绩效的近似必要条件——没有数据利用就没有高绩效，但仅有数据利用也不足以保证高绩效。</w:t>
      </w:r>
    </w:p>
    <w:p>
      <w:pPr>
        <w:pStyle w:val="BodyText"/>
        <w:spacing w:line="360" w:lineRule="auto"/>
      </w:pPr>
      <w:r>
        <w:rPr>
          <w:rFonts w:hint="eastAsia" w:ascii="宋体" w:hAnsi="宋体" w:eastAsia="宋体"/>
          <w:color w:val="000000"/>
          <w:sz w:val="24"/>
        </w:rPr>
        <w:t xml:space="preserve">第四，低绩效平台可以分为全面匮乏型（所有因素均缺失）和制度缺失型（制度、质量、应用、运营缺失）两种类型，需要采取不同的追赶策略。</w:t>
      </w:r>
    </w:p>
    <w:p>
      <w:pPr>
        <w:spacing w:line="360" w:lineRule="auto"/>
      </w:pPr>
      <w:r>
        <w:rPr>
          <w:rFonts w:ascii="宋体" w:hAnsi="宋体" w:eastAsia="宋体"/>
          <w:color w:val="000000"/>
          <w:sz w:val="24"/>
        </w:rPr>
        <w:pict>
          <v:rect style="width:0;height:1.5pt" o:hralign="center" o:hrstd="t" o:hr="t"/>
        </w:pict>
      </w:r>
    </w:p>
    <w:bookmarkEnd w:id="193"/>
    <w:bookmarkEnd w:id="194"/>
    <w:bookmarkStart w:id="213" w:name="第7章-第七章-对策建议"/>
    <w:p>
      <w:pPr>
        <w:pStyle w:val="Heading1"/>
        <w:spacing w:line="360" w:lineRule="auto"/>
        <w:jc w:val="center"/>
      </w:pPr>
      <w:r>
        <w:rPr>
          <w:rFonts w:hint="eastAsia" w:ascii="黑体" w:hAnsi="黑体" w:eastAsia="黑体"/>
          <w:b/>
          <w:color w:val="000000"/>
          <w:sz w:val="32"/>
        </w:rPr>
        <w:t xml:space="preserve">第7章</w:t>
      </w:r>
      <w:r>
        <w:rPr>
          <w:rFonts w:ascii="黑体" w:hAnsi="黑体" w:eastAsia="黑体"/>
          <w:b/>
          <w:color w:val="000000"/>
          <w:sz w:val="32"/>
        </w:rPr>
        <w:t xml:space="preserve"> </w:t>
      </w:r>
      <w:r>
        <w:rPr>
          <w:rFonts w:hint="eastAsia" w:ascii="黑体" w:hAnsi="黑体" w:eastAsia="黑体"/>
          <w:b/>
          <w:color w:val="000000"/>
          <w:sz w:val="32"/>
        </w:rPr>
        <w:t xml:space="preserve">第七章</w:t>
      </w:r>
      <w:r>
        <w:rPr>
          <w:rFonts w:ascii="黑体" w:hAnsi="黑体" w:eastAsia="黑体"/>
          <w:b/>
          <w:color w:val="000000"/>
          <w:sz w:val="32"/>
        </w:rPr>
        <w:t xml:space="preserve"> </w:t>
      </w:r>
      <w:r>
        <w:rPr>
          <w:rFonts w:hint="eastAsia" w:ascii="黑体" w:hAnsi="黑体" w:eastAsia="黑体"/>
          <w:b/>
          <w:color w:val="000000"/>
          <w:sz w:val="32"/>
        </w:rPr>
        <w:t xml:space="preserve">对策建议</w:t>
      </w:r>
    </w:p>
    <w:bookmarkStart w:id="198" w:name="绩效差异的深层原因解释"/>
    <w:p>
      <w:pPr>
        <w:pStyle w:val="Heading3"/>
        <w:spacing w:line="360" w:lineRule="auto"/>
      </w:pPr>
      <w:r>
        <w:rPr>
          <w:rFonts w:ascii="黑体" w:hAnsi="黑体" w:eastAsia="黑体"/>
          <w:b/>
          <w:color w:val="000000"/>
          <w:sz w:val="24"/>
        </w:rPr>
        <w:t xml:space="preserve">7.1 </w:t>
      </w:r>
      <w:r>
        <w:rPr>
          <w:rFonts w:hint="eastAsia" w:ascii="黑体" w:hAnsi="黑体" w:eastAsia="黑体"/>
          <w:b/>
          <w:color w:val="000000"/>
          <w:sz w:val="24"/>
        </w:rPr>
        <w:t xml:space="preserve">绩效差异的深层原因解释</w:t>
      </w:r>
    </w:p>
    <w:bookmarkStart w:id="195" w:name="高绩效平台的共性特征"/>
    <w:p>
      <w:pPr>
        <w:pStyle w:val="Heading4"/>
        <w:spacing w:line="360" w:lineRule="auto"/>
      </w:pPr>
      <w:r>
        <w:rPr>
          <w:rFonts w:ascii="宋体" w:hAnsi="宋体" w:eastAsia="宋体"/>
          <w:color w:val="000000"/>
          <w:sz w:val="24"/>
        </w:rPr>
        <w:t xml:space="preserve">7.1.1 </w:t>
      </w:r>
      <w:r>
        <w:rPr>
          <w:rFonts w:hint="eastAsia" w:ascii="宋体" w:hAnsi="宋体" w:eastAsia="宋体"/>
          <w:color w:val="000000"/>
          <w:sz w:val="24"/>
        </w:rPr>
        <w:t xml:space="preserve">高绩效平台的共性特征</w:t>
      </w:r>
    </w:p>
    <w:p>
      <w:pPr>
        <w:pStyle w:val="FirstParagraph"/>
        <w:spacing w:line="360" w:lineRule="auto"/>
      </w:pPr>
      <w:r>
        <w:rPr>
          <w:rFonts w:hint="eastAsia" w:ascii="宋体" w:hAnsi="宋体" w:eastAsia="宋体"/>
          <w:color w:val="000000"/>
          <w:sz w:val="24"/>
        </w:rPr>
        <w:t xml:space="preserve">基于第五章和第六章的实证分析，本研究识别出高绩效平台（TOPSIS得分≥0.18，共11个）的共性特征。这些平台在六个影响因素上全部达标（PL=OG=PC=DQ=AE=OP=1），形成了”全要素驱动”的发展模式。深入分析其背后的驱动机制，可以发现三条典型路径：</w:t>
      </w:r>
    </w:p>
    <w:p>
      <w:pPr>
        <w:pStyle w:val="BodyText"/>
        <w:spacing w:line="360" w:lineRule="auto"/>
      </w:pPr>
      <w:r>
        <w:rPr>
          <w:rFonts w:hint="eastAsia" w:ascii="宋体" w:hAnsi="宋体" w:eastAsia="宋体"/>
          <w:b/>
          <w:bCs/>
          <w:color w:val="000000"/>
          <w:sz w:val="24"/>
        </w:rPr>
        <w:t xml:space="preserve">路径一：数字政府改革引领型（广东、浙江、上海）</w:t>
      </w:r>
    </w:p>
    <w:p>
      <w:pPr>
        <w:pStyle w:val="BodyText"/>
        <w:spacing w:line="360" w:lineRule="auto"/>
      </w:pPr>
      <w:r>
        <w:rPr>
          <w:rFonts w:hint="eastAsia" w:ascii="宋体" w:hAnsi="宋体" w:eastAsia="宋体"/>
          <w:color w:val="000000"/>
          <w:sz w:val="24"/>
        </w:rPr>
        <w:t xml:space="preserve">这一类型的平台将开放政府数据纳入整体数字政府改革框架，获得了最高层级的政治支持和资源配置。以广东省为例，</w:t>
      </w:r>
      <w:r>
        <w:rPr>
          <w:rFonts w:hint="eastAsia" w:ascii="宋体" w:hAnsi="宋体" w:eastAsia="宋体"/>
          <w:color w:val="000000"/>
          <w:sz w:val="24"/>
        </w:rPr>
        <w:t xml:space="preserve">“数字广东”</w:t>
      </w:r>
      <w:r>
        <w:rPr>
          <w:rFonts w:hint="eastAsia" w:ascii="宋体" w:hAnsi="宋体" w:eastAsia="宋体"/>
          <w:color w:val="000000"/>
          <w:sz w:val="24"/>
        </w:rPr>
        <w:t xml:space="preserve">建设作为省级战略，</w:t>
      </w:r>
      <w:r>
        <w:rPr>
          <w:rFonts w:hint="eastAsia" w:ascii="宋体" w:hAnsi="宋体" w:eastAsia="宋体"/>
          <w:color w:val="000000"/>
          <w:sz w:val="24"/>
        </w:rPr>
        <w:t xml:space="preserve">“开放广东”</w:t>
      </w:r>
      <w:r>
        <w:rPr>
          <w:rFonts w:hint="eastAsia" w:ascii="宋体" w:hAnsi="宋体" w:eastAsia="宋体"/>
          <w:color w:val="000000"/>
          <w:sz w:val="24"/>
        </w:rPr>
        <w:t xml:space="preserve">平台是其重要组成部分。平台不仅拥有充足的财政投入，更重要的是获得了跨部门协调的行政权威——通过省政府的统筹推动，解决了数据开放中最棘手的”部门利益”问题。浙江省的”最多跑一次”改革与数据开放形成了协同效应：政务服务优化产生了大量高质量数据，这些数据通过”浙江开放数据”平台向社会开放，又催生了更多创新应用，形成了”改革驱动开放、开放促进改革”的正向循环。</w:t>
      </w:r>
    </w:p>
    <w:p>
      <w:pPr>
        <w:pStyle w:val="BodyText"/>
        <w:spacing w:line="360" w:lineRule="auto"/>
      </w:pPr>
      <w:r>
        <w:rPr>
          <w:rFonts w:hint="eastAsia" w:ascii="宋体" w:hAnsi="宋体" w:eastAsia="宋体"/>
          <w:b/>
          <w:bCs/>
          <w:color w:val="000000"/>
          <w:sz w:val="24"/>
        </w:rPr>
        <w:t xml:space="preserve">路径二：政策先行制度保障型（山东、湖北、贵州）</w:t>
      </w:r>
    </w:p>
    <w:p>
      <w:pPr>
        <w:pStyle w:val="BodyText"/>
        <w:spacing w:line="360" w:lineRule="auto"/>
      </w:pPr>
      <w:r>
        <w:rPr>
          <w:rFonts w:hint="eastAsia" w:ascii="宋体" w:hAnsi="宋体" w:eastAsia="宋体"/>
          <w:color w:val="000000"/>
          <w:sz w:val="24"/>
        </w:rPr>
        <w:t xml:space="preserve">这一类型的平台通过率先出台专项政策法规，为平台建设提供了制度保障。山东省2019年出台《山东省电子政务和政务数据管理办法》，明确将数据开放纳入法治化轨道。湖北省2020年发布《湖北省政务数据资源管理办法》，建立了”目录管理、标准统一、共享开放”的治理框架。贵州省作为大数据综合试验区，凭借政策优势将数据开放与大数据产业培育相结合，形成了独特的”数据产业驱动”模式。这类平台的共同特点是：制度建设走在前列，通过法规明确各部门的数据开放义务和责任，以制度刚性保障平台持续发展。</w:t>
      </w:r>
    </w:p>
    <w:p>
      <w:pPr>
        <w:pStyle w:val="BodyText"/>
        <w:spacing w:line="360" w:lineRule="auto"/>
      </w:pPr>
      <w:r>
        <w:rPr>
          <w:rFonts w:hint="eastAsia" w:ascii="宋体" w:hAnsi="宋体" w:eastAsia="宋体"/>
          <w:b/>
          <w:bCs/>
          <w:color w:val="000000"/>
          <w:sz w:val="24"/>
        </w:rPr>
        <w:t xml:space="preserve">路径三：需求导向应用驱动型（海南、重庆、四川、广西）</w:t>
      </w:r>
    </w:p>
    <w:p>
      <w:pPr>
        <w:pStyle w:val="BodyText"/>
        <w:spacing w:line="360" w:lineRule="auto"/>
      </w:pPr>
      <w:r>
        <w:rPr>
          <w:rFonts w:hint="eastAsia" w:ascii="宋体" w:hAnsi="宋体" w:eastAsia="宋体"/>
          <w:color w:val="000000"/>
          <w:sz w:val="24"/>
        </w:rPr>
        <w:t xml:space="preserve">这一类型的平台紧密结合地方经济社会发展需求，以应用场景驱动数据开放。海南省围绕自由贸易港建设，重点开放贸易、旅游、生态等领域数据；重庆市聚焦智慧城市建设，开放交通、环境、公共服务数据；四川省围绕成渝双城经济圈，推动跨区域数据共享开放。这类平台的共同特点是：不追求数据量的”大而全”，而是围绕特定战略需求提供”精准开放”，以应用效果证明数据开放的价值，从而获得更多部门和社会的支持。</w:t>
      </w:r>
    </w:p>
    <w:bookmarkEnd w:id="195"/>
    <w:bookmarkStart w:id="196" w:name="低绩效平台的差异化困境"/>
    <w:p>
      <w:pPr>
        <w:pStyle w:val="Heading4"/>
        <w:spacing w:line="360" w:lineRule="auto"/>
      </w:pPr>
      <w:r>
        <w:rPr>
          <w:rFonts w:ascii="宋体" w:hAnsi="宋体" w:eastAsia="宋体"/>
          <w:color w:val="000000"/>
          <w:sz w:val="24"/>
        </w:rPr>
        <w:t xml:space="preserve">7.1.2 </w:t>
      </w:r>
      <w:r>
        <w:rPr>
          <w:rFonts w:hint="eastAsia" w:ascii="宋体" w:hAnsi="宋体" w:eastAsia="宋体"/>
          <w:color w:val="000000"/>
          <w:sz w:val="24"/>
        </w:rPr>
        <w:t xml:space="preserve">低绩效平台的差异化困境</w:t>
      </w:r>
    </w:p>
    <w:p>
      <w:pPr>
        <w:pStyle w:val="FirstParagraph"/>
        <w:spacing w:line="360" w:lineRule="auto"/>
      </w:pPr>
      <w:r>
        <w:rPr>
          <w:rFonts w:hint="eastAsia" w:ascii="宋体" w:hAnsi="宋体" w:eastAsia="宋体"/>
          <w:color w:val="000000"/>
          <w:sz w:val="24"/>
        </w:rPr>
        <w:t xml:space="preserve">低绩效平台（TOPSIS得分&lt;0.18，共11个）并非同质群体，而是呈现出差异化的发展困境。基于fsQCA分析识别的两类低绩效，本研究进一步剖析其深层原因：</w:t>
      </w:r>
    </w:p>
    <w:p>
      <w:pPr>
        <w:pStyle w:val="BodyText"/>
        <w:spacing w:line="360" w:lineRule="auto"/>
      </w:pPr>
      <w:r>
        <w:rPr>
          <w:rFonts w:hint="eastAsia" w:ascii="宋体" w:hAnsi="宋体" w:eastAsia="宋体"/>
          <w:b/>
          <w:bCs/>
          <w:color w:val="000000"/>
          <w:sz w:val="24"/>
        </w:rPr>
        <w:t xml:space="preserve">类型A：</w:t>
      </w:r>
      <w:r>
        <w:rPr>
          <w:rFonts w:hint="eastAsia" w:ascii="宋体" w:hAnsi="宋体" w:eastAsia="宋体"/>
          <w:b/>
          <w:bCs/>
          <w:color w:val="000000"/>
          <w:sz w:val="24"/>
        </w:rPr>
        <w:t xml:space="preserve">“有平台无作为”</w:t>
      </w:r>
      <w:r>
        <w:rPr>
          <w:rFonts w:hint="eastAsia" w:ascii="宋体" w:hAnsi="宋体" w:eastAsia="宋体"/>
          <w:b/>
          <w:bCs/>
          <w:color w:val="000000"/>
          <w:sz w:val="24"/>
        </w:rPr>
        <w:t xml:space="preserve">型（福建、辽宁、江苏、湖南、江西、吉林、内蒙古、天津，共8个）</w:t>
      </w:r>
    </w:p>
    <w:p>
      <w:pPr>
        <w:pStyle w:val="BodyText"/>
        <w:spacing w:line="360" w:lineRule="auto"/>
      </w:pPr>
      <w:r>
        <w:rPr>
          <w:rFonts w:hint="eastAsia" w:ascii="宋体" w:hAnsi="宋体" w:eastAsia="宋体"/>
          <w:color w:val="000000"/>
          <w:sz w:val="24"/>
        </w:rPr>
        <w:t xml:space="preserve">这类平台的共同特征是平台功能基本完善（PC=1）、有组织保障（OG=1）、数据质量尚可（DQ=1），但缺乏专项政策法规（PL=0）、应用推广不足（AE=0）、开放程度有限（OP=0）。其绩效低下的深层原因包括：</w:t>
      </w:r>
    </w:p>
    <w:p>
      <w:pPr>
        <w:pStyle w:val="BodyText"/>
        <w:spacing w:line="360" w:lineRule="auto"/>
      </w:pPr>
      <w:r>
        <w:rPr>
          <w:rFonts w:hint="eastAsia" w:ascii="宋体" w:hAnsi="宋体" w:eastAsia="宋体"/>
          <w:b/>
          <w:bCs/>
          <w:color w:val="000000"/>
          <w:sz w:val="24"/>
        </w:rPr>
        <w:t xml:space="preserve">制度缺位导致的动力不足</w:t>
      </w:r>
      <w:r>
        <w:rPr>
          <w:rFonts w:hint="eastAsia" w:ascii="宋体" w:hAnsi="宋体" w:eastAsia="宋体"/>
          <w:color w:val="000000"/>
          <w:sz w:val="24"/>
        </w:rPr>
        <w:t xml:space="preserve">。没有省级专项政策，数据开放工作缺乏明确的考核指标和责任主体。在地方政府绩效考核体系中，数据开放往往不被纳入核心指标，导致各部门参与积极性不高。例如，某东部省份的数据开放平台由信息中心代管，但信息中心对各厅局没有行政约束力，数据上传全凭”自愿”，更新频率极低。</w:t>
      </w:r>
    </w:p>
    <w:p>
      <w:pPr>
        <w:pStyle w:val="BodyText"/>
        <w:spacing w:line="360" w:lineRule="auto"/>
      </w:pPr>
      <w:r>
        <w:rPr>
          <w:rFonts w:hint="eastAsia" w:ascii="宋体" w:hAnsi="宋体" w:eastAsia="宋体"/>
          <w:b/>
          <w:bCs/>
          <w:color w:val="000000"/>
          <w:sz w:val="24"/>
        </w:rPr>
        <w:t xml:space="preserve">“数据孤岛”</w:t>
      </w:r>
      <w:r>
        <w:rPr>
          <w:rFonts w:hint="eastAsia" w:ascii="宋体" w:hAnsi="宋体" w:eastAsia="宋体"/>
          <w:b/>
          <w:bCs/>
          <w:color w:val="000000"/>
          <w:sz w:val="24"/>
        </w:rPr>
        <w:t xml:space="preserve">难以打破</w:t>
      </w:r>
      <w:r>
        <w:rPr>
          <w:rFonts w:hint="eastAsia" w:ascii="宋体" w:hAnsi="宋体" w:eastAsia="宋体"/>
          <w:color w:val="000000"/>
          <w:sz w:val="24"/>
        </w:rPr>
        <w:t xml:space="preserve">。即便平台功能完善，如果缺乏跨部门协调机制，各部门仍倾向于将数据”攥在手里”。这涉及数据安全的担忧、部门利益的考量、以及数据质量不达标怕被问责的顾虑。没有省级政策的强制推动，</w:t>
      </w:r>
      <w:r>
        <w:rPr>
          <w:rFonts w:hint="eastAsia" w:ascii="宋体" w:hAnsi="宋体" w:eastAsia="宋体"/>
          <w:color w:val="000000"/>
          <w:sz w:val="24"/>
        </w:rPr>
        <w:t xml:space="preserve">“数据孤岛”</w:t>
      </w:r>
      <w:r>
        <w:rPr>
          <w:rFonts w:hint="eastAsia" w:ascii="宋体" w:hAnsi="宋体" w:eastAsia="宋体"/>
          <w:color w:val="000000"/>
          <w:sz w:val="24"/>
        </w:rPr>
        <w:t xml:space="preserve">难以从根本上打破。</w:t>
      </w:r>
    </w:p>
    <w:p>
      <w:pPr>
        <w:pStyle w:val="BodyText"/>
        <w:spacing w:line="360" w:lineRule="auto"/>
      </w:pPr>
      <w:r>
        <w:rPr>
          <w:rFonts w:hint="eastAsia" w:ascii="宋体" w:hAnsi="宋体" w:eastAsia="宋体"/>
          <w:b/>
          <w:bCs/>
          <w:color w:val="000000"/>
          <w:sz w:val="24"/>
        </w:rPr>
        <w:t xml:space="preserve">应用推广不足导致价值难以证明</w:t>
      </w:r>
      <w:r>
        <w:rPr>
          <w:rFonts w:hint="eastAsia" w:ascii="宋体" w:hAnsi="宋体" w:eastAsia="宋体"/>
          <w:color w:val="000000"/>
          <w:sz w:val="24"/>
        </w:rPr>
        <w:t xml:space="preserve">。缺乏应用案例展示，数据开放的社会价值和经济价值无法显性化，进一步削弱了政府部门的开放动力，形成”越不开放越没应用，越没应用越不开放”的恶性循环。</w:t>
      </w:r>
    </w:p>
    <w:p>
      <w:pPr>
        <w:pStyle w:val="BodyText"/>
        <w:spacing w:line="360" w:lineRule="auto"/>
      </w:pPr>
      <w:r>
        <w:rPr>
          <w:rFonts w:hint="eastAsia" w:ascii="宋体" w:hAnsi="宋体" w:eastAsia="宋体"/>
          <w:b/>
          <w:bCs/>
          <w:color w:val="000000"/>
          <w:sz w:val="24"/>
        </w:rPr>
        <w:t xml:space="preserve">类型B：</w:t>
      </w:r>
      <w:r>
        <w:rPr>
          <w:rFonts w:hint="eastAsia" w:ascii="宋体" w:hAnsi="宋体" w:eastAsia="宋体"/>
          <w:b/>
          <w:bCs/>
          <w:color w:val="000000"/>
          <w:sz w:val="24"/>
        </w:rPr>
        <w:t xml:space="preserve">“平台转型/停滞”</w:t>
      </w:r>
      <w:r>
        <w:rPr>
          <w:rFonts w:hint="eastAsia" w:ascii="宋体" w:hAnsi="宋体" w:eastAsia="宋体"/>
          <w:b/>
          <w:bCs/>
          <w:color w:val="000000"/>
          <w:sz w:val="24"/>
        </w:rPr>
        <w:t xml:space="preserve">型（河南、云南、山西，共3个）</w:t>
      </w:r>
    </w:p>
    <w:p>
      <w:pPr>
        <w:pStyle w:val="BodyText"/>
        <w:spacing w:line="360" w:lineRule="auto"/>
      </w:pPr>
      <w:r>
        <w:rPr>
          <w:rFonts w:hint="eastAsia" w:ascii="宋体" w:hAnsi="宋体" w:eastAsia="宋体"/>
          <w:color w:val="000000"/>
          <w:sz w:val="24"/>
        </w:rPr>
        <w:t xml:space="preserve">这类平台的共同特征是所有六个因素均为0，平台已经转型或基本停滞。其深层原因更为复杂：</w:t>
      </w:r>
    </w:p>
    <w:p>
      <w:pPr>
        <w:pStyle w:val="BodyText"/>
        <w:spacing w:line="360" w:lineRule="auto"/>
      </w:pPr>
      <w:r>
        <w:rPr>
          <w:rFonts w:hint="eastAsia" w:ascii="宋体" w:hAnsi="宋体" w:eastAsia="宋体"/>
          <w:b/>
          <w:bCs/>
          <w:color w:val="000000"/>
          <w:sz w:val="24"/>
        </w:rPr>
        <w:t xml:space="preserve">河南省：从”开放”到”运营”的战略转向</w:t>
      </w:r>
      <w:r>
        <w:rPr>
          <w:rFonts w:hint="eastAsia" w:ascii="宋体" w:hAnsi="宋体" w:eastAsia="宋体"/>
          <w:color w:val="000000"/>
          <w:sz w:val="24"/>
        </w:rPr>
        <w:t xml:space="preserve">。河南省数据开放平台于2019年上线，但2024年访问时发现平台已转型为”中原数据交易中心”。这一转型反映了地方政府对数据价值的重新定位——从”无偿开放”转向”有偿运营”。在财政压力背景下，地方政府倾向于将数据视为可变现的资产，而非公共服务品。这种价值取向的转变，本质上是对”开放政府数据”公共属性的背离。</w:t>
      </w:r>
    </w:p>
    <w:p>
      <w:pPr>
        <w:pStyle w:val="BodyText"/>
        <w:spacing w:line="360" w:lineRule="auto"/>
      </w:pPr>
      <w:r>
        <w:rPr>
          <w:rFonts w:hint="eastAsia" w:ascii="宋体" w:hAnsi="宋体" w:eastAsia="宋体"/>
          <w:b/>
          <w:bCs/>
          <w:color w:val="000000"/>
          <w:sz w:val="24"/>
        </w:rPr>
        <w:t xml:space="preserve">云南省：平台与交易市场的融合</w:t>
      </w:r>
      <w:r>
        <w:rPr>
          <w:rFonts w:hint="eastAsia" w:ascii="宋体" w:hAnsi="宋体" w:eastAsia="宋体"/>
          <w:color w:val="000000"/>
          <w:sz w:val="24"/>
        </w:rPr>
        <w:t xml:space="preserve">。云南省开放平台同样转型为数据要素市场化配置的平台，强调数据的确权、定价和交易。这反映了全国统一大市场建设背景下，地方政府对数据要素市场化改革的响应。但与河南不同的是，云南保留了部分公共数据的免费开放，采取了”开放+交易”的双轨模式。</w:t>
      </w:r>
    </w:p>
    <w:p>
      <w:pPr>
        <w:pStyle w:val="BodyText"/>
        <w:spacing w:line="360" w:lineRule="auto"/>
      </w:pPr>
      <w:r>
        <w:rPr>
          <w:rFonts w:hint="eastAsia" w:ascii="宋体" w:hAnsi="宋体" w:eastAsia="宋体"/>
          <w:b/>
          <w:bCs/>
          <w:color w:val="000000"/>
          <w:sz w:val="24"/>
        </w:rPr>
        <w:t xml:space="preserve">山西省：平台”僵尸化”</w:t>
      </w:r>
      <w:r>
        <w:rPr>
          <w:rFonts w:hint="eastAsia" w:ascii="宋体" w:hAnsi="宋体" w:eastAsia="宋体"/>
          <w:color w:val="000000"/>
          <w:sz w:val="24"/>
        </w:rPr>
        <w:t xml:space="preserve">。山西省平台虽然仍在运行，但数据集数量仅124个，更新频率极低，基本可以判定为”僵尸平台”。这反映了资源枯竭型省份在数字化转型中的困境——有限的财政和人力难以支撑平台的持续运营。</w:t>
      </w:r>
    </w:p>
    <w:bookmarkEnd w:id="196"/>
    <w:bookmarkStart w:id="197" w:name="区域差异的制度解释"/>
    <w:p>
      <w:pPr>
        <w:pStyle w:val="Heading4"/>
        <w:spacing w:line="360" w:lineRule="auto"/>
      </w:pPr>
      <w:r>
        <w:rPr>
          <w:rFonts w:ascii="宋体" w:hAnsi="宋体" w:eastAsia="宋体"/>
          <w:color w:val="000000"/>
          <w:sz w:val="24"/>
        </w:rPr>
        <w:t xml:space="preserve">7.1.3 </w:t>
      </w:r>
      <w:r>
        <w:rPr>
          <w:rFonts w:hint="eastAsia" w:ascii="宋体" w:hAnsi="宋体" w:eastAsia="宋体"/>
          <w:color w:val="000000"/>
          <w:sz w:val="24"/>
        </w:rPr>
        <w:t xml:space="preserve">区域差异的制度解释</w:t>
      </w:r>
    </w:p>
    <w:p>
      <w:pPr>
        <w:pStyle w:val="FirstParagraph"/>
        <w:spacing w:line="360" w:lineRule="auto"/>
      </w:pPr>
      <w:r>
        <w:rPr>
          <w:rFonts w:hint="eastAsia" w:ascii="宋体" w:hAnsi="宋体" w:eastAsia="宋体"/>
          <w:color w:val="000000"/>
          <w:sz w:val="24"/>
        </w:rPr>
        <w:t xml:space="preserve">结合东中西部区域划分，平台绩效差异呈现出明显的空间格局：</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rFonts w:hint="eastAsia"/>
              </w:rPr>
              <w:t xml:space="preserve">区域</w:t>
            </w:r>
          </w:p>
        </w:tc>
        <w:tc>
          <w:tcPr/>
          <w:p>
            <w:pPr>
              <w:pStyle w:val="Compact"/>
              <w:jc w:val="center"/>
            </w:pPr>
            <w:r>
              <w:rPr>
                <w:rFonts w:hint="eastAsia"/>
              </w:rPr>
              <w:t xml:space="preserve">省份数</w:t>
            </w:r>
          </w:p>
        </w:tc>
        <w:tc>
          <w:tcPr/>
          <w:p>
            <w:pPr>
              <w:pStyle w:val="Compact"/>
              <w:jc w:val="center"/>
            </w:pPr>
            <w:r>
              <w:rPr>
                <w:rFonts w:hint="eastAsia"/>
              </w:rPr>
              <w:t xml:space="preserve">高绩效数</w:t>
            </w:r>
          </w:p>
        </w:tc>
        <w:tc>
          <w:tcPr/>
          <w:p>
            <w:pPr>
              <w:pStyle w:val="Compact"/>
              <w:jc w:val="center"/>
            </w:pPr>
            <w:r>
              <w:rPr>
                <w:rFonts w:hint="eastAsia"/>
              </w:rPr>
              <w:t xml:space="preserve">高绩效率</w:t>
            </w:r>
          </w:p>
        </w:tc>
        <w:tc>
          <w:tcPr/>
          <w:p>
            <w:pPr>
              <w:pStyle w:val="Compact"/>
              <w:jc w:val="left"/>
            </w:pPr>
            <w:r>
              <w:rPr>
                <w:rFonts w:hint="eastAsia"/>
              </w:rPr>
              <w:t xml:space="preserve">平均TOPSIS</w:t>
            </w:r>
          </w:p>
        </w:tc>
        <w:tc>
          <w:tcPr/>
          <w:p>
            <w:pPr>
              <w:pStyle w:val="Compact"/>
              <w:jc w:val="left"/>
            </w:pPr>
            <w:r>
              <w:rPr>
                <w:rFonts w:hint="eastAsia"/>
              </w:rPr>
              <w:t xml:space="preserve">特征</w:t>
            </w:r>
          </w:p>
        </w:tc>
      </w:tr>
      <w:tr>
        <w:tc>
          <w:tcPr/>
          <w:p>
            <w:pPr>
              <w:pStyle w:val="Compact"/>
              <w:jc w:val="left"/>
            </w:pPr>
            <w:r>
              <w:rPr>
                <w:rFonts w:hint="eastAsia"/>
              </w:rPr>
              <w:t xml:space="preserve">东部</w:t>
            </w:r>
          </w:p>
        </w:tc>
        <w:tc>
          <w:tcPr/>
          <w:p>
            <w:pPr>
              <w:pStyle w:val="Compact"/>
              <w:jc w:val="center"/>
            </w:pPr>
            <w:r>
              <w:t xml:space="preserve">9</w:t>
            </w:r>
          </w:p>
        </w:tc>
        <w:tc>
          <w:tcPr/>
          <w:p>
            <w:pPr>
              <w:pStyle w:val="Compact"/>
              <w:jc w:val="center"/>
            </w:pPr>
            <w:r>
              <w:t xml:space="preserve">5</w:t>
            </w:r>
          </w:p>
        </w:tc>
        <w:tc>
          <w:tcPr/>
          <w:p>
            <w:pPr>
              <w:pStyle w:val="Compact"/>
              <w:jc w:val="center"/>
            </w:pPr>
            <w:r>
              <w:t xml:space="preserve">55.6%</w:t>
            </w:r>
          </w:p>
        </w:tc>
        <w:tc>
          <w:tcPr/>
          <w:p>
            <w:pPr>
              <w:pStyle w:val="Compact"/>
              <w:jc w:val="left"/>
            </w:pPr>
            <w:r>
              <w:t xml:space="preserve">0.295</w:t>
            </w:r>
          </w:p>
        </w:tc>
        <w:tc>
          <w:tcPr/>
          <w:p>
            <w:pPr>
              <w:pStyle w:val="Compact"/>
              <w:jc w:val="left"/>
            </w:pPr>
            <w:r>
              <w:rPr>
                <w:rFonts w:hint="eastAsia"/>
              </w:rPr>
              <w:t xml:space="preserve">头部集中，但分化严重</w:t>
            </w:r>
          </w:p>
        </w:tc>
      </w:tr>
      <w:tr>
        <w:tc>
          <w:tcPr/>
          <w:p>
            <w:pPr>
              <w:pStyle w:val="Compact"/>
              <w:jc w:val="left"/>
            </w:pPr>
            <w:r>
              <w:rPr>
                <w:rFonts w:hint="eastAsia"/>
              </w:rPr>
              <w:t xml:space="preserve">中部</w:t>
            </w:r>
          </w:p>
        </w:tc>
        <w:tc>
          <w:tcPr/>
          <w:p>
            <w:pPr>
              <w:pStyle w:val="Compact"/>
              <w:jc w:val="center"/>
            </w:pPr>
            <w:r>
              <w:t xml:space="preserve">6</w:t>
            </w:r>
          </w:p>
        </w:tc>
        <w:tc>
          <w:tcPr/>
          <w:p>
            <w:pPr>
              <w:pStyle w:val="Compact"/>
              <w:jc w:val="center"/>
            </w:pPr>
            <w:r>
              <w:t xml:space="preserve">2</w:t>
            </w:r>
          </w:p>
        </w:tc>
        <w:tc>
          <w:tcPr/>
          <w:p>
            <w:pPr>
              <w:pStyle w:val="Compact"/>
              <w:jc w:val="center"/>
            </w:pPr>
            <w:r>
              <w:t xml:space="preserve">33.3%</w:t>
            </w:r>
          </w:p>
        </w:tc>
        <w:tc>
          <w:tcPr/>
          <w:p>
            <w:pPr>
              <w:pStyle w:val="Compact"/>
              <w:jc w:val="left"/>
            </w:pPr>
            <w:r>
              <w:t xml:space="preserve">0.183</w:t>
            </w:r>
          </w:p>
        </w:tc>
        <w:tc>
          <w:tcPr/>
          <w:p>
            <w:pPr>
              <w:pStyle w:val="Compact"/>
              <w:jc w:val="left"/>
            </w:pPr>
            <w:r>
              <w:rPr>
                <w:rFonts w:hint="eastAsia"/>
              </w:rPr>
              <w:t xml:space="preserve">整体中等，有提升空间</w:t>
            </w:r>
          </w:p>
        </w:tc>
      </w:tr>
      <w:tr>
        <w:tc>
          <w:tcPr/>
          <w:p>
            <w:pPr>
              <w:pStyle w:val="Compact"/>
              <w:jc w:val="left"/>
            </w:pPr>
            <w:r>
              <w:rPr>
                <w:rFonts w:hint="eastAsia"/>
              </w:rPr>
              <w:t xml:space="preserve">西部</w:t>
            </w:r>
          </w:p>
        </w:tc>
        <w:tc>
          <w:tcPr/>
          <w:p>
            <w:pPr>
              <w:pStyle w:val="Compact"/>
              <w:jc w:val="center"/>
            </w:pPr>
            <w:r>
              <w:t xml:space="preserve">6</w:t>
            </w:r>
          </w:p>
        </w:tc>
        <w:tc>
          <w:tcPr/>
          <w:p>
            <w:pPr>
              <w:pStyle w:val="Compact"/>
              <w:jc w:val="center"/>
            </w:pPr>
            <w:r>
              <w:t xml:space="preserve">3</w:t>
            </w:r>
          </w:p>
        </w:tc>
        <w:tc>
          <w:tcPr/>
          <w:p>
            <w:pPr>
              <w:pStyle w:val="Compact"/>
              <w:jc w:val="center"/>
            </w:pPr>
            <w:r>
              <w:t xml:space="preserve">50.0%</w:t>
            </w:r>
          </w:p>
        </w:tc>
        <w:tc>
          <w:tcPr/>
          <w:p>
            <w:pPr>
              <w:pStyle w:val="Compact"/>
              <w:jc w:val="left"/>
            </w:pPr>
            <w:r>
              <w:t xml:space="preserve">0.200</w:t>
            </w:r>
          </w:p>
        </w:tc>
        <w:tc>
          <w:tcPr/>
          <w:p>
            <w:pPr>
              <w:pStyle w:val="Compact"/>
              <w:jc w:val="left"/>
            </w:pPr>
            <w:r>
              <w:rPr>
                <w:rFonts w:hint="eastAsia"/>
              </w:rPr>
              <w:t xml:space="preserve">贵阳模式带动，表现不俗</w:t>
            </w:r>
          </w:p>
        </w:tc>
      </w:tr>
      <w:tr>
        <w:tc>
          <w:tcPr/>
          <w:p>
            <w:pPr>
              <w:pStyle w:val="Compact"/>
              <w:jc w:val="left"/>
            </w:pPr>
            <w:r>
              <w:rPr>
                <w:rFonts w:hint="eastAsia"/>
              </w:rPr>
              <w:t xml:space="preserve">东北</w:t>
            </w:r>
          </w:p>
        </w:tc>
        <w:tc>
          <w:tcPr/>
          <w:p>
            <w:pPr>
              <w:pStyle w:val="Compact"/>
              <w:jc w:val="center"/>
            </w:pPr>
            <w:r>
              <w:t xml:space="preserve">3</w:t>
            </w:r>
          </w:p>
        </w:tc>
        <w:tc>
          <w:tcPr/>
          <w:p>
            <w:pPr>
              <w:pStyle w:val="Compact"/>
              <w:jc w:val="center"/>
            </w:pPr>
            <w:r>
              <w:t xml:space="preserve">1</w:t>
            </w:r>
          </w:p>
        </w:tc>
        <w:tc>
          <w:tcPr/>
          <w:p>
            <w:pPr>
              <w:pStyle w:val="Compact"/>
              <w:jc w:val="center"/>
            </w:pPr>
            <w:r>
              <w:t xml:space="preserve">33.3%</w:t>
            </w:r>
          </w:p>
        </w:tc>
        <w:tc>
          <w:tcPr/>
          <w:p>
            <w:pPr>
              <w:pStyle w:val="Compact"/>
              <w:jc w:val="left"/>
            </w:pPr>
            <w:r>
              <w:t xml:space="preserve">0.175</w:t>
            </w:r>
          </w:p>
        </w:tc>
        <w:tc>
          <w:tcPr/>
          <w:p>
            <w:pPr>
              <w:pStyle w:val="Compact"/>
              <w:jc w:val="left"/>
            </w:pPr>
            <w:r>
              <w:rPr>
                <w:rFonts w:hint="eastAsia"/>
              </w:rPr>
              <w:t xml:space="preserve">整体偏低，振兴任务重</w:t>
            </w:r>
          </w:p>
        </w:tc>
      </w:tr>
    </w:tbl>
    <w:p>
      <w:pPr>
        <w:pStyle w:val="BodyText"/>
        <w:spacing w:line="360" w:lineRule="auto"/>
      </w:pPr>
      <w:r>
        <w:rPr>
          <w:rFonts w:hint="eastAsia" w:ascii="宋体" w:hAnsi="宋体" w:eastAsia="宋体"/>
          <w:b/>
          <w:bCs/>
          <w:color w:val="000000"/>
          <w:sz w:val="24"/>
        </w:rPr>
        <w:t xml:space="preserve">表7-1</w:t>
      </w:r>
      <w:r>
        <w:rPr>
          <w:rFonts w:ascii="宋体" w:hAnsi="宋体" w:eastAsia="宋体"/>
          <w:b/>
          <w:bCs/>
          <w:color w:val="000000"/>
          <w:sz w:val="24"/>
        </w:rPr>
        <w:t xml:space="preserve"> </w:t>
      </w:r>
      <w:r>
        <w:rPr>
          <w:rFonts w:hint="eastAsia" w:ascii="宋体" w:hAnsi="宋体" w:eastAsia="宋体"/>
          <w:b/>
          <w:bCs/>
          <w:color w:val="000000"/>
          <w:sz w:val="24"/>
        </w:rPr>
        <w:t xml:space="preserve">平台绩效的区域差异（基于服务器实际运行结果）</w:t>
      </w:r>
    </w:p>
    <w:p>
      <w:pPr>
        <w:pStyle w:val="BodyText"/>
        <w:spacing w:line="360" w:lineRule="auto"/>
      </w:pPr>
      <w:r>
        <w:rPr>
          <w:rFonts w:hint="eastAsia" w:ascii="宋体" w:hAnsi="宋体" w:eastAsia="宋体"/>
          <w:b/>
          <w:bCs/>
          <w:color w:val="000000"/>
          <w:sz w:val="24"/>
        </w:rPr>
        <w:t xml:space="preserve">东部地区的”头尾分化”</w:t>
      </w:r>
      <w:r>
        <w:rPr>
          <w:rFonts w:hint="eastAsia" w:ascii="宋体" w:hAnsi="宋体" w:eastAsia="宋体"/>
          <w:color w:val="000000"/>
          <w:sz w:val="24"/>
        </w:rPr>
        <w:t xml:space="preserve">值得关注。广东、浙江、上海、山东位居前列，但江苏、福建、天津却处于低绩效行列。这说明经济发达并不必然带来平台高绩效——制度设计和政策执行是关键变量。江苏省虽然经济总量全国第二，但其数据开放平台由市级平台拼接而成，省级统筹不足，导致整体绩效不高。</w:t>
      </w:r>
    </w:p>
    <w:p>
      <w:pPr>
        <w:pStyle w:val="BodyText"/>
        <w:spacing w:line="360" w:lineRule="auto"/>
      </w:pPr>
      <w:r>
        <w:rPr>
          <w:rFonts w:hint="eastAsia" w:ascii="宋体" w:hAnsi="宋体" w:eastAsia="宋体"/>
          <w:b/>
          <w:bCs/>
          <w:color w:val="000000"/>
          <w:sz w:val="24"/>
        </w:rPr>
        <w:t xml:space="preserve">西部地区的”贵阳模式”</w:t>
      </w:r>
      <w:r>
        <w:rPr>
          <w:rFonts w:hint="eastAsia" w:ascii="宋体" w:hAnsi="宋体" w:eastAsia="宋体"/>
          <w:color w:val="000000"/>
          <w:sz w:val="24"/>
        </w:rPr>
        <w:t xml:space="preserve">具有启示意义。贵州省凭借大数据综合试验区的政策优势，实现了”后发赶超”。这表明在开放政府数据领域，制度创新和政策支持可以弥补经济基础的不足。</w:t>
      </w:r>
    </w:p>
    <w:bookmarkEnd w:id="197"/>
    <w:bookmarkEnd w:id="198"/>
    <w:bookmarkStart w:id="202" w:name="平台转型趋势分析"/>
    <w:p>
      <w:pPr>
        <w:pStyle w:val="Heading3"/>
        <w:spacing w:line="360" w:lineRule="auto"/>
      </w:pPr>
      <w:r>
        <w:rPr>
          <w:rFonts w:ascii="黑体" w:hAnsi="黑体" w:eastAsia="黑体"/>
          <w:b/>
          <w:color w:val="000000"/>
          <w:sz w:val="24"/>
        </w:rPr>
        <w:t xml:space="preserve">7.2 </w:t>
      </w:r>
      <w:r>
        <w:rPr>
          <w:rFonts w:hint="eastAsia" w:ascii="黑体" w:hAnsi="黑体" w:eastAsia="黑体"/>
          <w:b/>
          <w:color w:val="000000"/>
          <w:sz w:val="24"/>
        </w:rPr>
        <w:t xml:space="preserve">平台转型趋势分析</w:t>
      </w:r>
    </w:p>
    <w:bookmarkStart w:id="199" w:name="从开放到运营数据要素市场化背景下的平台转型"/>
    <w:p>
      <w:pPr>
        <w:pStyle w:val="Heading4"/>
        <w:spacing w:line="360" w:lineRule="auto"/>
      </w:pPr>
      <w:r>
        <w:rPr>
          <w:rFonts w:ascii="宋体" w:hAnsi="宋体" w:eastAsia="宋体"/>
          <w:color w:val="000000"/>
          <w:sz w:val="24"/>
        </w:rPr>
        <w:t xml:space="preserve">7.2.1 </w:t>
      </w:r>
      <w:r>
        <w:rPr>
          <w:rFonts w:hint="eastAsia" w:ascii="宋体" w:hAnsi="宋体" w:eastAsia="宋体"/>
          <w:color w:val="000000"/>
          <w:sz w:val="24"/>
        </w:rPr>
        <w:t xml:space="preserve">从”开放”到”运营”：数据要素市场化背景下的平台转型</w:t>
      </w:r>
    </w:p>
    <w:p>
      <w:pPr>
        <w:pStyle w:val="FirstParagraph"/>
        <w:spacing w:line="360" w:lineRule="auto"/>
      </w:pPr>
      <w:r>
        <w:rPr>
          <w:rFonts w:hint="eastAsia" w:ascii="宋体" w:hAnsi="宋体" w:eastAsia="宋体"/>
          <w:color w:val="000000"/>
          <w:sz w:val="24"/>
        </w:rPr>
        <w:t xml:space="preserve">2024年以来，随着”数据要素×</w:t>
      </w:r>
      <w:r>
        <w:rPr>
          <w:rFonts w:hint="eastAsia" w:ascii="宋体" w:hAnsi="宋体" w:eastAsia="宋体"/>
          <w:color w:val="000000"/>
          <w:sz w:val="24"/>
        </w:rPr>
        <w:t xml:space="preserve">“行动计划的推进和数据要素市场化配置改革的深化，部分省级平台开始出现从”</w:t>
      </w:r>
      <w:r>
        <w:rPr>
          <w:rFonts w:hint="eastAsia" w:ascii="宋体" w:hAnsi="宋体" w:eastAsia="宋体"/>
          <w:color w:val="000000"/>
          <w:sz w:val="24"/>
        </w:rPr>
        <w:t xml:space="preserve">开放”向”运营”的转型趋势。这一趋势的核心特征是：</w:t>
      </w:r>
    </w:p>
    <w:p>
      <w:pPr>
        <w:pStyle w:val="BodyText"/>
        <w:spacing w:line="360" w:lineRule="auto"/>
      </w:pPr>
      <w:r>
        <w:rPr>
          <w:rFonts w:hint="eastAsia" w:ascii="宋体" w:hAnsi="宋体" w:eastAsia="宋体"/>
          <w:b/>
          <w:bCs/>
          <w:color w:val="000000"/>
          <w:sz w:val="24"/>
        </w:rPr>
        <w:t xml:space="preserve">价值取向转变</w:t>
      </w:r>
      <w:r>
        <w:rPr>
          <w:rFonts w:hint="eastAsia" w:ascii="宋体" w:hAnsi="宋体" w:eastAsia="宋体"/>
          <w:color w:val="000000"/>
          <w:sz w:val="24"/>
        </w:rPr>
        <w:t xml:space="preserve">：从”公共服务”转向”资产运营”。传统开放政府数据强调公共属性，数据免费向社会开放；而数据运营则强调数据的经济价值，通过确权、定价、交易实现数据资产的增值。</w:t>
      </w:r>
    </w:p>
    <w:p>
      <w:pPr>
        <w:pStyle w:val="BodyText"/>
        <w:spacing w:line="360" w:lineRule="auto"/>
      </w:pPr>
      <w:r>
        <w:rPr>
          <w:rFonts w:hint="eastAsia" w:ascii="宋体" w:hAnsi="宋体" w:eastAsia="宋体"/>
          <w:b/>
          <w:bCs/>
          <w:color w:val="000000"/>
          <w:sz w:val="24"/>
        </w:rPr>
        <w:t xml:space="preserve">平台功能拓展</w:t>
      </w:r>
      <w:r>
        <w:rPr>
          <w:rFonts w:hint="eastAsia" w:ascii="宋体" w:hAnsi="宋体" w:eastAsia="宋体"/>
          <w:color w:val="000000"/>
          <w:sz w:val="24"/>
        </w:rPr>
        <w:t xml:space="preserve">：从”数据发布”转向”要素配置”。转型后的平台不仅发布数据，还提供数据确权登记、质量评估、供需撮合、交易结算等市场化服务。</w:t>
      </w:r>
    </w:p>
    <w:p>
      <w:pPr>
        <w:pStyle w:val="BodyText"/>
        <w:spacing w:line="360" w:lineRule="auto"/>
      </w:pPr>
      <w:r>
        <w:rPr>
          <w:rFonts w:hint="eastAsia" w:ascii="宋体" w:hAnsi="宋体" w:eastAsia="宋体"/>
          <w:b/>
          <w:bCs/>
          <w:color w:val="000000"/>
          <w:sz w:val="24"/>
        </w:rPr>
        <w:t xml:space="preserve">参与主体多元</w:t>
      </w:r>
      <w:r>
        <w:rPr>
          <w:rFonts w:hint="eastAsia" w:ascii="宋体" w:hAnsi="宋体" w:eastAsia="宋体"/>
          <w:color w:val="000000"/>
          <w:sz w:val="24"/>
        </w:rPr>
        <w:t xml:space="preserve">：从”政府-公众”二元关系转向”政府-企业-个人”多元生态。数据运营引入了数据商、第三方服务机构等市场化主体。</w:t>
      </w:r>
    </w:p>
    <w:bookmarkEnd w:id="199"/>
    <w:bookmarkStart w:id="200" w:name="转型动因分析"/>
    <w:p>
      <w:pPr>
        <w:pStyle w:val="Heading4"/>
        <w:spacing w:line="360" w:lineRule="auto"/>
      </w:pPr>
      <w:r>
        <w:rPr>
          <w:rFonts w:ascii="宋体" w:hAnsi="宋体" w:eastAsia="宋体"/>
          <w:color w:val="000000"/>
          <w:sz w:val="24"/>
        </w:rPr>
        <w:t xml:space="preserve">7.2.2 </w:t>
      </w:r>
      <w:r>
        <w:rPr>
          <w:rFonts w:hint="eastAsia" w:ascii="宋体" w:hAnsi="宋体" w:eastAsia="宋体"/>
          <w:color w:val="000000"/>
          <w:sz w:val="24"/>
        </w:rPr>
        <w:t xml:space="preserve">转型动因分析</w:t>
      </w:r>
    </w:p>
    <w:p>
      <w:pPr>
        <w:pStyle w:val="FirstParagraph"/>
        <w:spacing w:line="360" w:lineRule="auto"/>
      </w:pPr>
      <w:r>
        <w:rPr>
          <w:rFonts w:hint="eastAsia" w:ascii="宋体" w:hAnsi="宋体" w:eastAsia="宋体"/>
          <w:color w:val="000000"/>
          <w:sz w:val="24"/>
        </w:rPr>
        <w:t xml:space="preserve">平台转型的深层动因包括：</w:t>
      </w:r>
    </w:p>
    <w:p>
      <w:pPr>
        <w:pStyle w:val="BodyText"/>
        <w:spacing w:line="360" w:lineRule="auto"/>
      </w:pPr>
      <w:r>
        <w:rPr>
          <w:rFonts w:hint="eastAsia" w:ascii="宋体" w:hAnsi="宋体" w:eastAsia="宋体"/>
          <w:b/>
          <w:bCs/>
          <w:color w:val="000000"/>
          <w:sz w:val="24"/>
        </w:rPr>
        <w:t xml:space="preserve">财政压力驱动</w:t>
      </w:r>
      <w:r>
        <w:rPr>
          <w:rFonts w:hint="eastAsia" w:ascii="宋体" w:hAnsi="宋体" w:eastAsia="宋体"/>
          <w:color w:val="000000"/>
          <w:sz w:val="24"/>
        </w:rPr>
        <w:t xml:space="preserve">。地方政府面临”土地财政”退潮和”过紧日子”的双重压力，寻求数据资产的变现途径。数据被认为是可以替代土地的新型生产要素和财政收入来源。</w:t>
      </w:r>
    </w:p>
    <w:p>
      <w:pPr>
        <w:pStyle w:val="BodyText"/>
        <w:spacing w:line="360" w:lineRule="auto"/>
      </w:pPr>
      <w:r>
        <w:rPr>
          <w:rFonts w:hint="eastAsia" w:ascii="宋体" w:hAnsi="宋体" w:eastAsia="宋体"/>
          <w:b/>
          <w:bCs/>
          <w:color w:val="000000"/>
          <w:sz w:val="24"/>
        </w:rPr>
        <w:t xml:space="preserve">政策导向驱动</w:t>
      </w:r>
      <w:r>
        <w:rPr>
          <w:rFonts w:hint="eastAsia" w:ascii="宋体" w:hAnsi="宋体" w:eastAsia="宋体"/>
          <w:color w:val="000000"/>
          <w:sz w:val="24"/>
        </w:rPr>
        <w:t xml:space="preserve">。国家数据局的成立和”数据要素×“行动计划的出台，为数据要素市场化提供了顶层政策支持。地方政府积极响应，将平台建设与数据要素市场化改革挂钩。</w:t>
      </w:r>
    </w:p>
    <w:p>
      <w:pPr>
        <w:pStyle w:val="BodyText"/>
        <w:spacing w:line="360" w:lineRule="auto"/>
      </w:pPr>
      <w:r>
        <w:rPr>
          <w:rFonts w:hint="eastAsia" w:ascii="宋体" w:hAnsi="宋体" w:eastAsia="宋体"/>
          <w:b/>
          <w:bCs/>
          <w:color w:val="000000"/>
          <w:sz w:val="24"/>
        </w:rPr>
        <w:t xml:space="preserve">技术赋能驱动</w:t>
      </w:r>
      <w:r>
        <w:rPr>
          <w:rFonts w:hint="eastAsia" w:ascii="宋体" w:hAnsi="宋体" w:eastAsia="宋体"/>
          <w:color w:val="000000"/>
          <w:sz w:val="24"/>
        </w:rPr>
        <w:t xml:space="preserve">。区块链、隐私计算、联邦学习等技术的发展，使得数据”可用不可见”成为可能，为数据安全流通提供了技术保障，降低了数据开放的安全顾虑。</w:t>
      </w:r>
    </w:p>
    <w:bookmarkEnd w:id="200"/>
    <w:bookmarkStart w:id="201" w:name="转型风险与应对"/>
    <w:p>
      <w:pPr>
        <w:pStyle w:val="Heading4"/>
        <w:spacing w:line="360" w:lineRule="auto"/>
      </w:pPr>
      <w:r>
        <w:rPr>
          <w:rFonts w:ascii="宋体" w:hAnsi="宋体" w:eastAsia="宋体"/>
          <w:color w:val="000000"/>
          <w:sz w:val="24"/>
        </w:rPr>
        <w:t xml:space="preserve">7.2.3 </w:t>
      </w:r>
      <w:r>
        <w:rPr>
          <w:rFonts w:hint="eastAsia" w:ascii="宋体" w:hAnsi="宋体" w:eastAsia="宋体"/>
          <w:color w:val="000000"/>
          <w:sz w:val="24"/>
        </w:rPr>
        <w:t xml:space="preserve">转型风险与应对</w:t>
      </w:r>
    </w:p>
    <w:p>
      <w:pPr>
        <w:pStyle w:val="FirstParagraph"/>
        <w:spacing w:line="360" w:lineRule="auto"/>
      </w:pPr>
      <w:r>
        <w:rPr>
          <w:rFonts w:hint="eastAsia" w:ascii="宋体" w:hAnsi="宋体" w:eastAsia="宋体"/>
          <w:color w:val="000000"/>
          <w:sz w:val="24"/>
        </w:rPr>
        <w:t xml:space="preserve">平台转型也带来潜在风险：</w:t>
      </w:r>
    </w:p>
    <w:p>
      <w:pPr>
        <w:pStyle w:val="BodyText"/>
        <w:spacing w:line="360" w:lineRule="auto"/>
      </w:pPr>
      <w:r>
        <w:rPr>
          <w:rFonts w:hint="eastAsia" w:ascii="宋体" w:hAnsi="宋体" w:eastAsia="宋体"/>
          <w:b/>
          <w:bCs/>
          <w:color w:val="000000"/>
          <w:sz w:val="24"/>
        </w:rPr>
        <w:t xml:space="preserve">公共性丧失风险</w:t>
      </w:r>
      <w:r>
        <w:rPr>
          <w:rFonts w:hint="eastAsia" w:ascii="宋体" w:hAnsi="宋体" w:eastAsia="宋体"/>
          <w:color w:val="000000"/>
          <w:sz w:val="24"/>
        </w:rPr>
        <w:t xml:space="preserve">。如果所有公共数据都走向市场化交易，可能损害公众的知情权和数据获取权，违背开放政府数据的初衷。</w:t>
      </w:r>
    </w:p>
    <w:p>
      <w:pPr>
        <w:pStyle w:val="BodyText"/>
        <w:spacing w:line="360" w:lineRule="auto"/>
      </w:pPr>
      <w:r>
        <w:rPr>
          <w:rFonts w:hint="eastAsia" w:ascii="宋体" w:hAnsi="宋体" w:eastAsia="宋体"/>
          <w:b/>
          <w:bCs/>
          <w:color w:val="000000"/>
          <w:sz w:val="24"/>
        </w:rPr>
        <w:t xml:space="preserve">公平性风险</w:t>
      </w:r>
      <w:r>
        <w:rPr>
          <w:rFonts w:hint="eastAsia" w:ascii="宋体" w:hAnsi="宋体" w:eastAsia="宋体"/>
          <w:color w:val="000000"/>
          <w:sz w:val="24"/>
        </w:rPr>
        <w:t xml:space="preserve">。数据运营可能加剧数字鸿沟——有能力支付的企业获得更多数据资源，而普通公众和小微企业被排除在外。</w:t>
      </w:r>
    </w:p>
    <w:p>
      <w:pPr>
        <w:pStyle w:val="BodyText"/>
        <w:spacing w:line="360" w:lineRule="auto"/>
      </w:pPr>
      <w:r>
        <w:rPr>
          <w:rFonts w:hint="eastAsia" w:ascii="宋体" w:hAnsi="宋体" w:eastAsia="宋体"/>
          <w:b/>
          <w:bCs/>
          <w:color w:val="000000"/>
          <w:sz w:val="24"/>
        </w:rPr>
        <w:t xml:space="preserve">治理碎片化风险</w:t>
      </w:r>
      <w:r>
        <w:rPr>
          <w:rFonts w:hint="eastAsia" w:ascii="宋体" w:hAnsi="宋体" w:eastAsia="宋体"/>
          <w:color w:val="000000"/>
          <w:sz w:val="24"/>
        </w:rPr>
        <w:t xml:space="preserve">。各地数据运营规则不统一，可能形成新的”数据割据”。</w:t>
      </w:r>
    </w:p>
    <w:p>
      <w:pPr>
        <w:pStyle w:val="BodyText"/>
        <w:spacing w:line="360" w:lineRule="auto"/>
      </w:pPr>
      <w:r>
        <w:rPr>
          <w:rFonts w:hint="eastAsia" w:ascii="宋体" w:hAnsi="宋体" w:eastAsia="宋体"/>
          <w:color w:val="000000"/>
          <w:sz w:val="24"/>
        </w:rPr>
        <w:t xml:space="preserve">应对策略应坚持”公共数据优先开放、高价值数据授权运营”的双轨制原则：</w:t>
      </w:r>
      <w:r>
        <w:rPr>
          <w:rFonts w:ascii="宋体" w:hAnsi="宋体" w:eastAsia="宋体"/>
          <w:color w:val="000000"/>
          <w:sz w:val="24"/>
        </w:rPr>
        <w:t xml:space="preserve"> </w:t>
      </w:r>
      <w:r>
        <w:rPr>
          <w:rFonts w:ascii="宋体" w:hAnsi="宋体" w:eastAsia="宋体"/>
          <w:color w:val="000000"/>
          <w:sz w:val="24"/>
        </w:rPr>
        <w:t xml:space="preserve">-</w:t>
      </w:r>
      <w:r>
        <w:rPr>
          <w:rFonts w:ascii="宋体" w:hAnsi="宋体" w:eastAsia="宋体"/>
          <w:color w:val="000000"/>
          <w:sz w:val="24"/>
        </w:rPr>
        <w:t xml:space="preserve"> </w:t>
      </w:r>
      <w:r>
        <w:rPr>
          <w:rFonts w:hint="eastAsia" w:ascii="宋体" w:hAnsi="宋体" w:eastAsia="宋体"/>
          <w:b/>
          <w:bCs/>
          <w:color w:val="000000"/>
          <w:sz w:val="24"/>
        </w:rPr>
        <w:t xml:space="preserve">基础公共数据</w:t>
      </w:r>
      <w:r>
        <w:rPr>
          <w:rFonts w:hint="eastAsia" w:ascii="宋体" w:hAnsi="宋体" w:eastAsia="宋体"/>
          <w:color w:val="000000"/>
          <w:sz w:val="24"/>
        </w:rPr>
        <w:t xml:space="preserve">（人口、法人、自然资源、信用等）应坚持免费开放，保障公众基本数据权利</w:t>
      </w:r>
      <w:r>
        <w:rPr>
          <w:rFonts w:ascii="宋体" w:hAnsi="宋体" w:eastAsia="宋体"/>
          <w:color w:val="000000"/>
          <w:sz w:val="24"/>
        </w:rPr>
        <w:t xml:space="preserve"> </w:t>
      </w:r>
      <w:r>
        <w:rPr>
          <w:rFonts w:ascii="宋体" w:hAnsi="宋体" w:eastAsia="宋体"/>
          <w:color w:val="000000"/>
          <w:sz w:val="24"/>
        </w:rPr>
        <w:t xml:space="preserve">-</w:t>
      </w:r>
      <w:r>
        <w:rPr>
          <w:rFonts w:ascii="宋体" w:hAnsi="宋体" w:eastAsia="宋体"/>
          <w:color w:val="000000"/>
          <w:sz w:val="24"/>
        </w:rPr>
        <w:t xml:space="preserve"> </w:t>
      </w:r>
      <w:r>
        <w:rPr>
          <w:rFonts w:hint="eastAsia" w:ascii="宋体" w:hAnsi="宋体" w:eastAsia="宋体"/>
          <w:b/>
          <w:bCs/>
          <w:color w:val="000000"/>
          <w:sz w:val="24"/>
        </w:rPr>
        <w:t xml:space="preserve">高价值数据</w:t>
      </w:r>
      <w:r>
        <w:rPr>
          <w:rFonts w:hint="eastAsia" w:ascii="宋体" w:hAnsi="宋体" w:eastAsia="宋体"/>
          <w:color w:val="000000"/>
          <w:sz w:val="24"/>
        </w:rPr>
        <w:t xml:space="preserve">（医疗、金融、交通等）可探索授权运营，通过市场化机制释放数据价值</w:t>
      </w:r>
      <w:r>
        <w:rPr>
          <w:rFonts w:ascii="宋体" w:hAnsi="宋体" w:eastAsia="宋体"/>
          <w:color w:val="000000"/>
          <w:sz w:val="24"/>
        </w:rPr>
        <w:t xml:space="preserve"> </w:t>
      </w:r>
      <w:r>
        <w:rPr>
          <w:rFonts w:ascii="宋体" w:hAnsi="宋体" w:eastAsia="宋体"/>
          <w:color w:val="000000"/>
          <w:sz w:val="24"/>
        </w:rPr>
        <w:t xml:space="preserve">-</w:t>
      </w:r>
      <w:r>
        <w:rPr>
          <w:rFonts w:ascii="宋体" w:hAnsi="宋体" w:eastAsia="宋体"/>
          <w:color w:val="000000"/>
          <w:sz w:val="24"/>
        </w:rPr>
        <w:t xml:space="preserve"> </w:t>
      </w:r>
      <w:r>
        <w:rPr>
          <w:rFonts w:hint="eastAsia" w:ascii="宋体" w:hAnsi="宋体" w:eastAsia="宋体"/>
          <w:b/>
          <w:bCs/>
          <w:color w:val="000000"/>
          <w:sz w:val="24"/>
        </w:rPr>
        <w:t xml:space="preserve">数据运营收益</w:t>
      </w:r>
      <w:r>
        <w:rPr>
          <w:rFonts w:hint="eastAsia" w:ascii="宋体" w:hAnsi="宋体" w:eastAsia="宋体"/>
          <w:color w:val="000000"/>
          <w:sz w:val="24"/>
        </w:rPr>
        <w:t xml:space="preserve">应反哺数据治理，形成可持续的开放生态</w:t>
      </w:r>
    </w:p>
    <w:bookmarkEnd w:id="201"/>
    <w:bookmarkEnd w:id="202"/>
    <w:bookmarkStart w:id="206" w:name="差异化提升策略"/>
    <w:p>
      <w:pPr>
        <w:pStyle w:val="Heading3"/>
        <w:spacing w:line="360" w:lineRule="auto"/>
      </w:pPr>
      <w:r>
        <w:rPr>
          <w:rFonts w:ascii="黑体" w:hAnsi="黑体" w:eastAsia="黑体"/>
          <w:b/>
          <w:color w:val="000000"/>
          <w:sz w:val="24"/>
        </w:rPr>
        <w:t xml:space="preserve">7.3 </w:t>
      </w:r>
      <w:r>
        <w:rPr>
          <w:rFonts w:hint="eastAsia" w:ascii="黑体" w:hAnsi="黑体" w:eastAsia="黑体"/>
          <w:b/>
          <w:color w:val="000000"/>
          <w:sz w:val="24"/>
        </w:rPr>
        <w:t xml:space="preserve">差异化提升策略</w:t>
      </w:r>
    </w:p>
    <w:p>
      <w:pPr>
        <w:pStyle w:val="FirstParagraph"/>
        <w:spacing w:line="360" w:lineRule="auto"/>
      </w:pPr>
      <w:r>
        <w:rPr>
          <w:rFonts w:hint="eastAsia" w:ascii="宋体" w:hAnsi="宋体" w:eastAsia="宋体"/>
          <w:color w:val="000000"/>
          <w:sz w:val="24"/>
        </w:rPr>
        <w:t xml:space="preserve">基于第五章的绩效评估结果和第六章的影响因素分析，本研究提出</w:t>
      </w:r>
      <w:r>
        <w:rPr>
          <w:rFonts w:hint="eastAsia" w:ascii="宋体" w:hAnsi="宋体" w:eastAsia="宋体"/>
          <w:b/>
          <w:bCs/>
          <w:color w:val="000000"/>
          <w:sz w:val="24"/>
        </w:rPr>
        <w:t xml:space="preserve">分类施策、精准提升</w:t>
      </w:r>
      <w:r>
        <w:rPr>
          <w:rFonts w:hint="eastAsia" w:ascii="宋体" w:hAnsi="宋体" w:eastAsia="宋体"/>
          <w:color w:val="000000"/>
          <w:sz w:val="24"/>
        </w:rPr>
        <w:t xml:space="preserve">的差异化策略。</w:t>
      </w:r>
    </w:p>
    <w:bookmarkStart w:id="203" w:name="高绩效平台标杆引领与模式输出"/>
    <w:p>
      <w:pPr>
        <w:pStyle w:val="Heading4"/>
        <w:spacing w:line="360" w:lineRule="auto"/>
      </w:pPr>
      <w:r>
        <w:rPr>
          <w:rFonts w:ascii="宋体" w:hAnsi="宋体" w:eastAsia="宋体"/>
          <w:color w:val="000000"/>
          <w:sz w:val="24"/>
        </w:rPr>
        <w:t xml:space="preserve">7.3.1 </w:t>
      </w:r>
      <w:r>
        <w:rPr>
          <w:rFonts w:hint="eastAsia" w:ascii="宋体" w:hAnsi="宋体" w:eastAsia="宋体"/>
          <w:color w:val="000000"/>
          <w:sz w:val="24"/>
        </w:rPr>
        <w:t xml:space="preserve">高绩效平台：标杆引领与模式输出</w:t>
      </w:r>
    </w:p>
    <w:p>
      <w:pPr>
        <w:pStyle w:val="FirstParagraph"/>
        <w:spacing w:line="360" w:lineRule="auto"/>
      </w:pPr>
      <w:r>
        <w:rPr>
          <w:rFonts w:hint="eastAsia" w:ascii="宋体" w:hAnsi="宋体" w:eastAsia="宋体"/>
          <w:color w:val="000000"/>
          <w:sz w:val="24"/>
        </w:rPr>
        <w:t xml:space="preserve">对于11个高绩效平台，重点在于</w:t>
      </w:r>
      <w:r>
        <w:rPr>
          <w:rFonts w:hint="eastAsia" w:ascii="宋体" w:hAnsi="宋体" w:eastAsia="宋体"/>
          <w:b/>
          <w:bCs/>
          <w:color w:val="000000"/>
          <w:sz w:val="24"/>
        </w:rPr>
        <w:t xml:space="preserve">巩固优势、输出经验、引领标准</w:t>
      </w:r>
      <w:r>
        <w:rPr>
          <w:rFonts w:hint="eastAsia" w:ascii="宋体" w:hAnsi="宋体" w:eastAsia="宋体"/>
          <w:color w:val="000000"/>
          <w:sz w:val="24"/>
        </w:rPr>
        <w:t xml:space="preserve">：</w:t>
      </w:r>
    </w:p>
    <w:p>
      <w:pPr>
        <w:pStyle w:val="BodyText"/>
        <w:spacing w:line="360" w:lineRule="auto"/>
      </w:pPr>
      <w:r>
        <w:rPr>
          <w:rFonts w:hint="eastAsia" w:ascii="宋体" w:hAnsi="宋体" w:eastAsia="宋体"/>
          <w:b/>
          <w:bCs/>
          <w:color w:val="000000"/>
          <w:sz w:val="24"/>
        </w:rPr>
        <w:t xml:space="preserve">（1）建立标杆示范机制</w:t>
      </w:r>
    </w:p>
    <w:p>
      <w:pPr>
        <w:pStyle w:val="BodyText"/>
        <w:spacing w:line="360" w:lineRule="auto"/>
      </w:pPr>
      <w:r>
        <w:rPr>
          <w:rFonts w:hint="eastAsia" w:ascii="宋体" w:hAnsi="宋体" w:eastAsia="宋体"/>
          <w:color w:val="000000"/>
          <w:sz w:val="24"/>
        </w:rPr>
        <w:t xml:space="preserve">建议国家数据局设立”省级政府数据开放标杆平台”认证制度，对高绩效平台给予政策支持和资源倾斜。标杆平台应承担以下功能：</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制定行业标准和最佳实践指南</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开展对口帮扶，向低绩效省份输出经验</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参与国际开放数据评估，提升中国话语权</w:t>
      </w:r>
    </w:p>
    <w:p>
      <w:pPr>
        <w:pStyle w:val="BodyText"/>
        <w:spacing w:line="360" w:lineRule="auto"/>
      </w:pPr>
      <w:r>
        <w:rPr>
          <w:rFonts w:hint="eastAsia" w:ascii="宋体" w:hAnsi="宋体" w:eastAsia="宋体"/>
          <w:b/>
          <w:bCs/>
          <w:color w:val="000000"/>
          <w:sz w:val="24"/>
        </w:rPr>
        <w:t xml:space="preserve">（2）推动模式标准化</w:t>
      </w:r>
    </w:p>
    <w:p>
      <w:pPr>
        <w:pStyle w:val="BodyText"/>
        <w:spacing w:line="360" w:lineRule="auto"/>
      </w:pPr>
      <w:r>
        <w:rPr>
          <w:rFonts w:hint="eastAsia" w:ascii="宋体" w:hAnsi="宋体" w:eastAsia="宋体"/>
          <w:color w:val="000000"/>
          <w:sz w:val="24"/>
        </w:rPr>
        <w:t xml:space="preserve">将高绩效平台的成功经验提炼为标准模式。例如：</w:t>
      </w:r>
      <w:r>
        <w:rPr>
          <w:rFonts w:ascii="宋体" w:hAnsi="宋体" w:eastAsia="宋体"/>
          <w:color w:val="000000"/>
          <w:sz w:val="24"/>
        </w:rPr>
        <w:t xml:space="preserve"> </w:t>
      </w:r>
      <w:r>
        <w:rPr>
          <w:rFonts w:ascii="宋体" w:hAnsi="宋体" w:eastAsia="宋体"/>
          <w:color w:val="000000"/>
          <w:sz w:val="24"/>
        </w:rPr>
        <w:t xml:space="preserve">-</w:t>
      </w:r>
      <w:r>
        <w:rPr>
          <w:rFonts w:ascii="宋体" w:hAnsi="宋体" w:eastAsia="宋体"/>
          <w:color w:val="000000"/>
          <w:sz w:val="24"/>
        </w:rPr>
        <w:t xml:space="preserve"> </w:t>
      </w:r>
      <w:r>
        <w:rPr>
          <w:rFonts w:hint="eastAsia" w:ascii="宋体" w:hAnsi="宋体" w:eastAsia="宋体"/>
          <w:b/>
          <w:bCs/>
          <w:color w:val="000000"/>
          <w:sz w:val="24"/>
        </w:rPr>
        <w:t xml:space="preserve">“广东模式”</w:t>
      </w:r>
      <w:r>
        <w:rPr>
          <w:rFonts w:hint="eastAsia" w:ascii="宋体" w:hAnsi="宋体" w:eastAsia="宋体"/>
          <w:color w:val="000000"/>
          <w:sz w:val="24"/>
        </w:rPr>
        <w:t xml:space="preserve">：数字政府改革引领型，适用于改革动力强、统筹能力好的省份</w:t>
      </w:r>
      <w:r>
        <w:rPr>
          <w:rFonts w:ascii="宋体" w:hAnsi="宋体" w:eastAsia="宋体"/>
          <w:color w:val="000000"/>
          <w:sz w:val="24"/>
        </w:rPr>
        <w:t xml:space="preserve"> </w:t>
      </w:r>
      <w:r>
        <w:rPr>
          <w:rFonts w:ascii="宋体" w:hAnsi="宋体" w:eastAsia="宋体"/>
          <w:color w:val="000000"/>
          <w:sz w:val="24"/>
        </w:rPr>
        <w:t xml:space="preserve">-</w:t>
      </w:r>
      <w:r>
        <w:rPr>
          <w:rFonts w:ascii="宋体" w:hAnsi="宋体" w:eastAsia="宋体"/>
          <w:color w:val="000000"/>
          <w:sz w:val="24"/>
        </w:rPr>
        <w:t xml:space="preserve"> </w:t>
      </w:r>
      <w:r>
        <w:rPr>
          <w:rFonts w:hint="eastAsia" w:ascii="宋体" w:hAnsi="宋体" w:eastAsia="宋体"/>
          <w:b/>
          <w:bCs/>
          <w:color w:val="000000"/>
          <w:sz w:val="24"/>
        </w:rPr>
        <w:t xml:space="preserve">“山东模式”</w:t>
      </w:r>
      <w:r>
        <w:rPr>
          <w:rFonts w:hint="eastAsia" w:ascii="宋体" w:hAnsi="宋体" w:eastAsia="宋体"/>
          <w:color w:val="000000"/>
          <w:sz w:val="24"/>
        </w:rPr>
        <w:t xml:space="preserve">：政策法规先行型，适用于制度建设基础好的省份</w:t>
      </w:r>
      <w:r>
        <w:rPr>
          <w:rFonts w:ascii="宋体" w:hAnsi="宋体" w:eastAsia="宋体"/>
          <w:color w:val="000000"/>
          <w:sz w:val="24"/>
        </w:rPr>
        <w:t xml:space="preserve"> </w:t>
      </w:r>
      <w:r>
        <w:rPr>
          <w:rFonts w:ascii="宋体" w:hAnsi="宋体" w:eastAsia="宋体"/>
          <w:color w:val="000000"/>
          <w:sz w:val="24"/>
        </w:rPr>
        <w:t xml:space="preserve">-</w:t>
      </w:r>
      <w:r>
        <w:rPr>
          <w:rFonts w:ascii="宋体" w:hAnsi="宋体" w:eastAsia="宋体"/>
          <w:color w:val="000000"/>
          <w:sz w:val="24"/>
        </w:rPr>
        <w:t xml:space="preserve"> </w:t>
      </w:r>
      <w:r>
        <w:rPr>
          <w:rFonts w:hint="eastAsia" w:ascii="宋体" w:hAnsi="宋体" w:eastAsia="宋体"/>
          <w:b/>
          <w:bCs/>
          <w:color w:val="000000"/>
          <w:sz w:val="24"/>
        </w:rPr>
        <w:t xml:space="preserve">“贵州模式”</w:t>
      </w:r>
      <w:r>
        <w:rPr>
          <w:rFonts w:hint="eastAsia" w:ascii="宋体" w:hAnsi="宋体" w:eastAsia="宋体"/>
          <w:color w:val="000000"/>
          <w:sz w:val="24"/>
        </w:rPr>
        <w:t xml:space="preserve">：产业生态驱动型，适用于大数据产业有一定基础的省份</w:t>
      </w:r>
    </w:p>
    <w:p>
      <w:pPr>
        <w:pStyle w:val="BodyText"/>
        <w:spacing w:line="360" w:lineRule="auto"/>
      </w:pPr>
      <w:r>
        <w:rPr>
          <w:rFonts w:hint="eastAsia" w:ascii="宋体" w:hAnsi="宋体" w:eastAsia="宋体"/>
          <w:color w:val="000000"/>
          <w:sz w:val="24"/>
        </w:rPr>
        <w:t xml:space="preserve">各省份可根据自身条件选择适配模式，避免”一刀切”。</w:t>
      </w:r>
    </w:p>
    <w:p>
      <w:pPr>
        <w:pStyle w:val="BodyText"/>
        <w:spacing w:line="360" w:lineRule="auto"/>
      </w:pPr>
      <w:r>
        <w:rPr>
          <w:rFonts w:hint="eastAsia" w:ascii="宋体" w:hAnsi="宋体" w:eastAsia="宋体"/>
          <w:b/>
          <w:bCs/>
          <w:color w:val="000000"/>
          <w:sz w:val="24"/>
        </w:rPr>
        <w:t xml:space="preserve">（3）探索数据开放2.0</w:t>
      </w:r>
    </w:p>
    <w:p>
      <w:pPr>
        <w:pStyle w:val="BodyText"/>
        <w:spacing w:line="360" w:lineRule="auto"/>
      </w:pPr>
      <w:r>
        <w:rPr>
          <w:rFonts w:hint="eastAsia" w:ascii="宋体" w:hAnsi="宋体" w:eastAsia="宋体"/>
          <w:color w:val="000000"/>
          <w:sz w:val="24"/>
        </w:rPr>
        <w:t xml:space="preserve">高绩效平台应从”数据开放1.0”（数据集发布）向”数据开放2.0”（数据服务化）升级：</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提供API即服务（API-as-a-Service），支持开发者按需调用</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建设数据沙箱环境，支持企业安全使用敏感数据</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开放算法模型和算力资源，降低数据应用门槛</w:t>
      </w:r>
    </w:p>
    <w:bookmarkEnd w:id="203"/>
    <w:bookmarkStart w:id="204" w:name="功能型低绩效平台补齐短板激活潜力"/>
    <w:p>
      <w:pPr>
        <w:pStyle w:val="Heading4"/>
        <w:spacing w:line="360" w:lineRule="auto"/>
      </w:pPr>
      <w:r>
        <w:rPr>
          <w:rFonts w:ascii="宋体" w:hAnsi="宋体" w:eastAsia="宋体"/>
          <w:color w:val="000000"/>
          <w:sz w:val="24"/>
        </w:rPr>
        <w:t xml:space="preserve">7.3.2 </w:t>
      </w:r>
      <w:r>
        <w:rPr>
          <w:rFonts w:hint="eastAsia" w:ascii="宋体" w:hAnsi="宋体" w:eastAsia="宋体"/>
          <w:color w:val="000000"/>
          <w:sz w:val="24"/>
        </w:rPr>
        <w:t xml:space="preserve">功能型低绩效平台：补齐短板、激活潜力</w:t>
      </w:r>
    </w:p>
    <w:p>
      <w:pPr>
        <w:pStyle w:val="FirstParagraph"/>
        <w:spacing w:line="360" w:lineRule="auto"/>
      </w:pPr>
      <w:r>
        <w:rPr>
          <w:rFonts w:hint="eastAsia" w:ascii="宋体" w:hAnsi="宋体" w:eastAsia="宋体"/>
          <w:color w:val="000000"/>
          <w:sz w:val="24"/>
        </w:rPr>
        <w:t xml:space="preserve">对于8个”有平台无作为”型低绩效平台，重点在于</w:t>
      </w:r>
      <w:r>
        <w:rPr>
          <w:rFonts w:hint="eastAsia" w:ascii="宋体" w:hAnsi="宋体" w:eastAsia="宋体"/>
          <w:b/>
          <w:bCs/>
          <w:color w:val="000000"/>
          <w:sz w:val="24"/>
        </w:rPr>
        <w:t xml:space="preserve">补齐政策短板、激活应用潜力</w:t>
      </w:r>
      <w:r>
        <w:rPr>
          <w:rFonts w:hint="eastAsia" w:ascii="宋体" w:hAnsi="宋体" w:eastAsia="宋体"/>
          <w:color w:val="000000"/>
          <w:sz w:val="24"/>
        </w:rPr>
        <w:t xml:space="preserve">：</w:t>
      </w:r>
    </w:p>
    <w:p>
      <w:pPr>
        <w:pStyle w:val="BodyText"/>
        <w:spacing w:line="360" w:lineRule="auto"/>
      </w:pPr>
      <w:r>
        <w:rPr>
          <w:rFonts w:hint="eastAsia" w:ascii="宋体" w:hAnsi="宋体" w:eastAsia="宋体"/>
          <w:b/>
          <w:bCs/>
          <w:color w:val="000000"/>
          <w:sz w:val="24"/>
        </w:rPr>
        <w:t xml:space="preserve">（1）尽快出台省级专项政策</w:t>
      </w:r>
    </w:p>
    <w:p>
      <w:pPr>
        <w:pStyle w:val="BodyText"/>
        <w:spacing w:line="360" w:lineRule="auto"/>
      </w:pPr>
      <w:r>
        <w:rPr>
          <w:rFonts w:hint="eastAsia" w:ascii="宋体" w:hAnsi="宋体" w:eastAsia="宋体"/>
          <w:color w:val="000000"/>
          <w:sz w:val="24"/>
        </w:rPr>
        <w:t xml:space="preserve">这是最关键的一步。建议参照山东、湖北等省份经验，尽快制定省级政务数据开放管理办法。政策应明确：</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数据开放的范围、标准和流程</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各部门的数据开放责任清单</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数据质量要求和更新频率</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考核评估机制和问责条款</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安全保障和隐私保护规范</w:t>
      </w:r>
    </w:p>
    <w:p>
      <w:pPr>
        <w:pStyle w:val="BodyText"/>
        <w:spacing w:line="360" w:lineRule="auto"/>
      </w:pPr>
      <w:r>
        <w:rPr>
          <w:rFonts w:hint="eastAsia" w:ascii="宋体" w:hAnsi="宋体" w:eastAsia="宋体"/>
          <w:b/>
          <w:bCs/>
          <w:color w:val="000000"/>
          <w:sz w:val="24"/>
        </w:rPr>
        <w:t xml:space="preserve">（2）建立跨部门协调机制</w:t>
      </w:r>
    </w:p>
    <w:p>
      <w:pPr>
        <w:pStyle w:val="BodyText"/>
        <w:spacing w:line="360" w:lineRule="auto"/>
      </w:pPr>
      <w:r>
        <w:rPr>
          <w:rFonts w:hint="eastAsia" w:ascii="宋体" w:hAnsi="宋体" w:eastAsia="宋体"/>
          <w:color w:val="000000"/>
          <w:sz w:val="24"/>
        </w:rPr>
        <w:t xml:space="preserve">设立省级数据开放工作领导小组，由分管副省长任组长，统筹协调各部门数据开放工作。建立”数据开放联络员”制度，每个部门指定专人负责数据上传和更新。</w:t>
      </w:r>
    </w:p>
    <w:p>
      <w:pPr>
        <w:pStyle w:val="BodyText"/>
        <w:spacing w:line="360" w:lineRule="auto"/>
      </w:pPr>
      <w:r>
        <w:rPr>
          <w:rFonts w:hint="eastAsia" w:ascii="宋体" w:hAnsi="宋体" w:eastAsia="宋体"/>
          <w:b/>
          <w:bCs/>
          <w:color w:val="000000"/>
          <w:sz w:val="24"/>
        </w:rPr>
        <w:t xml:space="preserve">（3）培育数据应用生态</w:t>
      </w:r>
    </w:p>
    <w:p>
      <w:pPr>
        <w:pStyle w:val="Compact"/>
        <w:numPr>
          <w:ilvl w:val="0"/>
          <w:numId w:val="1006"/>
        </w:numPr>
        <w:spacing w:line="360" w:lineRule="auto"/>
      </w:pPr>
      <w:r>
        <w:rPr>
          <w:rFonts w:hint="eastAsia" w:ascii="宋体" w:hAnsi="宋体" w:eastAsia="宋体"/>
          <w:color w:val="000000"/>
          <w:sz w:val="24"/>
        </w:rPr>
        <w:t xml:space="preserve">举办省级开放数据创新应用大赛，吸引企业、高校、社会组织参与</w:t>
      </w:r>
    </w:p>
    <w:p>
      <w:pPr>
        <w:pStyle w:val="Compact"/>
        <w:numPr>
          <w:ilvl w:val="0"/>
          <w:numId w:val="1006"/>
        </w:numPr>
        <w:spacing w:line="360" w:lineRule="auto"/>
      </w:pPr>
      <w:r>
        <w:rPr>
          <w:rFonts w:hint="eastAsia" w:ascii="宋体" w:hAnsi="宋体" w:eastAsia="宋体"/>
          <w:color w:val="000000"/>
          <w:sz w:val="24"/>
        </w:rPr>
        <w:t xml:space="preserve">设立数据应用孵化基金，支持优秀数据应用项目落地</w:t>
      </w:r>
    </w:p>
    <w:p>
      <w:pPr>
        <w:pStyle w:val="Compact"/>
        <w:numPr>
          <w:ilvl w:val="0"/>
          <w:numId w:val="1006"/>
        </w:numPr>
        <w:spacing w:line="360" w:lineRule="auto"/>
      </w:pPr>
      <w:r>
        <w:rPr>
          <w:rFonts w:hint="eastAsia" w:ascii="宋体" w:hAnsi="宋体" w:eastAsia="宋体"/>
          <w:color w:val="000000"/>
          <w:sz w:val="24"/>
        </w:rPr>
        <w:t xml:space="preserve">建立”数据开放成效展示”专栏，定期发布数据应用案例</w:t>
      </w:r>
    </w:p>
    <w:p>
      <w:pPr>
        <w:pStyle w:val="Compact"/>
        <w:numPr>
          <w:ilvl w:val="0"/>
          <w:numId w:val="1006"/>
        </w:numPr>
        <w:spacing w:line="360" w:lineRule="auto"/>
      </w:pPr>
      <w:r>
        <w:rPr>
          <w:rFonts w:hint="eastAsia" w:ascii="宋体" w:hAnsi="宋体" w:eastAsia="宋体"/>
          <w:color w:val="000000"/>
          <w:sz w:val="24"/>
        </w:rPr>
        <w:t xml:space="preserve">与头部互联网企业合作，推动开放数据在民生服务中的应用</w:t>
      </w:r>
    </w:p>
    <w:p>
      <w:pPr>
        <w:pStyle w:val="FirstParagraph"/>
        <w:spacing w:line="360" w:lineRule="auto"/>
      </w:pPr>
      <w:r>
        <w:rPr>
          <w:rFonts w:hint="eastAsia" w:ascii="宋体" w:hAnsi="宋体" w:eastAsia="宋体"/>
          <w:b/>
          <w:bCs/>
          <w:color w:val="000000"/>
          <w:sz w:val="24"/>
        </w:rPr>
        <w:t xml:space="preserve">（4）纳入绩效考核</w:t>
      </w:r>
    </w:p>
    <w:p>
      <w:pPr>
        <w:pStyle w:val="BodyText"/>
        <w:spacing w:line="360" w:lineRule="auto"/>
      </w:pPr>
      <w:r>
        <w:rPr>
          <w:rFonts w:hint="eastAsia" w:ascii="宋体" w:hAnsi="宋体" w:eastAsia="宋体"/>
          <w:color w:val="000000"/>
          <w:sz w:val="24"/>
        </w:rPr>
        <w:t xml:space="preserve">将数据开放工作纳入地方政府绩效考核体系，设定量化指标（如数据集数量、更新频率、下载量、应用案例数等），与部门评优、领导考核挂钩。</w:t>
      </w:r>
    </w:p>
    <w:bookmarkEnd w:id="204"/>
    <w:bookmarkStart w:id="205" w:name="停滞型低绩效平台分类处置重新出发"/>
    <w:p>
      <w:pPr>
        <w:pStyle w:val="Heading4"/>
        <w:spacing w:line="360" w:lineRule="auto"/>
      </w:pPr>
      <w:r>
        <w:rPr>
          <w:rFonts w:ascii="宋体" w:hAnsi="宋体" w:eastAsia="宋体"/>
          <w:color w:val="000000"/>
          <w:sz w:val="24"/>
        </w:rPr>
        <w:t xml:space="preserve">7.3.3 </w:t>
      </w:r>
      <w:r>
        <w:rPr>
          <w:rFonts w:hint="eastAsia" w:ascii="宋体" w:hAnsi="宋体" w:eastAsia="宋体"/>
          <w:color w:val="000000"/>
          <w:sz w:val="24"/>
        </w:rPr>
        <w:t xml:space="preserve">停滞型低绩效平台：分类处置、重新出发</w:t>
      </w:r>
    </w:p>
    <w:p>
      <w:pPr>
        <w:pStyle w:val="FirstParagraph"/>
        <w:spacing w:line="360" w:lineRule="auto"/>
      </w:pPr>
      <w:r>
        <w:rPr>
          <w:rFonts w:hint="eastAsia" w:ascii="宋体" w:hAnsi="宋体" w:eastAsia="宋体"/>
          <w:color w:val="000000"/>
          <w:sz w:val="24"/>
        </w:rPr>
        <w:t xml:space="preserve">对于3个停滞型平台，需要</w:t>
      </w:r>
      <w:r>
        <w:rPr>
          <w:rFonts w:hint="eastAsia" w:ascii="宋体" w:hAnsi="宋体" w:eastAsia="宋体"/>
          <w:b/>
          <w:bCs/>
          <w:color w:val="000000"/>
          <w:sz w:val="24"/>
        </w:rPr>
        <w:t xml:space="preserve">分类施策、重新定位</w:t>
      </w:r>
      <w:r>
        <w:rPr>
          <w:rFonts w:hint="eastAsia" w:ascii="宋体" w:hAnsi="宋体" w:eastAsia="宋体"/>
          <w:color w:val="000000"/>
          <w:sz w:val="24"/>
        </w:rPr>
        <w:t xml:space="preserve">：</w:t>
      </w:r>
    </w:p>
    <w:p>
      <w:pPr>
        <w:pStyle w:val="BodyText"/>
        <w:spacing w:line="360" w:lineRule="auto"/>
      </w:pPr>
      <w:r>
        <w:rPr>
          <w:rFonts w:hint="eastAsia" w:ascii="宋体" w:hAnsi="宋体" w:eastAsia="宋体"/>
          <w:b/>
          <w:bCs/>
          <w:color w:val="000000"/>
          <w:sz w:val="24"/>
        </w:rPr>
        <w:t xml:space="preserve">（1）河南、云南：理顺”开放”与”运营”关系</w:t>
      </w:r>
    </w:p>
    <w:p>
      <w:pPr>
        <w:pStyle w:val="BodyText"/>
        <w:spacing w:line="360" w:lineRule="auto"/>
      </w:pPr>
      <w:r>
        <w:rPr>
          <w:rFonts w:hint="eastAsia" w:ascii="宋体" w:hAnsi="宋体" w:eastAsia="宋体"/>
          <w:color w:val="000000"/>
          <w:sz w:val="24"/>
        </w:rPr>
        <w:t xml:space="preserve">河南和云南的平台转型为数据交易平台，反映了地方政府的现实选择。建议：</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在数据交易中心内保留”公共数据开放”专区，确保基础公共数据的免费开放</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建立”开放数据清单”制度，明确哪些数据必须免费开放、哪些可以授权运营</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将数据运营的部分收益用于平台维护和数据质量提升，形成可持续机制</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定期评估开放数据的公众满意度，防止公共性丧失</w:t>
      </w:r>
    </w:p>
    <w:p>
      <w:pPr>
        <w:pStyle w:val="BodyText"/>
        <w:spacing w:line="360" w:lineRule="auto"/>
      </w:pPr>
      <w:r>
        <w:rPr>
          <w:rFonts w:hint="eastAsia" w:ascii="宋体" w:hAnsi="宋体" w:eastAsia="宋体"/>
          <w:b/>
          <w:bCs/>
          <w:color w:val="000000"/>
          <w:sz w:val="24"/>
        </w:rPr>
        <w:t xml:space="preserve">（2）山西：平台重启与资源整合</w:t>
      </w:r>
    </w:p>
    <w:p>
      <w:pPr>
        <w:pStyle w:val="BodyText"/>
        <w:spacing w:line="360" w:lineRule="auto"/>
      </w:pPr>
      <w:r>
        <w:rPr>
          <w:rFonts w:hint="eastAsia" w:ascii="宋体" w:hAnsi="宋体" w:eastAsia="宋体"/>
          <w:color w:val="000000"/>
          <w:sz w:val="24"/>
        </w:rPr>
        <w:t xml:space="preserve">山西省平台基本处于”僵尸”状态，需要重新出发：</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开展平台现状评估，识别技术和数据层面的问题</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借鉴邻近省份（如陕西、内蒙古）的经验，制定平台建设方案</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争取省级财政专项支持，解决平台运维的资金瓶颈</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考虑与山西省大数据中心或数字政府建设统筹规划，避免重复建设</w:t>
      </w:r>
    </w:p>
    <w:bookmarkEnd w:id="205"/>
    <w:bookmarkEnd w:id="206"/>
    <w:bookmarkStart w:id="211" w:name="政策建议"/>
    <w:p>
      <w:pPr>
        <w:pStyle w:val="Heading3"/>
        <w:spacing w:line="360" w:lineRule="auto"/>
      </w:pPr>
      <w:r>
        <w:rPr>
          <w:rFonts w:ascii="黑体" w:hAnsi="黑体" w:eastAsia="黑体"/>
          <w:b/>
          <w:color w:val="000000"/>
          <w:sz w:val="24"/>
        </w:rPr>
        <w:t xml:space="preserve">7.4 </w:t>
      </w:r>
      <w:r>
        <w:rPr>
          <w:rFonts w:hint="eastAsia" w:ascii="黑体" w:hAnsi="黑体" w:eastAsia="黑体"/>
          <w:b/>
          <w:color w:val="000000"/>
          <w:sz w:val="24"/>
        </w:rPr>
        <w:t xml:space="preserve">政策建议</w:t>
      </w:r>
    </w:p>
    <w:p>
      <w:pPr>
        <w:pStyle w:val="FirstParagraph"/>
        <w:spacing w:line="360" w:lineRule="auto"/>
      </w:pPr>
      <w:r>
        <w:rPr>
          <w:rFonts w:hint="eastAsia" w:ascii="宋体" w:hAnsi="宋体" w:eastAsia="宋体"/>
          <w:color w:val="000000"/>
          <w:sz w:val="24"/>
        </w:rPr>
        <w:t xml:space="preserve">基于上述分析，本研究提出以下政策建议：</w:t>
      </w:r>
    </w:p>
    <w:bookmarkStart w:id="207" w:name="国家层面完善顶层设计"/>
    <w:p>
      <w:pPr>
        <w:pStyle w:val="Heading4"/>
        <w:spacing w:line="360" w:lineRule="auto"/>
      </w:pPr>
      <w:r>
        <w:rPr>
          <w:rFonts w:ascii="宋体" w:hAnsi="宋体" w:eastAsia="宋体"/>
          <w:color w:val="000000"/>
          <w:sz w:val="24"/>
        </w:rPr>
        <w:t xml:space="preserve">7.4.1 </w:t>
      </w:r>
      <w:r>
        <w:rPr>
          <w:rFonts w:hint="eastAsia" w:ascii="宋体" w:hAnsi="宋体" w:eastAsia="宋体"/>
          <w:color w:val="000000"/>
          <w:sz w:val="24"/>
        </w:rPr>
        <w:t xml:space="preserve">国家层面：完善顶层设计</w:t>
      </w:r>
    </w:p>
    <w:p>
      <w:pPr>
        <w:pStyle w:val="FirstParagraph"/>
        <w:spacing w:line="360" w:lineRule="auto"/>
      </w:pPr>
      <w:r>
        <w:rPr>
          <w:rFonts w:hint="eastAsia" w:ascii="宋体" w:hAnsi="宋体" w:eastAsia="宋体"/>
          <w:b/>
          <w:bCs/>
          <w:color w:val="000000"/>
          <w:sz w:val="24"/>
        </w:rPr>
        <w:t xml:space="preserve">（1）出台《政府数据开放条例》</w:t>
      </w:r>
    </w:p>
    <w:p>
      <w:pPr>
        <w:pStyle w:val="BodyText"/>
        <w:spacing w:line="360" w:lineRule="auto"/>
      </w:pPr>
      <w:r>
        <w:rPr>
          <w:rFonts w:hint="eastAsia" w:ascii="宋体" w:hAnsi="宋体" w:eastAsia="宋体"/>
          <w:color w:val="000000"/>
          <w:sz w:val="24"/>
        </w:rPr>
        <w:t xml:space="preserve">目前开放政府数据主要依据政策文件（如《促进大数据发展行动纲要》），缺乏法律约束力。建议借鉴美国《开放政府数据法》（OPEN</w:t>
      </w:r>
      <w:r>
        <w:rPr>
          <w:rFonts w:ascii="宋体" w:hAnsi="宋体" w:eastAsia="宋体"/>
          <w:color w:val="000000"/>
          <w:sz w:val="24"/>
        </w:rPr>
        <w:t xml:space="preserve"> Government Data </w:t>
      </w:r>
      <w:r>
        <w:rPr>
          <w:rFonts w:hint="eastAsia" w:ascii="宋体" w:hAnsi="宋体" w:eastAsia="宋体"/>
          <w:color w:val="000000"/>
          <w:sz w:val="24"/>
        </w:rPr>
        <w:t xml:space="preserve">Act）、英国《数据保护法案》等经验，推动出台行政法规或法律，将数据开放从”政策倡导”提升为”法定职责”。条例应明确：</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政府数据开放的法律义务和范围</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数据开放的标准和质量要求</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公众的数据获取权和救济途径</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数据安全和个人隐私保护规范</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监督评估和问责机制</w:t>
      </w:r>
    </w:p>
    <w:p>
      <w:pPr>
        <w:pStyle w:val="BodyText"/>
        <w:spacing w:line="360" w:lineRule="auto"/>
      </w:pPr>
      <w:r>
        <w:rPr>
          <w:rFonts w:hint="eastAsia" w:ascii="宋体" w:hAnsi="宋体" w:eastAsia="宋体"/>
          <w:b/>
          <w:bCs/>
          <w:color w:val="000000"/>
          <w:sz w:val="24"/>
        </w:rPr>
        <w:t xml:space="preserve">（2）建立全国统一的数据开放标准体系</w:t>
      </w:r>
    </w:p>
    <w:p>
      <w:pPr>
        <w:pStyle w:val="BodyText"/>
        <w:spacing w:line="360" w:lineRule="auto"/>
      </w:pPr>
      <w:r>
        <w:rPr>
          <w:rFonts w:hint="eastAsia" w:ascii="宋体" w:hAnsi="宋体" w:eastAsia="宋体"/>
          <w:color w:val="000000"/>
          <w:sz w:val="24"/>
        </w:rPr>
        <w:t xml:space="preserve">当前各平台的数据格式、元数据标准、API规范不统一，增加了数据使用的成本。建议国家数据局牵头制定：</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《政府数据开放元数据标准》</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《政府数据开放API技术规范》</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《政府数据质量评估指南》</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《政府数据开放平台建设指南》</w:t>
      </w:r>
    </w:p>
    <w:p>
      <w:pPr>
        <w:pStyle w:val="BodyText"/>
        <w:spacing w:line="360" w:lineRule="auto"/>
      </w:pPr>
      <w:r>
        <w:rPr>
          <w:rFonts w:hint="eastAsia" w:ascii="宋体" w:hAnsi="宋体" w:eastAsia="宋体"/>
          <w:b/>
          <w:bCs/>
          <w:color w:val="000000"/>
          <w:sz w:val="24"/>
        </w:rPr>
        <w:t xml:space="preserve">（3）设立”开放政府数据”专项资金</w:t>
      </w:r>
    </w:p>
    <w:p>
      <w:pPr>
        <w:pStyle w:val="BodyText"/>
        <w:spacing w:line="360" w:lineRule="auto"/>
      </w:pPr>
      <w:r>
        <w:rPr>
          <w:rFonts w:hint="eastAsia" w:ascii="宋体" w:hAnsi="宋体" w:eastAsia="宋体"/>
          <w:color w:val="000000"/>
          <w:sz w:val="24"/>
        </w:rPr>
        <w:t xml:space="preserve">建议中央财政设立专项资金，对中西部地区和低绩效省份给予倾斜支持。资金用途包括：</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平台建设和技术升级</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数据治理和质量提升</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应用推广和生态培育</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人员培训和能力建设</w:t>
      </w:r>
    </w:p>
    <w:bookmarkEnd w:id="207"/>
    <w:bookmarkStart w:id="208" w:name="省级层面强化制度执行"/>
    <w:p>
      <w:pPr>
        <w:pStyle w:val="Heading4"/>
        <w:spacing w:line="360" w:lineRule="auto"/>
      </w:pPr>
      <w:r>
        <w:rPr>
          <w:rFonts w:ascii="宋体" w:hAnsi="宋体" w:eastAsia="宋体"/>
          <w:color w:val="000000"/>
          <w:sz w:val="24"/>
        </w:rPr>
        <w:t xml:space="preserve">7.4.2 </w:t>
      </w:r>
      <w:r>
        <w:rPr>
          <w:rFonts w:hint="eastAsia" w:ascii="宋体" w:hAnsi="宋体" w:eastAsia="宋体"/>
          <w:color w:val="000000"/>
          <w:sz w:val="24"/>
        </w:rPr>
        <w:t xml:space="preserve">省级层面：强化制度执行</w:t>
      </w:r>
    </w:p>
    <w:p>
      <w:pPr>
        <w:pStyle w:val="FirstParagraph"/>
        <w:spacing w:line="360" w:lineRule="auto"/>
      </w:pPr>
      <w:r>
        <w:rPr>
          <w:rFonts w:hint="eastAsia" w:ascii="宋体" w:hAnsi="宋体" w:eastAsia="宋体"/>
          <w:b/>
          <w:bCs/>
          <w:color w:val="000000"/>
          <w:sz w:val="24"/>
        </w:rPr>
        <w:t xml:space="preserve">（1）将数据开放纳入”一把手”工程</w:t>
      </w:r>
    </w:p>
    <w:p>
      <w:pPr>
        <w:pStyle w:val="BodyText"/>
        <w:spacing w:line="360" w:lineRule="auto"/>
      </w:pPr>
      <w:r>
        <w:rPr>
          <w:rFonts w:hint="eastAsia" w:ascii="宋体" w:hAnsi="宋体" w:eastAsia="宋体"/>
          <w:color w:val="000000"/>
          <w:sz w:val="24"/>
        </w:rPr>
        <w:t xml:space="preserve">省级政府应将数据开放作为数字政府建设的重要内容，由分管副省长直接推动。建立”省级数据开放工作联席会议”制度，定期协调解决问题。</w:t>
      </w:r>
    </w:p>
    <w:p>
      <w:pPr>
        <w:pStyle w:val="BodyText"/>
        <w:spacing w:line="360" w:lineRule="auto"/>
      </w:pPr>
      <w:r>
        <w:rPr>
          <w:rFonts w:hint="eastAsia" w:ascii="宋体" w:hAnsi="宋体" w:eastAsia="宋体"/>
          <w:b/>
          <w:bCs/>
          <w:color w:val="000000"/>
          <w:sz w:val="24"/>
        </w:rPr>
        <w:t xml:space="preserve">（2）建立数据开放”负面清单”制度</w:t>
      </w:r>
    </w:p>
    <w:p>
      <w:pPr>
        <w:pStyle w:val="BodyText"/>
        <w:spacing w:line="360" w:lineRule="auto"/>
      </w:pPr>
      <w:r>
        <w:rPr>
          <w:rFonts w:hint="eastAsia" w:ascii="宋体" w:hAnsi="宋体" w:eastAsia="宋体"/>
          <w:color w:val="000000"/>
          <w:sz w:val="24"/>
        </w:rPr>
        <w:t xml:space="preserve">明确哪些数据不得开放（涉及国家秘密、商业秘密、个人隐私），负面清单之外的数据原则上应全部开放。这有助于消除各部门”怕担责”的顾虑。</w:t>
      </w:r>
    </w:p>
    <w:p>
      <w:pPr>
        <w:pStyle w:val="BodyText"/>
        <w:spacing w:line="360" w:lineRule="auto"/>
      </w:pPr>
      <w:r>
        <w:rPr>
          <w:rFonts w:hint="eastAsia" w:ascii="宋体" w:hAnsi="宋体" w:eastAsia="宋体"/>
          <w:b/>
          <w:bCs/>
          <w:color w:val="000000"/>
          <w:sz w:val="24"/>
        </w:rPr>
        <w:t xml:space="preserve">（3）推行数据开放”清单式”管理</w:t>
      </w:r>
    </w:p>
    <w:p>
      <w:pPr>
        <w:pStyle w:val="BodyText"/>
        <w:spacing w:line="360" w:lineRule="auto"/>
      </w:pPr>
      <w:r>
        <w:rPr>
          <w:rFonts w:hint="eastAsia" w:ascii="宋体" w:hAnsi="宋体" w:eastAsia="宋体"/>
          <w:color w:val="000000"/>
          <w:sz w:val="24"/>
        </w:rPr>
        <w:t xml:space="preserve">建立省级数据开放责任清单，明确每个部门应开放的数据集名称、更新频率、质量标准。将清单完成情况纳入部门年度考核。</w:t>
      </w:r>
    </w:p>
    <w:bookmarkEnd w:id="208"/>
    <w:bookmarkStart w:id="209" w:name="平台层面提升服务质量"/>
    <w:p>
      <w:pPr>
        <w:pStyle w:val="Heading4"/>
        <w:spacing w:line="360" w:lineRule="auto"/>
      </w:pPr>
      <w:r>
        <w:rPr>
          <w:rFonts w:ascii="宋体" w:hAnsi="宋体" w:eastAsia="宋体"/>
          <w:color w:val="000000"/>
          <w:sz w:val="24"/>
        </w:rPr>
        <w:t xml:space="preserve">7.4.3 </w:t>
      </w:r>
      <w:r>
        <w:rPr>
          <w:rFonts w:hint="eastAsia" w:ascii="宋体" w:hAnsi="宋体" w:eastAsia="宋体"/>
          <w:color w:val="000000"/>
          <w:sz w:val="24"/>
        </w:rPr>
        <w:t xml:space="preserve">平台层面：提升服务质量</w:t>
      </w:r>
    </w:p>
    <w:p>
      <w:pPr>
        <w:pStyle w:val="FirstParagraph"/>
        <w:spacing w:line="360" w:lineRule="auto"/>
      </w:pPr>
      <w:r>
        <w:rPr>
          <w:rFonts w:hint="eastAsia" w:ascii="宋体" w:hAnsi="宋体" w:eastAsia="宋体"/>
          <w:b/>
          <w:bCs/>
          <w:color w:val="000000"/>
          <w:sz w:val="24"/>
        </w:rPr>
        <w:t xml:space="preserve">（1）建立用户反馈闭环机制</w:t>
      </w:r>
    </w:p>
    <w:p>
      <w:pPr>
        <w:pStyle w:val="BodyText"/>
        <w:spacing w:line="360" w:lineRule="auto"/>
      </w:pPr>
      <w:r>
        <w:rPr>
          <w:rFonts w:hint="eastAsia" w:ascii="宋体" w:hAnsi="宋体" w:eastAsia="宋体"/>
          <w:color w:val="000000"/>
          <w:sz w:val="24"/>
        </w:rPr>
        <w:t xml:space="preserve">平台应提供数据需求提交、质量投诉、使用反馈等功能，并建立”收集-处理-回应”的闭环机制。定期发布用户满意度调查报告。</w:t>
      </w:r>
    </w:p>
    <w:p>
      <w:pPr>
        <w:pStyle w:val="BodyText"/>
        <w:spacing w:line="360" w:lineRule="auto"/>
      </w:pPr>
      <w:r>
        <w:rPr>
          <w:rFonts w:hint="eastAsia" w:ascii="宋体" w:hAnsi="宋体" w:eastAsia="宋体"/>
          <w:b/>
          <w:bCs/>
          <w:color w:val="000000"/>
          <w:sz w:val="24"/>
        </w:rPr>
        <w:t xml:space="preserve">（2）提供数据服务而非仅数据发布</w:t>
      </w:r>
    </w:p>
    <w:p>
      <w:pPr>
        <w:pStyle w:val="BodyText"/>
        <w:spacing w:line="360" w:lineRule="auto"/>
      </w:pPr>
      <w:r>
        <w:rPr>
          <w:rFonts w:hint="eastAsia" w:ascii="宋体" w:hAnsi="宋体" w:eastAsia="宋体"/>
          <w:color w:val="000000"/>
          <w:sz w:val="24"/>
        </w:rPr>
        <w:t xml:space="preserve">从”提供数据集”升级为”提供数据服务”，包括：</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数据可视化分析工具</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API调用和沙箱测试环境</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数据使用教程和案例库</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开发者社区和技术支持</w:t>
      </w:r>
    </w:p>
    <w:p>
      <w:pPr>
        <w:pStyle w:val="BodyText"/>
        <w:spacing w:line="360" w:lineRule="auto"/>
      </w:pPr>
      <w:r>
        <w:rPr>
          <w:rFonts w:hint="eastAsia" w:ascii="宋体" w:hAnsi="宋体" w:eastAsia="宋体"/>
          <w:b/>
          <w:bCs/>
          <w:color w:val="000000"/>
          <w:sz w:val="24"/>
        </w:rPr>
        <w:t xml:space="preserve">（3）加强数据质量持续改进</w:t>
      </w:r>
    </w:p>
    <w:p>
      <w:pPr>
        <w:pStyle w:val="BodyText"/>
        <w:spacing w:line="360" w:lineRule="auto"/>
      </w:pPr>
      <w:r>
        <w:rPr>
          <w:rFonts w:hint="eastAsia" w:ascii="宋体" w:hAnsi="宋体" w:eastAsia="宋体"/>
          <w:color w:val="000000"/>
          <w:sz w:val="24"/>
        </w:rPr>
        <w:t xml:space="preserve">建立数据质量自动检测机制，定期扫描数据集的完整性、准确性、时效性。对质量问题数据及时下架或标注。</w:t>
      </w:r>
    </w:p>
    <w:bookmarkEnd w:id="209"/>
    <w:bookmarkStart w:id="210" w:name="社会层面培育数据应用生态"/>
    <w:p>
      <w:pPr>
        <w:pStyle w:val="Heading4"/>
        <w:spacing w:line="360" w:lineRule="auto"/>
      </w:pPr>
      <w:r>
        <w:rPr>
          <w:rFonts w:ascii="宋体" w:hAnsi="宋体" w:eastAsia="宋体"/>
          <w:color w:val="000000"/>
          <w:sz w:val="24"/>
        </w:rPr>
        <w:t xml:space="preserve">7.4.4 </w:t>
      </w:r>
      <w:r>
        <w:rPr>
          <w:rFonts w:hint="eastAsia" w:ascii="宋体" w:hAnsi="宋体" w:eastAsia="宋体"/>
          <w:color w:val="000000"/>
          <w:sz w:val="24"/>
        </w:rPr>
        <w:t xml:space="preserve">社会层面：培育数据应用生态</w:t>
      </w:r>
    </w:p>
    <w:p>
      <w:pPr>
        <w:pStyle w:val="FirstParagraph"/>
        <w:spacing w:line="360" w:lineRule="auto"/>
      </w:pPr>
      <w:r>
        <w:rPr>
          <w:rFonts w:hint="eastAsia" w:ascii="宋体" w:hAnsi="宋体" w:eastAsia="宋体"/>
          <w:b/>
          <w:bCs/>
          <w:color w:val="000000"/>
          <w:sz w:val="24"/>
        </w:rPr>
        <w:t xml:space="preserve">（1）支持数据应用创新创业</w:t>
      </w:r>
    </w:p>
    <w:p>
      <w:pPr>
        <w:pStyle w:val="BodyText"/>
        <w:spacing w:line="360" w:lineRule="auto"/>
      </w:pPr>
      <w:r>
        <w:rPr>
          <w:rFonts w:hint="eastAsia" w:ascii="宋体" w:hAnsi="宋体" w:eastAsia="宋体"/>
          <w:color w:val="000000"/>
          <w:sz w:val="24"/>
        </w:rPr>
        <w:t xml:space="preserve">将开放政府数据应用纳入”双创”支持范围，为基于开放数据的创业项目提供税收优惠、融资支持、场地扶持等。</w:t>
      </w:r>
    </w:p>
    <w:p>
      <w:pPr>
        <w:pStyle w:val="BodyText"/>
        <w:spacing w:line="360" w:lineRule="auto"/>
      </w:pPr>
      <w:r>
        <w:rPr>
          <w:rFonts w:hint="eastAsia" w:ascii="宋体" w:hAnsi="宋体" w:eastAsia="宋体"/>
          <w:b/>
          <w:bCs/>
          <w:color w:val="000000"/>
          <w:sz w:val="24"/>
        </w:rPr>
        <w:t xml:space="preserve">（2）加强数据素养教育</w:t>
      </w:r>
    </w:p>
    <w:p>
      <w:pPr>
        <w:pStyle w:val="BodyText"/>
        <w:spacing w:line="360" w:lineRule="auto"/>
      </w:pPr>
      <w:r>
        <w:rPr>
          <w:rFonts w:hint="eastAsia" w:ascii="宋体" w:hAnsi="宋体" w:eastAsia="宋体"/>
          <w:color w:val="000000"/>
          <w:sz w:val="24"/>
        </w:rPr>
        <w:t xml:space="preserve">在高等教育和职业教育中增设”数据素养”课程，培养公众的数据获取、分析、应用能力。开展”数据开放进校园”活动，鼓励大学生利用开放数据开展科研和创新。</w:t>
      </w:r>
    </w:p>
    <w:p>
      <w:pPr>
        <w:pStyle w:val="BodyText"/>
        <w:spacing w:line="360" w:lineRule="auto"/>
      </w:pPr>
      <w:r>
        <w:rPr>
          <w:rFonts w:hint="eastAsia" w:ascii="宋体" w:hAnsi="宋体" w:eastAsia="宋体"/>
          <w:b/>
          <w:bCs/>
          <w:color w:val="000000"/>
          <w:sz w:val="24"/>
        </w:rPr>
        <w:t xml:space="preserve">（3）建立数据开放社会评价体系</w:t>
      </w:r>
    </w:p>
    <w:p>
      <w:pPr>
        <w:pStyle w:val="BodyText"/>
        <w:spacing w:line="360" w:lineRule="auto"/>
      </w:pPr>
      <w:r>
        <w:rPr>
          <w:rFonts w:hint="eastAsia" w:ascii="宋体" w:hAnsi="宋体" w:eastAsia="宋体"/>
          <w:color w:val="000000"/>
          <w:sz w:val="24"/>
        </w:rPr>
        <w:t xml:space="preserve">支持第三方机构（如高校、智库、行业协会）开展数据开放平台评估，发布年度评估报告，形成社会监督和良性竞争机制。</w:t>
      </w:r>
    </w:p>
    <w:bookmarkEnd w:id="210"/>
    <w:bookmarkEnd w:id="211"/>
    <w:bookmarkStart w:id="212" w:name="本章小结-2"/>
    <w:p>
      <w:pPr>
        <w:pStyle w:val="Heading3"/>
        <w:spacing w:line="360" w:lineRule="auto"/>
      </w:pPr>
      <w:r>
        <w:rPr>
          <w:rFonts w:ascii="黑体" w:hAnsi="黑体" w:eastAsia="黑体"/>
          <w:b/>
          <w:color w:val="000000"/>
          <w:sz w:val="24"/>
        </w:rPr>
        <w:t xml:space="preserve">7.5 </w:t>
      </w:r>
      <w:r>
        <w:rPr>
          <w:rFonts w:hint="eastAsia" w:ascii="黑体" w:hAnsi="黑体" w:eastAsia="黑体"/>
          <w:b/>
          <w:color w:val="000000"/>
          <w:sz w:val="24"/>
        </w:rPr>
        <w:t xml:space="preserve">本章小结</w:t>
      </w:r>
    </w:p>
    <w:p>
      <w:pPr>
        <w:pStyle w:val="FirstParagraph"/>
        <w:spacing w:line="360" w:lineRule="auto"/>
      </w:pPr>
      <w:r>
        <w:rPr>
          <w:rFonts w:hint="eastAsia" w:ascii="宋体" w:hAnsi="宋体" w:eastAsia="宋体"/>
          <w:color w:val="000000"/>
          <w:sz w:val="24"/>
        </w:rPr>
        <w:t xml:space="preserve">本章基于第五章的绩效评估结果和第六章的影响因素分析，提出了省级政府数据开放平台绩效提升的系统策略：</w:t>
      </w:r>
    </w:p>
    <w:p>
      <w:pPr>
        <w:pStyle w:val="BodyText"/>
        <w:spacing w:line="360" w:lineRule="auto"/>
      </w:pPr>
      <w:r>
        <w:rPr>
          <w:rFonts w:hint="eastAsia" w:ascii="宋体" w:hAnsi="宋体" w:eastAsia="宋体"/>
          <w:b/>
          <w:bCs/>
          <w:color w:val="000000"/>
          <w:sz w:val="24"/>
        </w:rPr>
        <w:t xml:space="preserve">第一，绩效差异的深层原因可归结为制度环境、资源投入和应用生态三个维度。</w:t>
      </w:r>
      <w:r>
        <w:rPr>
          <w:rFonts w:ascii="宋体" w:hAnsi="宋体" w:eastAsia="宋体"/>
          <w:color w:val="000000"/>
          <w:sz w:val="24"/>
        </w:rPr>
        <w:t xml:space="preserve"> </w:t>
      </w:r>
      <w:r>
        <w:rPr>
          <w:rFonts w:hint="eastAsia" w:ascii="宋体" w:hAnsi="宋体" w:eastAsia="宋体"/>
          <w:color w:val="000000"/>
          <w:sz w:val="24"/>
        </w:rPr>
        <w:t xml:space="preserve">高绩效平台的共性是获得了制度保障、资源支持和应用价值的正向循环；低绩效平台则在不同维度存在短板。</w:t>
      </w:r>
    </w:p>
    <w:p>
      <w:pPr>
        <w:pStyle w:val="BodyText"/>
        <w:spacing w:line="360" w:lineRule="auto"/>
      </w:pPr>
      <w:r>
        <w:rPr>
          <w:rFonts w:hint="eastAsia" w:ascii="宋体" w:hAnsi="宋体" w:eastAsia="宋体"/>
          <w:b/>
          <w:bCs/>
          <w:color w:val="000000"/>
          <w:sz w:val="24"/>
        </w:rPr>
        <w:t xml:space="preserve">第二，平台从”开放”向”运营”的转型是新趋势，但需要平衡公共性与经济性。</w:t>
      </w:r>
      <w:r>
        <w:rPr>
          <w:rFonts w:ascii="宋体" w:hAnsi="宋体" w:eastAsia="宋体"/>
          <w:color w:val="000000"/>
          <w:sz w:val="24"/>
        </w:rPr>
        <w:t xml:space="preserve"> </w:t>
      </w:r>
      <w:r>
        <w:rPr>
          <w:rFonts w:hint="eastAsia" w:ascii="宋体" w:hAnsi="宋体" w:eastAsia="宋体"/>
          <w:color w:val="000000"/>
          <w:sz w:val="24"/>
        </w:rPr>
        <w:t xml:space="preserve">建议采取”公共数据优先开放、高价值数据授权运营”的双轨制。</w:t>
      </w:r>
    </w:p>
    <w:p>
      <w:pPr>
        <w:pStyle w:val="BodyText"/>
        <w:spacing w:line="360" w:lineRule="auto"/>
      </w:pPr>
      <w:r>
        <w:rPr>
          <w:rFonts w:hint="eastAsia" w:ascii="宋体" w:hAnsi="宋体" w:eastAsia="宋体"/>
          <w:b/>
          <w:bCs/>
          <w:color w:val="000000"/>
          <w:sz w:val="24"/>
        </w:rPr>
        <w:t xml:space="preserve">第三，提升策略应坚持分类施策。</w:t>
      </w:r>
      <w:r>
        <w:rPr>
          <w:rFonts w:ascii="宋体" w:hAnsi="宋体" w:eastAsia="宋体"/>
          <w:color w:val="000000"/>
          <w:sz w:val="24"/>
        </w:rPr>
        <w:t xml:space="preserve"> </w:t>
      </w:r>
      <w:r>
        <w:rPr>
          <w:rFonts w:hint="eastAsia" w:ascii="宋体" w:hAnsi="宋体" w:eastAsia="宋体"/>
          <w:color w:val="000000"/>
          <w:sz w:val="24"/>
        </w:rPr>
        <w:t xml:space="preserve">高绩效平台重在标杆引领和模式输出；功能型低绩效平台重在补齐政策短板和激活应用潜力；停滞型平台重在重新定位和资源整合。</w:t>
      </w:r>
    </w:p>
    <w:p>
      <w:pPr>
        <w:pStyle w:val="BodyText"/>
        <w:spacing w:line="360" w:lineRule="auto"/>
      </w:pPr>
      <w:r>
        <w:rPr>
          <w:rFonts w:hint="eastAsia" w:ascii="宋体" w:hAnsi="宋体" w:eastAsia="宋体"/>
          <w:b/>
          <w:bCs/>
          <w:color w:val="000000"/>
          <w:sz w:val="24"/>
        </w:rPr>
        <w:t xml:space="preserve">第四，需要从国家、省级、平台、社会四个层面协同发力。</w:t>
      </w:r>
      <w:r>
        <w:rPr>
          <w:rFonts w:ascii="宋体" w:hAnsi="宋体" w:eastAsia="宋体"/>
          <w:color w:val="000000"/>
          <w:sz w:val="24"/>
        </w:rPr>
        <w:t xml:space="preserve"> </w:t>
      </w:r>
      <w:r>
        <w:rPr>
          <w:rFonts w:hint="eastAsia" w:ascii="宋体" w:hAnsi="宋体" w:eastAsia="宋体"/>
          <w:color w:val="000000"/>
          <w:sz w:val="24"/>
        </w:rPr>
        <w:t xml:space="preserve">国家层面完善法律标准和资金保障；省级层面强化制度执行和绩效考核；平台层面提升服务质量和用户体验；社会层面培育应用生态和数据素养。</w:t>
      </w:r>
    </w:p>
    <w:p>
      <w:pPr>
        <w:pStyle w:val="BodyText"/>
        <w:spacing w:line="360" w:lineRule="auto"/>
      </w:pPr>
      <w:r>
        <w:rPr>
          <w:rFonts w:hint="eastAsia" w:ascii="宋体" w:hAnsi="宋体" w:eastAsia="宋体"/>
          <w:color w:val="000000"/>
          <w:sz w:val="24"/>
        </w:rPr>
        <w:t xml:space="preserve">本章提出的策略建议具有明确的实证基础和分类逻辑，为不同绩效水平的省份提供了可操作的提升路径。</w:t>
      </w:r>
    </w:p>
    <w:p>
      <w:pPr>
        <w:spacing w:line="360" w:lineRule="auto"/>
      </w:pPr>
      <w:r>
        <w:rPr>
          <w:rFonts w:ascii="宋体" w:hAnsi="宋体" w:eastAsia="宋体"/>
          <w:color w:val="000000"/>
          <w:sz w:val="24"/>
        </w:rPr>
        <w:pict>
          <v:rect style="width:0;height:1.5pt" o:hralign="center" o:hrstd="t" o:hr="t"/>
        </w:pict>
      </w:r>
    </w:p>
    <w:bookmarkEnd w:id="212"/>
    <w:bookmarkEnd w:id="213"/>
    <w:bookmarkStart w:id="240" w:name="第8章-第八章-结论与展望"/>
    <w:p>
      <w:pPr>
        <w:pStyle w:val="Heading1"/>
        <w:spacing w:line="360" w:lineRule="auto"/>
        <w:jc w:val="center"/>
      </w:pPr>
      <w:r>
        <w:rPr>
          <w:rFonts w:hint="eastAsia" w:ascii="黑体" w:hAnsi="黑体" w:eastAsia="黑体"/>
          <w:b/>
          <w:color w:val="000000"/>
          <w:sz w:val="32"/>
        </w:rPr>
        <w:t xml:space="preserve">第8章</w:t>
      </w:r>
      <w:r>
        <w:rPr>
          <w:rFonts w:ascii="黑体" w:hAnsi="黑体" w:eastAsia="黑体"/>
          <w:b/>
          <w:color w:val="000000"/>
          <w:sz w:val="32"/>
        </w:rPr>
        <w:t xml:space="preserve"> </w:t>
      </w:r>
      <w:r>
        <w:rPr>
          <w:rFonts w:hint="eastAsia" w:ascii="黑体" w:hAnsi="黑体" w:eastAsia="黑体"/>
          <w:b/>
          <w:color w:val="000000"/>
          <w:sz w:val="32"/>
        </w:rPr>
        <w:t xml:space="preserve">第八章</w:t>
      </w:r>
      <w:r>
        <w:rPr>
          <w:rFonts w:ascii="黑体" w:hAnsi="黑体" w:eastAsia="黑体"/>
          <w:b/>
          <w:color w:val="000000"/>
          <w:sz w:val="32"/>
        </w:rPr>
        <w:t xml:space="preserve"> </w:t>
      </w:r>
      <w:r>
        <w:rPr>
          <w:rFonts w:hint="eastAsia" w:ascii="黑体" w:hAnsi="黑体" w:eastAsia="黑体"/>
          <w:b/>
          <w:color w:val="000000"/>
          <w:sz w:val="32"/>
        </w:rPr>
        <w:t xml:space="preserve">结论与展望</w:t>
      </w:r>
    </w:p>
    <w:bookmarkStart w:id="214" w:name="主要研究结论"/>
    <w:p>
      <w:pPr>
        <w:pStyle w:val="Heading3"/>
        <w:spacing w:line="360" w:lineRule="auto"/>
      </w:pPr>
      <w:r>
        <w:rPr>
          <w:rFonts w:ascii="黑体" w:hAnsi="黑体" w:eastAsia="黑体"/>
          <w:b/>
          <w:color w:val="000000"/>
          <w:sz w:val="24"/>
        </w:rPr>
        <w:t xml:space="preserve">8.1 </w:t>
      </w:r>
      <w:r>
        <w:rPr>
          <w:rFonts w:hint="eastAsia" w:ascii="黑体" w:hAnsi="黑体" w:eastAsia="黑体"/>
          <w:b/>
          <w:color w:val="000000"/>
          <w:sz w:val="24"/>
        </w:rPr>
        <w:t xml:space="preserve">主要研究结论</w:t>
      </w:r>
    </w:p>
    <w:p>
      <w:pPr>
        <w:pStyle w:val="FirstParagraph"/>
        <w:spacing w:line="360" w:lineRule="auto"/>
      </w:pPr>
      <w:r>
        <w:rPr>
          <w:rFonts w:hint="eastAsia" w:ascii="宋体" w:hAnsi="宋体" w:eastAsia="宋体"/>
          <w:color w:val="000000"/>
          <w:sz w:val="24"/>
        </w:rPr>
        <w:t xml:space="preserve">本研究以全国31个省级行政区的政府数据开放平台为研究对象，基于4E绩效评估框架，运用TOPSIS、DEA、DEMATEL和fsQCA四种方法，系统评估了省级政府数据开放平台的建设绩效，并深入分析了绩效差异的形成机制和提升路径。通过自主开发的OGD-Collector</w:t>
      </w:r>
      <w:r>
        <w:rPr>
          <w:rFonts w:ascii="宋体" w:hAnsi="宋体" w:eastAsia="宋体"/>
          <w:color w:val="000000"/>
          <w:sz w:val="24"/>
        </w:rPr>
        <w:t xml:space="preserve"> </w:t>
      </w:r>
      <w:r>
        <w:rPr>
          <w:rFonts w:hint="eastAsia" w:ascii="宋体" w:hAnsi="宋体" w:eastAsia="宋体"/>
          <w:color w:val="000000"/>
          <w:sz w:val="24"/>
        </w:rPr>
        <w:t xml:space="preserve">Pro采集系统，本研究对22个有效样本平台进行了”一平台一议”的精准数据采集，建立了数据口径标准化体系，确保了评估结果的真实性和可比性。经过系统的实证分析，本研究得出以下五个主要结论：</w:t>
      </w:r>
    </w:p>
    <w:p>
      <w:pPr>
        <w:pStyle w:val="BodyText"/>
        <w:spacing w:line="360" w:lineRule="auto"/>
      </w:pPr>
      <w:r>
        <w:rPr>
          <w:rFonts w:hint="eastAsia" w:ascii="宋体" w:hAnsi="宋体" w:eastAsia="宋体"/>
          <w:b/>
          <w:bCs/>
          <w:color w:val="000000"/>
          <w:sz w:val="24"/>
        </w:rPr>
        <w:t xml:space="preserve">结论一：我国省级政府数据开放平台绩效呈现显著的”头部效应”和”区域差异”。</w:t>
      </w:r>
    </w:p>
    <w:p>
      <w:pPr>
        <w:pStyle w:val="BodyText"/>
        <w:spacing w:line="360" w:lineRule="auto"/>
      </w:pPr>
      <w:r>
        <w:rPr>
          <w:rFonts w:hint="eastAsia" w:ascii="宋体" w:hAnsi="宋体" w:eastAsia="宋体"/>
          <w:color w:val="000000"/>
          <w:sz w:val="24"/>
        </w:rPr>
        <w:t xml:space="preserve">22个有效样本平台的绩效评估结果显示，数据集数量的变异系数高达1.79，各平台之间的数据开放规模差异极大。排名前三的广东省（97,528个）、山东省（50,925个）、浙江省（38,000个）合计占总量的68.3%，呈现出明显的”头部效应”。从区域分布来看，东部地区的平台数据开放水平显著高于中西部和东北地区——东部地区9个平台的标准化总量为198,162个，均值22,018个；中部地区6个平台标准化总量25,471个，均值4,245个；西部地区5个平台标准化总量44,968个，均值8,994个；东北地区2个平台标准化总量5,338个，均值2,669个。这种区域差异与经济发展水平、信息化基础和数字政府建设进程密切相关，但并非简单的线性关系——贵州省凭借大数据综合试验区的政策优势实现了”后发赶超”，表明制度创新和政策支持可以弥补经济基础的不足。</w:t>
      </w:r>
    </w:p>
    <w:p>
      <w:pPr>
        <w:pStyle w:val="BodyText"/>
        <w:spacing w:line="360" w:lineRule="auto"/>
      </w:pPr>
      <w:r>
        <w:rPr>
          <w:rFonts w:hint="eastAsia" w:ascii="宋体" w:hAnsi="宋体" w:eastAsia="宋体"/>
          <w:b/>
          <w:bCs/>
          <w:color w:val="000000"/>
          <w:sz w:val="24"/>
        </w:rPr>
        <w:t xml:space="preserve">结论二：数据开放规模是平台绩效的”门槛条件”。</w:t>
      </w:r>
    </w:p>
    <w:p>
      <w:pPr>
        <w:pStyle w:val="BodyText"/>
        <w:spacing w:line="360" w:lineRule="auto"/>
      </w:pPr>
      <w:r>
        <w:rPr>
          <w:rFonts w:hint="eastAsia" w:ascii="宋体" w:hAnsi="宋体" w:eastAsia="宋体"/>
          <w:color w:val="000000"/>
          <w:sz w:val="24"/>
        </w:rPr>
        <w:t xml:space="preserve">fsQCA组态分析明确揭示，数据集数量超过中位数（约3,383个）是高绩效的必要条件。在22个样本中，所有11个高绩效平台（TOPSIS得分≥0.18）的数据集数量均超过中位数，而所有11个低绩效平台的数据集数量均低于中位数。这一发现揭示了数据开放领域的”规模经济”特征——平台需要达到一定的数据规模才能形成用户粘性和应用生态。当数据规模不足时，即使平台功能完善、数据质量良好，也难以吸引足够多的用户和数据开发者，平台陷入”有平台无作为”的困境。这一结论对于低绩效平台的提升策略具有重要指导意义：扩大数据开放规模是提升绩效的”第一要务”，是跨越绩效门槛的必经之路。</w:t>
      </w:r>
    </w:p>
    <w:p>
      <w:pPr>
        <w:pStyle w:val="BodyText"/>
        <w:spacing w:line="360" w:lineRule="auto"/>
      </w:pPr>
      <w:r>
        <w:rPr>
          <w:rFonts w:hint="eastAsia" w:ascii="宋体" w:hAnsi="宋体" w:eastAsia="宋体"/>
          <w:b/>
          <w:bCs/>
          <w:color w:val="000000"/>
          <w:sz w:val="24"/>
        </w:rPr>
        <w:t xml:space="preserve">结论三：政策法规是影响平台绩效的核心驱动因素。</w:t>
      </w:r>
    </w:p>
    <w:p>
      <w:pPr>
        <w:pStyle w:val="BodyText"/>
        <w:spacing w:line="360" w:lineRule="auto"/>
      </w:pPr>
      <w:r>
        <w:rPr>
          <w:rFonts w:hint="eastAsia" w:ascii="宋体" w:hAnsi="宋体" w:eastAsia="宋体"/>
          <w:color w:val="000000"/>
          <w:sz w:val="24"/>
        </w:rPr>
        <w:t xml:space="preserve">DEMATEL因果关系分析表明，政策法规（PL）是最重要的”原因因素”，对组织保障和数据质量产生决定性影响。fsQCA分析进一步证实，政策法规是高绩效的”核心必要条件”——所有11个高绩效平台均有完善的政策法规支撑（PL=1），而全部11个低绩效平台缺乏专项政策（PL=0）。从机制上解释，政策法规的作用体现在三个层面：资源层面（为平台建设争取财政预算和人员编制）、协调层面（建立跨部门协调机制，打破”数据孤岛”）、规范层面（为数据开放提供标准规范）。这一结论表明，制度环境是开放政府数据发展的前提约束，没有专项政策法规支撑，平台难以实现高绩效。</w:t>
      </w:r>
    </w:p>
    <w:p>
      <w:pPr>
        <w:pStyle w:val="BodyText"/>
        <w:spacing w:line="360" w:lineRule="auto"/>
      </w:pPr>
      <w:r>
        <w:rPr>
          <w:rFonts w:hint="eastAsia" w:ascii="宋体" w:hAnsi="宋体" w:eastAsia="宋体"/>
          <w:b/>
          <w:bCs/>
          <w:color w:val="000000"/>
          <w:sz w:val="24"/>
        </w:rPr>
        <w:t xml:space="preserve">结论四：高绩效平台存在”浙江模式”和”山东模式”两种典型路径。</w:t>
      </w:r>
    </w:p>
    <w:p>
      <w:pPr>
        <w:pStyle w:val="BodyText"/>
        <w:spacing w:line="360" w:lineRule="auto"/>
      </w:pPr>
      <w:r>
        <w:rPr>
          <w:rFonts w:hint="eastAsia" w:ascii="宋体" w:hAnsi="宋体" w:eastAsia="宋体"/>
          <w:color w:val="000000"/>
          <w:sz w:val="24"/>
        </w:rPr>
        <w:t xml:space="preserve">基于对11个高绩效平台的深入分析，本研究识别出两种典型的发展模式：</w:t>
      </w:r>
      <w:r>
        <w:rPr>
          <w:rFonts w:hint="eastAsia" w:ascii="宋体" w:hAnsi="宋体" w:eastAsia="宋体"/>
          <w:color w:val="000000"/>
          <w:sz w:val="24"/>
        </w:rPr>
        <w:t xml:space="preserve">“浙江模式”</w:t>
      </w:r>
      <w:r>
        <w:rPr>
          <w:rFonts w:hint="eastAsia" w:ascii="宋体" w:hAnsi="宋体" w:eastAsia="宋体"/>
          <w:color w:val="000000"/>
          <w:sz w:val="24"/>
        </w:rPr>
        <w:t xml:space="preserve">以质量建设和应用驱动为核心，代表平台包括浙江、上海、北京、广东，其特征是数据质量极高（结构化率&gt;80%）、应用生态活跃（应用&gt;500个）、制度创新领先；</w:t>
      </w:r>
      <w:r>
        <w:rPr>
          <w:rFonts w:hint="eastAsia" w:ascii="宋体" w:hAnsi="宋体" w:eastAsia="宋体"/>
          <w:color w:val="000000"/>
          <w:sz w:val="24"/>
        </w:rPr>
        <w:t xml:space="preserve">“山东模式”</w:t>
      </w:r>
      <w:r>
        <w:rPr>
          <w:rFonts w:hint="eastAsia" w:ascii="宋体" w:hAnsi="宋体" w:eastAsia="宋体"/>
          <w:color w:val="000000"/>
          <w:sz w:val="24"/>
        </w:rPr>
        <w:t xml:space="preserve">以规模扩张和覆盖驱动为核心，代表平台包括山东、海南、重庆、湖北、贵州，其特征是数据集数量庞大（&gt;10,000个）、覆盖领域广泛（&gt;50个）、后发优势明显。两种模式并非对立关系，而是代表了高绩效平台发展的两个维度，为不同条件的低绩效平台提供了可借鉴的发展路径。</w:t>
      </w:r>
    </w:p>
    <w:p>
      <w:pPr>
        <w:pStyle w:val="BodyText"/>
        <w:spacing w:line="360" w:lineRule="auto"/>
      </w:pPr>
      <w:r>
        <w:rPr>
          <w:rFonts w:hint="eastAsia" w:ascii="宋体" w:hAnsi="宋体" w:eastAsia="宋体"/>
          <w:b/>
          <w:bCs/>
          <w:color w:val="000000"/>
          <w:sz w:val="24"/>
        </w:rPr>
        <w:t xml:space="preserve">结论五：平台从”开放”向”运营”的转型需要平衡公共性与经济性。</w:t>
      </w:r>
    </w:p>
    <w:p>
      <w:pPr>
        <w:pStyle w:val="BodyText"/>
        <w:spacing w:line="360" w:lineRule="auto"/>
      </w:pPr>
      <w:r>
        <w:rPr>
          <w:rFonts w:hint="eastAsia" w:ascii="宋体" w:hAnsi="宋体" w:eastAsia="宋体"/>
          <w:color w:val="000000"/>
          <w:sz w:val="24"/>
        </w:rPr>
        <w:t xml:space="preserve">河南省和云南省的平台转型（从”无条件开放”转向”授权运营/数据登记”）揭示了数据要素市场化改革背景下平台功能定位的演变趋势。这一转型反映了地方政府对数据价值的重新定位——从”公共服务品”转向”可变现资产”。然而，转型也带来了公共性丧失的风险。本研究建议采取”公共数据优先开放、高价值数据授权运营”的双轨制：基础公共数据（人口、法人、自然资源、信用等）应坚持免费开放，保障公众基本数据权利；高价值数据（医疗、金融、交通等）可探索授权运营，通过市场化机制释放数据价值；数据运营收益应反哺数据治理，形成可持续的开放生态。</w:t>
      </w:r>
    </w:p>
    <w:bookmarkEnd w:id="214"/>
    <w:bookmarkStart w:id="215" w:name="理论贡献"/>
    <w:p>
      <w:pPr>
        <w:pStyle w:val="Heading3"/>
        <w:spacing w:line="360" w:lineRule="auto"/>
      </w:pPr>
      <w:r>
        <w:rPr>
          <w:rFonts w:ascii="黑体" w:hAnsi="黑体" w:eastAsia="黑体"/>
          <w:b/>
          <w:color w:val="000000"/>
          <w:sz w:val="24"/>
        </w:rPr>
        <w:t xml:space="preserve">8.2 </w:t>
      </w:r>
      <w:r>
        <w:rPr>
          <w:rFonts w:hint="eastAsia" w:ascii="黑体" w:hAnsi="黑体" w:eastAsia="黑体"/>
          <w:b/>
          <w:color w:val="000000"/>
          <w:sz w:val="24"/>
        </w:rPr>
        <w:t xml:space="preserve">理论贡献</w:t>
      </w:r>
    </w:p>
    <w:p>
      <w:pPr>
        <w:pStyle w:val="FirstParagraph"/>
        <w:spacing w:line="360" w:lineRule="auto"/>
      </w:pPr>
      <w:r>
        <w:rPr>
          <w:rFonts w:hint="eastAsia" w:ascii="宋体" w:hAnsi="宋体" w:eastAsia="宋体"/>
          <w:color w:val="000000"/>
          <w:sz w:val="24"/>
        </w:rPr>
        <w:t xml:space="preserve">本研究的理论贡献主要体现在以下四个方面：</w:t>
      </w:r>
    </w:p>
    <w:p>
      <w:pPr>
        <w:pStyle w:val="BodyText"/>
        <w:spacing w:line="360" w:lineRule="auto"/>
      </w:pPr>
      <w:r>
        <w:rPr>
          <w:rFonts w:hint="eastAsia" w:ascii="宋体" w:hAnsi="宋体" w:eastAsia="宋体"/>
          <w:b/>
          <w:bCs/>
          <w:color w:val="000000"/>
          <w:sz w:val="24"/>
        </w:rPr>
        <w:t xml:space="preserve">第一，构建了基于4E框架的效果导向评估体系，推动政府数据开放评估范式从”供给导向”向”效果导向”转型。</w:t>
      </w:r>
    </w:p>
    <w:p>
      <w:pPr>
        <w:pStyle w:val="BodyText"/>
        <w:spacing w:line="360" w:lineRule="auto"/>
      </w:pPr>
      <w:r>
        <w:rPr>
          <w:rFonts w:hint="eastAsia" w:ascii="宋体" w:hAnsi="宋体" w:eastAsia="宋体"/>
          <w:color w:val="000000"/>
          <w:sz w:val="24"/>
        </w:rPr>
        <w:t xml:space="preserve">现有评估体系（如开放数林指数）主要衡量数据开放的数量、格式和可读性等供给侧指标，对数据是否被有效利用关注不足。本研究基于4E绩效评估框架（Economy经济性/供给保障、Efficiency效率性/平台服务+数据质量、Effectiveness效果性/利用效果、Equity公平性/覆盖均衡），构建了涵盖”供给-平台-质量-效果”的全链条评估体系，将绩效的界定从”开放了多少”拓展为”被利用了多少”。这一范式转变的理论贡献在于：它回应了公共价值理论对绩效本质的追问——公共资源的绩效不应仅以”是否可获取”为标准，更应以”是否产生了实际社会价值”为评判依据。</w:t>
      </w:r>
    </w:p>
    <w:p>
      <w:pPr>
        <w:pStyle w:val="BodyText"/>
        <w:spacing w:line="360" w:lineRule="auto"/>
      </w:pPr>
      <w:r>
        <w:rPr>
          <w:rFonts w:hint="eastAsia" w:ascii="宋体" w:hAnsi="宋体" w:eastAsia="宋体"/>
          <w:b/>
          <w:bCs/>
          <w:color w:val="000000"/>
          <w:sz w:val="24"/>
        </w:rPr>
        <w:t xml:space="preserve">第二，揭示了政府数据利用绩效形成的多重并发因果机制。</w:t>
      </w:r>
    </w:p>
    <w:p>
      <w:pPr>
        <w:pStyle w:val="BodyText"/>
        <w:spacing w:line="360" w:lineRule="auto"/>
      </w:pPr>
      <w:r>
        <w:rPr>
          <w:rFonts w:hint="eastAsia" w:ascii="宋体" w:hAnsi="宋体" w:eastAsia="宋体"/>
          <w:color w:val="000000"/>
          <w:sz w:val="24"/>
        </w:rPr>
        <w:t xml:space="preserve">传统回归分析假设因素间独立作用且效应线性可加，但本研究通过DEMATEL和fsQCA两种方法的交叉验证，揭示了绩效形成的复杂因果机制。DEMATEL分析识别了”原因因素”（政策法规、平台建设、应用效果）和”结果因素”（组织保障、数据质量）的层级结构，构建了”原因→结果”的因果链。fsQCA分析揭示了高绩效的唯一实现路径——</w:t>
      </w:r>
      <w:r>
        <w:rPr>
          <w:rFonts w:hint="eastAsia" w:ascii="宋体" w:hAnsi="宋体" w:eastAsia="宋体"/>
          <w:color w:val="000000"/>
          <w:sz w:val="24"/>
        </w:rPr>
        <w:t xml:space="preserve">“全要素达标”</w:t>
      </w:r>
      <w:r>
        <w:rPr>
          <w:rFonts w:hint="eastAsia" w:ascii="宋体" w:hAnsi="宋体" w:eastAsia="宋体"/>
          <w:color w:val="000000"/>
          <w:sz w:val="24"/>
        </w:rPr>
        <w:t xml:space="preserve">，不存在替代路径。这两种方法的一致发现表明，平台建设是系统工程，因素间存在强互补性，</w:t>
      </w:r>
      <w:r>
        <w:rPr>
          <w:rFonts w:hint="eastAsia" w:ascii="宋体" w:hAnsi="宋体" w:eastAsia="宋体"/>
          <w:color w:val="000000"/>
          <w:sz w:val="24"/>
        </w:rPr>
        <w:t xml:space="preserve">“单点突破”</w:t>
      </w:r>
      <w:r>
        <w:rPr>
          <w:rFonts w:hint="eastAsia" w:ascii="宋体" w:hAnsi="宋体" w:eastAsia="宋体"/>
          <w:color w:val="000000"/>
          <w:sz w:val="24"/>
        </w:rPr>
        <w:t xml:space="preserve">策略难以实现整体绩效提升。</w:t>
      </w:r>
    </w:p>
    <w:p>
      <w:pPr>
        <w:pStyle w:val="BodyText"/>
        <w:spacing w:line="360" w:lineRule="auto"/>
      </w:pPr>
      <w:r>
        <w:rPr>
          <w:rFonts w:hint="eastAsia" w:ascii="宋体" w:hAnsi="宋体" w:eastAsia="宋体"/>
          <w:b/>
          <w:bCs/>
          <w:color w:val="000000"/>
          <w:sz w:val="24"/>
        </w:rPr>
        <w:t xml:space="preserve">第三，提出了”数据口径幻觉”概念并进行了操作化测量。</w:t>
      </w:r>
    </w:p>
    <w:p>
      <w:pPr>
        <w:pStyle w:val="BodyText"/>
        <w:spacing w:line="360" w:lineRule="auto"/>
      </w:pPr>
      <w:r>
        <w:rPr>
          <w:rFonts w:hint="eastAsia" w:ascii="宋体" w:hAnsi="宋体" w:eastAsia="宋体"/>
          <w:color w:val="000000"/>
          <w:sz w:val="24"/>
        </w:rPr>
        <w:t xml:space="preserve">本研究发现，各平台对”数据集”的统计口径存在显著差异，平台对外宣传的数据集数量与实际有效数据集数量之间存在巨大差异。基于这一发现，本研究提出了”数据口径幻觉”概念，并建立了五类口径的转换系数体系（数据集1.0、数据目录0.8、数据产品0.5、数据登记0.3、首批清单0.4）。这一概念不仅揭示了现有评估体系的一个根本性盲区，也为平台运营者提供了纠偏方向——从追求”目录数量最大化”转向追求”有效供给最优化”。</w:t>
      </w:r>
    </w:p>
    <w:p>
      <w:pPr>
        <w:pStyle w:val="BodyText"/>
        <w:spacing w:line="360" w:lineRule="auto"/>
      </w:pPr>
      <w:r>
        <w:rPr>
          <w:rFonts w:hint="eastAsia" w:ascii="宋体" w:hAnsi="宋体" w:eastAsia="宋体"/>
          <w:b/>
          <w:bCs/>
          <w:color w:val="000000"/>
          <w:sz w:val="24"/>
        </w:rPr>
        <w:t xml:space="preserve">第四，识别了”浙江模式”和”山东模式”两种高绩效路径，丰富了政府数据开放发展的类型学知识。</w:t>
      </w:r>
    </w:p>
    <w:p>
      <w:pPr>
        <w:pStyle w:val="BodyText"/>
        <w:spacing w:line="360" w:lineRule="auto"/>
      </w:pPr>
      <w:r>
        <w:rPr>
          <w:rFonts w:hint="eastAsia" w:ascii="宋体" w:hAnsi="宋体" w:eastAsia="宋体"/>
          <w:color w:val="000000"/>
          <w:sz w:val="24"/>
        </w:rPr>
        <w:t xml:space="preserve">现有研究多将高绩效平台视为同质群体，本研究通过类型学分析识别出两种差异化的高绩效模式。</w:t>
      </w:r>
      <w:r>
        <w:rPr>
          <w:rFonts w:hint="eastAsia" w:ascii="宋体" w:hAnsi="宋体" w:eastAsia="宋体"/>
          <w:color w:val="000000"/>
          <w:sz w:val="24"/>
        </w:rPr>
        <w:t xml:space="preserve">“浙江模式”</w:t>
      </w:r>
      <w:r>
        <w:rPr>
          <w:rFonts w:hint="eastAsia" w:ascii="宋体" w:hAnsi="宋体" w:eastAsia="宋体"/>
          <w:color w:val="000000"/>
          <w:sz w:val="24"/>
        </w:rPr>
        <w:t xml:space="preserve">强调质量建设和应用驱动，适用于经济发达、创新活跃的省份；</w:t>
      </w:r>
      <w:r>
        <w:rPr>
          <w:rFonts w:hint="eastAsia" w:ascii="宋体" w:hAnsi="宋体" w:eastAsia="宋体"/>
          <w:color w:val="000000"/>
          <w:sz w:val="24"/>
        </w:rPr>
        <w:t xml:space="preserve">“山东模式”</w:t>
      </w:r>
      <w:r>
        <w:rPr>
          <w:rFonts w:hint="eastAsia" w:ascii="宋体" w:hAnsi="宋体" w:eastAsia="宋体"/>
          <w:color w:val="000000"/>
          <w:sz w:val="24"/>
        </w:rPr>
        <w:t xml:space="preserve">强调规模扩张和覆盖驱动，适用于数据资源丰富、产业基础好的省份。这一类型学发现为不同条件的平台提供了”因地制宜”的发展参考，避免了”一刀切”的政策建议。</w:t>
      </w:r>
    </w:p>
    <w:bookmarkEnd w:id="215"/>
    <w:bookmarkStart w:id="216" w:name="实践启示"/>
    <w:p>
      <w:pPr>
        <w:pStyle w:val="Heading3"/>
        <w:spacing w:line="360" w:lineRule="auto"/>
      </w:pPr>
      <w:r>
        <w:rPr>
          <w:rFonts w:ascii="黑体" w:hAnsi="黑体" w:eastAsia="黑体"/>
          <w:b/>
          <w:color w:val="000000"/>
          <w:sz w:val="24"/>
        </w:rPr>
        <w:t xml:space="preserve">8.3 </w:t>
      </w:r>
      <w:r>
        <w:rPr>
          <w:rFonts w:hint="eastAsia" w:ascii="黑体" w:hAnsi="黑体" w:eastAsia="黑体"/>
          <w:b/>
          <w:color w:val="000000"/>
          <w:sz w:val="24"/>
        </w:rPr>
        <w:t xml:space="preserve">实践启示</w:t>
      </w:r>
    </w:p>
    <w:p>
      <w:pPr>
        <w:pStyle w:val="FirstParagraph"/>
        <w:spacing w:line="360" w:lineRule="auto"/>
      </w:pPr>
      <w:r>
        <w:rPr>
          <w:rFonts w:hint="eastAsia" w:ascii="宋体" w:hAnsi="宋体" w:eastAsia="宋体"/>
          <w:color w:val="000000"/>
          <w:sz w:val="24"/>
        </w:rPr>
        <w:t xml:space="preserve">本研究的实践启示主要体现在以下四个方面：</w:t>
      </w:r>
    </w:p>
    <w:p>
      <w:pPr>
        <w:pStyle w:val="BodyText"/>
        <w:spacing w:line="360" w:lineRule="auto"/>
      </w:pPr>
      <w:r>
        <w:rPr>
          <w:rFonts w:hint="eastAsia" w:ascii="宋体" w:hAnsi="宋体" w:eastAsia="宋体"/>
          <w:b/>
          <w:bCs/>
          <w:color w:val="000000"/>
          <w:sz w:val="24"/>
        </w:rPr>
        <w:t xml:space="preserve">第一，评估体系应从”供给导向”转向”效果导向”。</w:t>
      </w:r>
    </w:p>
    <w:p>
      <w:pPr>
        <w:pStyle w:val="BodyText"/>
        <w:spacing w:line="360" w:lineRule="auto"/>
      </w:pPr>
      <w:r>
        <w:rPr>
          <w:rFonts w:hint="eastAsia" w:ascii="宋体" w:hAnsi="宋体" w:eastAsia="宋体"/>
          <w:color w:val="000000"/>
          <w:sz w:val="24"/>
        </w:rPr>
        <w:t xml:space="preserve">当前各级政府的数据开放评估主要以”数据集数量”为核心指标，这种”重供给轻效果”的评估导向导致平台运营者的资源投入向供给侧倾斜——追求数据集数量的增长、主题覆盖的扩大，而忽视数据利用生态的培育。本研究表明，评估体系是一种”选择架构”，它通过设定评估维度和权重，隐性引导平台运营者的行为决策。建议将”数据利用率”</w:t>
      </w:r>
      <w:r>
        <w:rPr>
          <w:rFonts w:hint="eastAsia" w:ascii="宋体" w:hAnsi="宋体" w:eastAsia="宋体"/>
          <w:color w:val="000000"/>
          <w:sz w:val="24"/>
        </w:rPr>
        <w:t xml:space="preserve">“应用成果数量”</w:t>
      </w:r>
      <w:r>
        <w:rPr>
          <w:rFonts w:hint="eastAsia" w:ascii="宋体" w:hAnsi="宋体" w:eastAsia="宋体"/>
          <w:color w:val="000000"/>
          <w:sz w:val="24"/>
        </w:rPr>
        <w:t xml:space="preserve">“用户满意度”</w:t>
      </w:r>
      <w:r>
        <w:rPr>
          <w:rFonts w:hint="eastAsia" w:ascii="宋体" w:hAnsi="宋体" w:eastAsia="宋体"/>
          <w:color w:val="000000"/>
          <w:sz w:val="24"/>
        </w:rPr>
        <w:t xml:space="preserve">等效果指标纳入评估体系的核心维度，引导平台从”开放更多数据”转向”让更多数据被有效利用”。</w:t>
      </w:r>
    </w:p>
    <w:p>
      <w:pPr>
        <w:pStyle w:val="BodyText"/>
        <w:spacing w:line="360" w:lineRule="auto"/>
      </w:pPr>
      <w:r>
        <w:rPr>
          <w:rFonts w:hint="eastAsia" w:ascii="宋体" w:hAnsi="宋体" w:eastAsia="宋体"/>
          <w:b/>
          <w:bCs/>
          <w:color w:val="000000"/>
          <w:sz w:val="24"/>
        </w:rPr>
        <w:t xml:space="preserve">第二，平台建设需要”全要素达标”的系统推进。</w:t>
      </w:r>
    </w:p>
    <w:p>
      <w:pPr>
        <w:pStyle w:val="BodyText"/>
        <w:spacing w:line="360" w:lineRule="auto"/>
      </w:pPr>
      <w:r>
        <w:rPr>
          <w:rFonts w:hint="eastAsia" w:ascii="宋体" w:hAnsi="宋体" w:eastAsia="宋体"/>
          <w:color w:val="000000"/>
          <w:sz w:val="24"/>
        </w:rPr>
        <w:t xml:space="preserve">fsQCA分析表明，高绩效平台的实现路径唯一——六个因素全部达标，不存在”某些因素缺失但仍高绩效”的替代路径。这说明平台建设是系统工程，短板效应明显。对于低绩效平台而言，不能仅关注单一维度的提升（如仅扩大数据集数量或仅完善平台功能），而应进行系统性的全面优化。建议制定”全要素提升路线图”，明确每个因素的现状、目标、责任主体和时间节点，确保各因素协同推进。</w:t>
      </w:r>
    </w:p>
    <w:p>
      <w:pPr>
        <w:pStyle w:val="BodyText"/>
        <w:spacing w:line="360" w:lineRule="auto"/>
      </w:pPr>
      <w:r>
        <w:rPr>
          <w:rFonts w:hint="eastAsia" w:ascii="宋体" w:hAnsi="宋体" w:eastAsia="宋体"/>
          <w:b/>
          <w:bCs/>
          <w:color w:val="000000"/>
          <w:sz w:val="24"/>
        </w:rPr>
        <w:t xml:space="preserve">第三，分类施策、精准提升。</w:t>
      </w:r>
    </w:p>
    <w:p>
      <w:pPr>
        <w:pStyle w:val="BodyText"/>
        <w:spacing w:line="360" w:lineRule="auto"/>
      </w:pPr>
      <w:r>
        <w:rPr>
          <w:rFonts w:hint="eastAsia" w:ascii="宋体" w:hAnsi="宋体" w:eastAsia="宋体"/>
          <w:color w:val="000000"/>
          <w:sz w:val="24"/>
        </w:rPr>
        <w:t xml:space="preserve">本研究识别出三类平台（高绩效、功能型低绩效、停滞型低绩效）和两种高绩效模式（浙江模式、山东模式），为差异化策略提供了实证依据。对于高绩效平台，重点在于标杆引领和模式输出；对于功能型低绩效平台（有平台但政策缺失），重点在于补齐政策短板和激活应用潜力；对于停滞型低绩效平台（平台转型或僵尸化），重点在于重新定位和资源整合。建议国家数据局建立平台分类管理制度，针对不同类型平台制定差异化的支持政策和考核标准。</w:t>
      </w:r>
    </w:p>
    <w:p>
      <w:pPr>
        <w:pStyle w:val="BodyText"/>
        <w:spacing w:line="360" w:lineRule="auto"/>
      </w:pPr>
      <w:r>
        <w:rPr>
          <w:rFonts w:hint="eastAsia" w:ascii="宋体" w:hAnsi="宋体" w:eastAsia="宋体"/>
          <w:b/>
          <w:bCs/>
          <w:color w:val="000000"/>
          <w:sz w:val="24"/>
        </w:rPr>
        <w:t xml:space="preserve">第四，坚持数据开放的公共属性，防止”以运营替代开放”。</w:t>
      </w:r>
    </w:p>
    <w:p>
      <w:pPr>
        <w:pStyle w:val="BodyText"/>
        <w:spacing w:line="360" w:lineRule="auto"/>
      </w:pPr>
      <w:r>
        <w:rPr>
          <w:rFonts w:hint="eastAsia" w:ascii="宋体" w:hAnsi="宋体" w:eastAsia="宋体"/>
          <w:color w:val="000000"/>
          <w:sz w:val="24"/>
        </w:rPr>
        <w:t xml:space="preserve">随着数据要素市场化改革的推进，部分平台出现了从”开放”向”运营”的转型趋势。虽然授权运营是数据价值释放的重要方式，但基础公共数据的免费开放是政府的基本职责，不可被市场化运营替代。建议建立”数据开放底线清单”，明确哪些数据必须免费开放、哪些可以授权运营，防止地方政府以”运营”为名行”封闭”之实。同时，建立数据运营收益的公共反哺机制，将部分收益用于平台维护、数据质量提升和公共数据开放扩容，形成可持续的开放生态。</w:t>
      </w:r>
    </w:p>
    <w:bookmarkEnd w:id="216"/>
    <w:bookmarkStart w:id="217" w:name="研究局限"/>
    <w:p>
      <w:pPr>
        <w:pStyle w:val="Heading3"/>
        <w:spacing w:line="360" w:lineRule="auto"/>
      </w:pPr>
      <w:r>
        <w:rPr>
          <w:rFonts w:ascii="黑体" w:hAnsi="黑体" w:eastAsia="黑体"/>
          <w:b/>
          <w:color w:val="000000"/>
          <w:sz w:val="24"/>
        </w:rPr>
        <w:t xml:space="preserve">8.4 </w:t>
      </w:r>
      <w:r>
        <w:rPr>
          <w:rFonts w:hint="eastAsia" w:ascii="黑体" w:hAnsi="黑体" w:eastAsia="黑体"/>
          <w:b/>
          <w:color w:val="000000"/>
          <w:sz w:val="24"/>
        </w:rPr>
        <w:t xml:space="preserve">研究局限</w:t>
      </w:r>
    </w:p>
    <w:p>
      <w:pPr>
        <w:pStyle w:val="FirstParagraph"/>
        <w:spacing w:line="360" w:lineRule="auto"/>
      </w:pPr>
      <w:r>
        <w:rPr>
          <w:rFonts w:hint="eastAsia" w:ascii="宋体" w:hAnsi="宋体" w:eastAsia="宋体"/>
          <w:color w:val="000000"/>
          <w:sz w:val="24"/>
        </w:rPr>
        <w:t xml:space="preserve">本研究存在以下局限性，需要在后续研究中加以改进：</w:t>
      </w:r>
    </w:p>
    <w:p>
      <w:pPr>
        <w:pStyle w:val="BodyText"/>
        <w:spacing w:line="360" w:lineRule="auto"/>
      </w:pPr>
      <w:r>
        <w:rPr>
          <w:rFonts w:hint="eastAsia" w:ascii="宋体" w:hAnsi="宋体" w:eastAsia="宋体"/>
          <w:b/>
          <w:bCs/>
          <w:color w:val="000000"/>
          <w:sz w:val="24"/>
        </w:rPr>
        <w:t xml:space="preserve">第一，样本范围限于省级平台，未涵盖地市级平台。</w:t>
      </w:r>
    </w:p>
    <w:p>
      <w:pPr>
        <w:pStyle w:val="BodyText"/>
        <w:spacing w:line="360" w:lineRule="auto"/>
      </w:pPr>
      <w:r>
        <w:rPr>
          <w:rFonts w:hint="eastAsia" w:ascii="宋体" w:hAnsi="宋体" w:eastAsia="宋体"/>
          <w:color w:val="000000"/>
          <w:sz w:val="24"/>
        </w:rPr>
        <w:t xml:space="preserve">本研究以31个省级行政区的平台为研究对象，虽然省级平台在制度建设、数据规模、平台功能等方面具有代表性，但地市级平台数量更多（全国超过200个）、覆盖面更广、与公众的距离更近。部分地市级平台（如深圳、杭州、成都等）的建设水平甚至超过部分省级平台。未来研究可以将地市级平台纳入分析，构建”省-市”两级评估体系，更全面地反映我国政府数据开放的整体水平。</w:t>
      </w:r>
    </w:p>
    <w:p>
      <w:pPr>
        <w:pStyle w:val="BodyText"/>
        <w:spacing w:line="360" w:lineRule="auto"/>
      </w:pPr>
      <w:r>
        <w:rPr>
          <w:rFonts w:hint="eastAsia" w:ascii="宋体" w:hAnsi="宋体" w:eastAsia="宋体"/>
          <w:b/>
          <w:bCs/>
          <w:color w:val="000000"/>
          <w:sz w:val="24"/>
        </w:rPr>
        <w:t xml:space="preserve">第二，数据采集为截面数据，缺乏动态追踪。</w:t>
      </w:r>
    </w:p>
    <w:p>
      <w:pPr>
        <w:pStyle w:val="BodyText"/>
        <w:spacing w:line="360" w:lineRule="auto"/>
      </w:pPr>
      <w:r>
        <w:rPr>
          <w:rFonts w:hint="eastAsia" w:ascii="宋体" w:hAnsi="宋体" w:eastAsia="宋体"/>
          <w:color w:val="000000"/>
          <w:sz w:val="24"/>
        </w:rPr>
        <w:t xml:space="preserve">本研究的数据采集时间为2026年4月，虽然通过”一平台一议”的方法确保了数据的准确性和可靠性，但截面数据只能反映平台在某一时间点的状态，无法捕捉平台的动态变化过程。例如，河南省和云南省的平台转型、安徽省平台的维护升级、各平台数据集数量的增长趋势等，都需要通过纵向追踪研究来揭示。未来研究可以建立季度或年度的动态追踪机制，构建面板数据，分析平台绩效的演化规律和影响因素的变化趋势。</w:t>
      </w:r>
    </w:p>
    <w:p>
      <w:pPr>
        <w:pStyle w:val="BodyText"/>
        <w:spacing w:line="360" w:lineRule="auto"/>
      </w:pPr>
      <w:r>
        <w:rPr>
          <w:rFonts w:hint="eastAsia" w:ascii="宋体" w:hAnsi="宋体" w:eastAsia="宋体"/>
          <w:b/>
          <w:bCs/>
          <w:color w:val="000000"/>
          <w:sz w:val="24"/>
        </w:rPr>
        <w:t xml:space="preserve">第三，8个无独立平台的省份未纳入定量分析。</w:t>
      </w:r>
    </w:p>
    <w:p>
      <w:pPr>
        <w:pStyle w:val="BodyText"/>
        <w:spacing w:line="360" w:lineRule="auto"/>
      </w:pPr>
      <w:r>
        <w:rPr>
          <w:rFonts w:hint="eastAsia" w:ascii="宋体" w:hAnsi="宋体" w:eastAsia="宋体"/>
          <w:color w:val="000000"/>
          <w:sz w:val="24"/>
        </w:rPr>
        <w:t xml:space="preserve">甘肃、河北、黑龙江、宁夏、青海、陕西、新疆、西藏等8个省份确实未建设独立的省级公共数据开放平台，其数据开放主要通过政务服务网、数据局官网等替代形式进行。本研究虽然对这8个省份的替代形式进行了定性描述，但未纳入定量分析。这些省份的”无平台”状态本身就是一种重要的研究发现——它们为何没有建设独立平台？是经济条件限制、制度环境不足，还是战略优先级排序的结果？未来研究可以对这些省份进行深度案例研究，揭示”无平台”背后的深层原因。</w:t>
      </w:r>
    </w:p>
    <w:p>
      <w:pPr>
        <w:pStyle w:val="BodyText"/>
        <w:spacing w:line="360" w:lineRule="auto"/>
      </w:pPr>
      <w:r>
        <w:rPr>
          <w:rFonts w:hint="eastAsia" w:ascii="宋体" w:hAnsi="宋体" w:eastAsia="宋体"/>
          <w:b/>
          <w:bCs/>
          <w:color w:val="000000"/>
          <w:sz w:val="24"/>
        </w:rPr>
        <w:t xml:space="preserve">第四，评估指标仍存在改进空间。</w:t>
      </w:r>
    </w:p>
    <w:p>
      <w:pPr>
        <w:pStyle w:val="BodyText"/>
        <w:spacing w:line="360" w:lineRule="auto"/>
      </w:pPr>
      <w:r>
        <w:rPr>
          <w:rFonts w:hint="eastAsia" w:ascii="宋体" w:hAnsi="宋体" w:eastAsia="宋体"/>
          <w:color w:val="000000"/>
          <w:sz w:val="24"/>
        </w:rPr>
        <w:t xml:space="preserve">本研究的4E评估框架虽然涵盖了供给、平台、质量、效果四个维度，但在某些指标的操作化测量上仍存在局限。例如，</w:t>
      </w:r>
      <w:r>
        <w:rPr>
          <w:rFonts w:hint="eastAsia" w:ascii="宋体" w:hAnsi="宋体" w:eastAsia="宋体"/>
          <w:color w:val="000000"/>
          <w:sz w:val="24"/>
        </w:rPr>
        <w:t xml:space="preserve">“利用效果”</w:t>
      </w:r>
      <w:r>
        <w:rPr>
          <w:rFonts w:hint="eastAsia" w:ascii="宋体" w:hAnsi="宋体" w:eastAsia="宋体"/>
          <w:color w:val="000000"/>
          <w:sz w:val="24"/>
        </w:rPr>
        <w:t xml:space="preserve">维度主要依赖数据集下载量和应用案例数量等客观指标，未纳入用户满意度、数据创新价值、社会经济贡献等更深层次的指标。</w:t>
      </w:r>
      <w:r>
        <w:rPr>
          <w:rFonts w:hint="eastAsia" w:ascii="宋体" w:hAnsi="宋体" w:eastAsia="宋体"/>
          <w:color w:val="000000"/>
          <w:sz w:val="24"/>
        </w:rPr>
        <w:t xml:space="preserve">“公平性”</w:t>
      </w:r>
      <w:r>
        <w:rPr>
          <w:rFonts w:hint="eastAsia" w:ascii="宋体" w:hAnsi="宋体" w:eastAsia="宋体"/>
          <w:color w:val="000000"/>
          <w:sz w:val="24"/>
        </w:rPr>
        <w:t xml:space="preserve">维度仅通过区域均衡和群体覆盖进行粗略测量，未涉及数字鸿沟、数据可及性等更精细的公平性指标。未来研究可以引入大数据分析和用户调研方法，构建更为精细和全面的评估指标体系。</w:t>
      </w:r>
    </w:p>
    <w:p>
      <w:pPr>
        <w:pStyle w:val="BodyText"/>
        <w:spacing w:line="360" w:lineRule="auto"/>
      </w:pPr>
      <w:r>
        <w:rPr>
          <w:rFonts w:hint="eastAsia" w:ascii="宋体" w:hAnsi="宋体" w:eastAsia="宋体"/>
          <w:b/>
          <w:bCs/>
          <w:color w:val="000000"/>
          <w:sz w:val="24"/>
        </w:rPr>
        <w:t xml:space="preserve">第五，因果推断的外部效度有待进一步验证。</w:t>
      </w:r>
    </w:p>
    <w:p>
      <w:pPr>
        <w:pStyle w:val="BodyText"/>
        <w:spacing w:line="360" w:lineRule="auto"/>
      </w:pPr>
      <w:r>
        <w:rPr>
          <w:rFonts w:hint="eastAsia" w:ascii="宋体" w:hAnsi="宋体" w:eastAsia="宋体"/>
          <w:color w:val="000000"/>
          <w:sz w:val="24"/>
        </w:rPr>
        <w:t xml:space="preserve">本研究基于22个省级平台的样本进行DEMATEL和fsQCA分析，虽然样本覆盖了东中西部和东北地区，但样本量相对有限（N=22），可能影响因果推断的外部效度。特别是fsQCA方法对样本量有一定要求，22个案例可能限制了条件组合的多样性。未来研究可以扩大样本范围（纳入地市级平台或国际平台），或采用混合研究方法（结合案例研究、问卷调查等），进一步验证本研究的因果推断结论。</w:t>
      </w:r>
    </w:p>
    <w:bookmarkEnd w:id="217"/>
    <w:bookmarkStart w:id="218" w:name="未来研究展望"/>
    <w:p>
      <w:pPr>
        <w:pStyle w:val="Heading3"/>
        <w:spacing w:line="360" w:lineRule="auto"/>
      </w:pPr>
      <w:r>
        <w:rPr>
          <w:rFonts w:ascii="黑体" w:hAnsi="黑体" w:eastAsia="黑体"/>
          <w:b/>
          <w:color w:val="000000"/>
          <w:sz w:val="24"/>
        </w:rPr>
        <w:t xml:space="preserve">8.5 </w:t>
      </w:r>
      <w:r>
        <w:rPr>
          <w:rFonts w:hint="eastAsia" w:ascii="黑体" w:hAnsi="黑体" w:eastAsia="黑体"/>
          <w:b/>
          <w:color w:val="000000"/>
          <w:sz w:val="24"/>
        </w:rPr>
        <w:t xml:space="preserve">未来研究展望</w:t>
      </w:r>
    </w:p>
    <w:p>
      <w:pPr>
        <w:pStyle w:val="FirstParagraph"/>
        <w:spacing w:line="360" w:lineRule="auto"/>
      </w:pPr>
      <w:r>
        <w:rPr>
          <w:rFonts w:hint="eastAsia" w:ascii="宋体" w:hAnsi="宋体" w:eastAsia="宋体"/>
          <w:color w:val="000000"/>
          <w:sz w:val="24"/>
        </w:rPr>
        <w:t xml:space="preserve">基于上述研究结论和局限，本研究提出以下未来研究方向：</w:t>
      </w:r>
    </w:p>
    <w:p>
      <w:pPr>
        <w:pStyle w:val="BodyText"/>
        <w:spacing w:line="360" w:lineRule="auto"/>
      </w:pPr>
      <w:r>
        <w:rPr>
          <w:rFonts w:hint="eastAsia" w:ascii="宋体" w:hAnsi="宋体" w:eastAsia="宋体"/>
          <w:b/>
          <w:bCs/>
          <w:color w:val="000000"/>
          <w:sz w:val="24"/>
        </w:rPr>
        <w:t xml:space="preserve">第一，开展动态追踪研究，构建政府数据开放平台绩效演化的纵向数据库。</w:t>
      </w:r>
    </w:p>
    <w:p>
      <w:pPr>
        <w:pStyle w:val="BodyText"/>
        <w:spacing w:line="360" w:lineRule="auto"/>
      </w:pPr>
      <w:r>
        <w:rPr>
          <w:rFonts w:hint="eastAsia" w:ascii="宋体" w:hAnsi="宋体" w:eastAsia="宋体"/>
          <w:color w:val="000000"/>
          <w:sz w:val="24"/>
        </w:rPr>
        <w:t xml:space="preserve">建议建立季度或年度的数据采集和评估机制，对全国31个省级平台进行持续追踪，构建2017-2030年的纵向数据库。通过面板数据分析，揭示平台绩效的演化规律、影响因素的动态变化、以及政策干预的因果效应。动态追踪研究不仅可以验证本研究截面分析的结论，还可以发现新的研究问题——例如，平台绩效是否存在”S型增长曲线”？政策出台的”时间窗口”对绩效提升有何影响？</w:t>
      </w:r>
    </w:p>
    <w:p>
      <w:pPr>
        <w:pStyle w:val="BodyText"/>
        <w:spacing w:line="360" w:lineRule="auto"/>
      </w:pPr>
      <w:r>
        <w:rPr>
          <w:rFonts w:hint="eastAsia" w:ascii="宋体" w:hAnsi="宋体" w:eastAsia="宋体"/>
          <w:b/>
          <w:bCs/>
          <w:color w:val="000000"/>
          <w:sz w:val="24"/>
        </w:rPr>
        <w:t xml:space="preserve">第二，将公共数据授权运营纳入评估框架，探索”开放+运营”双轨制的评估方法。</w:t>
      </w:r>
    </w:p>
    <w:p>
      <w:pPr>
        <w:pStyle w:val="BodyText"/>
        <w:spacing w:line="360" w:lineRule="auto"/>
      </w:pPr>
      <w:r>
        <w:rPr>
          <w:rFonts w:hint="eastAsia" w:ascii="宋体" w:hAnsi="宋体" w:eastAsia="宋体"/>
          <w:color w:val="000000"/>
          <w:sz w:val="24"/>
        </w:rPr>
        <w:t xml:space="preserve">随着数据要素市场化改革的深化，越来越多的平台开始探索”开放+运营”的双轨制模式。未来的评估框架需要同时覆盖”直接开放”和”授权运营”两种利用模式，设计能够衡量授权运营成效的指标（如数据产品数量、运营收入、社会贡献等）。同时，需要研究如何评估”开放”与”运营”之间的平衡关系——一个平台开放比例过高可能导致运营不可持续，运营比例过高则可能导致公共性丧失。如何找到最优的”开放-运营”配比，是未来研究的重要方向。</w:t>
      </w:r>
    </w:p>
    <w:p>
      <w:pPr>
        <w:pStyle w:val="BodyText"/>
        <w:spacing w:line="360" w:lineRule="auto"/>
      </w:pPr>
      <w:r>
        <w:rPr>
          <w:rFonts w:hint="eastAsia" w:ascii="宋体" w:hAnsi="宋体" w:eastAsia="宋体"/>
          <w:b/>
          <w:bCs/>
          <w:color w:val="000000"/>
          <w:sz w:val="24"/>
        </w:rPr>
        <w:t xml:space="preserve">第三，探索人工智能辅助的数据质量评估方法。</w:t>
      </w:r>
    </w:p>
    <w:p>
      <w:pPr>
        <w:pStyle w:val="BodyText"/>
        <w:spacing w:line="360" w:lineRule="auto"/>
      </w:pPr>
      <w:r>
        <w:rPr>
          <w:rFonts w:hint="eastAsia" w:ascii="宋体" w:hAnsi="宋体" w:eastAsia="宋体"/>
          <w:color w:val="000000"/>
          <w:sz w:val="24"/>
        </w:rPr>
        <w:t xml:space="preserve">数据质量是制约政府数据开放利用的核心瓶颈，但传统的人工抽检方法效率低下、覆盖面窄。未来研究可以探索利用人工智能技术（如自然语言处理、知识图谱、异常检测等）自动评估数据质量的方法。例如，利用NLP技术自动检测元数据的完整性和规范性，利用知识图谱技术识别数据之间的逻辑一致性，利用异常检测算法识别数据中的错误和缺失。AI辅助的数据质量评估不仅可以大幅提升评估效率，还可以实现实时监测和预警，为平台运营者提供即时反馈。</w:t>
      </w:r>
    </w:p>
    <w:p>
      <w:pPr>
        <w:pStyle w:val="BodyText"/>
        <w:spacing w:line="360" w:lineRule="auto"/>
      </w:pPr>
      <w:r>
        <w:rPr>
          <w:rFonts w:hint="eastAsia" w:ascii="宋体" w:hAnsi="宋体" w:eastAsia="宋体"/>
          <w:b/>
          <w:bCs/>
          <w:color w:val="000000"/>
          <w:sz w:val="24"/>
        </w:rPr>
        <w:t xml:space="preserve">第四，开展国际比较研究，提升中国在全球开放数据治理中的话语权。</w:t>
      </w:r>
    </w:p>
    <w:p>
      <w:pPr>
        <w:pStyle w:val="BodyText"/>
        <w:spacing w:line="360" w:lineRule="auto"/>
      </w:pPr>
      <w:r>
        <w:rPr>
          <w:rFonts w:hint="eastAsia" w:ascii="宋体" w:hAnsi="宋体" w:eastAsia="宋体"/>
          <w:color w:val="000000"/>
          <w:sz w:val="24"/>
        </w:rPr>
        <w:t xml:space="preserve">本研究聚焦于中国的省级平台，未来研究可以将中国的评估结果与国际先进平台（如美国Data.gov、英国data.gov.uk、欧盟Open</w:t>
      </w:r>
      <w:r>
        <w:rPr>
          <w:rFonts w:ascii="宋体" w:hAnsi="宋体" w:eastAsia="宋体"/>
          <w:color w:val="000000"/>
          <w:sz w:val="24"/>
        </w:rPr>
        <w:t xml:space="preserve"> Data </w:t>
      </w:r>
      <w:r>
        <w:rPr>
          <w:rFonts w:hint="eastAsia" w:ascii="宋体" w:hAnsi="宋体" w:eastAsia="宋体"/>
          <w:color w:val="000000"/>
          <w:sz w:val="24"/>
        </w:rPr>
        <w:t xml:space="preserve">Portal等）进行系统比较。国际比较研究可以回答以下问题：中国平台在数据规模、平台功能、数据质量、利用效果等维度上与国际先进水平的差距有多大？中国的”浙江模式”和”山东模式”在国际上有无可比较的模式？中国特色的”数据口径幻觉”现象在国际平台中是否存在？通过国际比较，不仅可以为中国平台的优化提供国际参照，还可以为全球开放数据治理贡献中国经验和中国方案。</w:t>
      </w:r>
    </w:p>
    <w:p>
      <w:pPr>
        <w:pStyle w:val="BodyText"/>
        <w:spacing w:line="360" w:lineRule="auto"/>
      </w:pPr>
      <w:r>
        <w:rPr>
          <w:rFonts w:hint="eastAsia" w:ascii="宋体" w:hAnsi="宋体" w:eastAsia="宋体"/>
          <w:b/>
          <w:bCs/>
          <w:color w:val="000000"/>
          <w:sz w:val="24"/>
        </w:rPr>
        <w:t xml:space="preserve">第五，深入研究数据开放的社会经济影响，建立数据开放价值评估的因果识别框架。</w:t>
      </w:r>
    </w:p>
    <w:p>
      <w:pPr>
        <w:pStyle w:val="BodyText"/>
        <w:spacing w:line="360" w:lineRule="auto"/>
      </w:pPr>
      <w:r>
        <w:rPr>
          <w:rFonts w:hint="eastAsia" w:ascii="宋体" w:hAnsi="宋体" w:eastAsia="宋体"/>
          <w:color w:val="000000"/>
          <w:sz w:val="24"/>
        </w:rPr>
        <w:t xml:space="preserve">当前对政府数据开放价值的评估主要停留在描述性层面（如应用数量、下载量），缺乏对其社会经济影响的因果识别。未来研究可以利用准实验设计（如双重差分、断点回归、合成控制法等），识别数据开放对创新创业、公共服务优化、政府透明度提升的因果效应。例如，比较出台数据开放政策前后地区的创业率变化，或者比较高绩效平台和低绩效平台所在地区的数字经济发展差异。因果识别研究可以为数据开放的政策效果提供更为坚实的证据基础，推动数据开放从”要不要开”的争论走向”如何开更有效”的优化。</w:t>
      </w:r>
    </w:p>
    <w:bookmarkEnd w:id="218"/>
    <w:bookmarkStart w:id="219" w:name="结语"/>
    <w:p>
      <w:pPr>
        <w:pStyle w:val="Heading3"/>
        <w:spacing w:line="360" w:lineRule="auto"/>
      </w:pPr>
      <w:r>
        <w:rPr>
          <w:rFonts w:ascii="黑体" w:hAnsi="黑体" w:eastAsia="黑体"/>
          <w:b/>
          <w:color w:val="000000"/>
          <w:sz w:val="24"/>
        </w:rPr>
        <w:t xml:space="preserve">8.6 </w:t>
      </w:r>
      <w:r>
        <w:rPr>
          <w:rFonts w:hint="eastAsia" w:ascii="黑体" w:hAnsi="黑体" w:eastAsia="黑体"/>
          <w:b/>
          <w:color w:val="000000"/>
          <w:sz w:val="24"/>
        </w:rPr>
        <w:t xml:space="preserve">结语</w:t>
      </w:r>
    </w:p>
    <w:p>
      <w:pPr>
        <w:pStyle w:val="FirstParagraph"/>
        <w:spacing w:line="360" w:lineRule="auto"/>
      </w:pPr>
      <w:r>
        <w:rPr>
          <w:rFonts w:hint="eastAsia" w:ascii="宋体" w:hAnsi="宋体" w:eastAsia="宋体"/>
          <w:color w:val="000000"/>
          <w:sz w:val="24"/>
        </w:rPr>
        <w:t xml:space="preserve">政府数据开放是数字政府建设的核心内容，也是数据要素价值化释放的关键路径。本研究基于4E评估框架，运用多种实证方法，对全国31个省级政府数据开放平台进行了系统的绩效评估，揭示了绩效差异的形成机制，识别了高绩效平台的发展模式，提出了差异化的提升策略。研究发现，数据开放规模是绩效的”门槛条件”，政策法规是核心驱动因素，高绩效平台存在”浙江模式”和”山东模式”两种路径，平台转型需要平衡公共性与经济性。</w:t>
      </w:r>
    </w:p>
    <w:p>
      <w:pPr>
        <w:pStyle w:val="BodyText"/>
        <w:spacing w:line="360" w:lineRule="auto"/>
      </w:pPr>
      <w:r>
        <w:rPr>
          <w:rFonts w:hint="eastAsia" w:ascii="宋体" w:hAnsi="宋体" w:eastAsia="宋体"/>
          <w:color w:val="000000"/>
          <w:sz w:val="24"/>
        </w:rPr>
        <w:t xml:space="preserve">这些发现不仅丰富了政府数据开放评估的理论知识，也为政策制定者和平台运营者提供了实践指导。然而，政府数据开放是一个动态演化的领域，随着数据要素市场化改革的深化、人工智能技术的发展、以及国际数据治理规则的变化，新的研究问题将不断涌现。期待本研究能够为后续研究提供一个坚实的起点，推动我国政府数据开放从”量的扩张”走向”质的提升”，从”平台覆盖”走向”价值实现”，最终让数据红利惠及全社会。</w:t>
      </w:r>
    </w:p>
    <w:p>
      <w:pPr>
        <w:spacing w:line="360" w:lineRule="auto"/>
      </w:pPr>
      <w:r>
        <w:rPr>
          <w:rFonts w:ascii="宋体" w:hAnsi="宋体" w:eastAsia="宋体"/>
          <w:color w:val="000000"/>
          <w:sz w:val="24"/>
        </w:rPr>
        <w:pict>
          <v:rect style="width:0;height:1.5pt" o:hralign="center" o:hrstd="t" o:hr="t"/>
        </w:pict>
      </w:r>
    </w:p>
    <w:bookmarkEnd w:id="219"/>
    <w:bookmarkStart w:id="220" w:name="中文文献"/>
    <w:p>
      <w:pPr>
        <w:pStyle w:val="Heading2"/>
        <w:spacing w:line="360" w:lineRule="auto"/>
      </w:pPr>
      <w:r>
        <w:rPr>
          <w:rFonts w:hint="eastAsia" w:ascii="黑体" w:hAnsi="黑体" w:eastAsia="黑体"/>
          <w:b/>
          <w:color w:val="000000"/>
          <w:sz w:val="28"/>
        </w:rPr>
        <w:t xml:space="preserve">中文文献</w:t>
      </w:r>
    </w:p>
    <w:p>
      <w:pPr>
        <w:pStyle w:val="FirstParagraph"/>
        <w:spacing w:line="360" w:lineRule="auto"/>
      </w:pPr>
      <w:r>
        <w:rPr>
          <w:rFonts w:ascii="宋体" w:hAnsi="宋体" w:eastAsia="宋体"/>
          <w:color w:val="000000"/>
          <w:sz w:val="24"/>
        </w:rPr>
        <w:t xml:space="preserve">[1] </w:t>
      </w:r>
      <w:r>
        <w:rPr>
          <w:rFonts w:hint="eastAsia" w:ascii="宋体" w:hAnsi="宋体" w:eastAsia="宋体"/>
          <w:color w:val="000000"/>
          <w:sz w:val="24"/>
        </w:rPr>
        <w:t xml:space="preserve">蔡昉,</w:t>
      </w:r>
      <w:r>
        <w:rPr>
          <w:rFonts w:ascii="宋体" w:hAnsi="宋体" w:eastAsia="宋体"/>
          <w:color w:val="000000"/>
          <w:sz w:val="24"/>
        </w:rPr>
        <w:t xml:space="preserve"> </w:t>
      </w:r>
      <w:r>
        <w:rPr>
          <w:rFonts w:hint="eastAsia" w:ascii="宋体" w:hAnsi="宋体" w:eastAsia="宋体"/>
          <w:color w:val="000000"/>
          <w:sz w:val="24"/>
        </w:rPr>
        <w:t xml:space="preserve">顾海良,</w:t>
      </w:r>
      <w:r>
        <w:rPr>
          <w:rFonts w:ascii="宋体" w:hAnsi="宋体" w:eastAsia="宋体"/>
          <w:color w:val="000000"/>
          <w:sz w:val="24"/>
        </w:rPr>
        <w:t xml:space="preserve"> </w:t>
      </w:r>
      <w:r>
        <w:rPr>
          <w:rFonts w:hint="eastAsia" w:ascii="宋体" w:hAnsi="宋体" w:eastAsia="宋体"/>
          <w:color w:val="000000"/>
          <w:sz w:val="24"/>
        </w:rPr>
        <w:t xml:space="preserve">韩保江,</w:t>
      </w:r>
      <w:r>
        <w:rPr>
          <w:rFonts w:ascii="宋体" w:hAnsi="宋体" w:eastAsia="宋体"/>
          <w:color w:val="000000"/>
          <w:sz w:val="24"/>
        </w:rPr>
        <w:t xml:space="preserve"> </w:t>
      </w:r>
      <w:r>
        <w:rPr>
          <w:rFonts w:hint="eastAsia" w:ascii="宋体" w:hAnsi="宋体" w:eastAsia="宋体"/>
          <w:color w:val="000000"/>
          <w:sz w:val="24"/>
        </w:rPr>
        <w:t xml:space="preserve">等.</w:t>
      </w:r>
      <w:r>
        <w:rPr>
          <w:rFonts w:ascii="宋体" w:hAnsi="宋体" w:eastAsia="宋体"/>
          <w:color w:val="000000"/>
          <w:sz w:val="24"/>
        </w:rPr>
        <w:t xml:space="preserve"> </w:t>
      </w:r>
      <w:r>
        <w:rPr>
          <w:rFonts w:hint="eastAsia" w:ascii="宋体" w:hAnsi="宋体" w:eastAsia="宋体"/>
          <w:color w:val="000000"/>
          <w:sz w:val="24"/>
        </w:rPr>
        <w:t xml:space="preserve">中国经济高质量发展研究[J].</w:t>
      </w:r>
      <w:r>
        <w:rPr>
          <w:rFonts w:ascii="宋体" w:hAnsi="宋体" w:eastAsia="宋体"/>
          <w:color w:val="000000"/>
          <w:sz w:val="24"/>
        </w:rPr>
        <w:t xml:space="preserve"> </w:t>
      </w:r>
      <w:r>
        <w:rPr>
          <w:rFonts w:hint="eastAsia" w:ascii="宋体" w:hAnsi="宋体" w:eastAsia="宋体"/>
          <w:color w:val="000000"/>
          <w:sz w:val="24"/>
        </w:rPr>
        <w:t xml:space="preserve">经济研究,</w:t>
      </w:r>
      <w:r>
        <w:rPr>
          <w:rFonts w:ascii="宋体" w:hAnsi="宋体" w:eastAsia="宋体"/>
          <w:color w:val="000000"/>
          <w:sz w:val="24"/>
        </w:rPr>
        <w:t xml:space="preserve"> 2024, 59(1): 4-22.</w:t>
      </w:r>
    </w:p>
    <w:p>
      <w:pPr>
        <w:pStyle w:val="BodyText"/>
        <w:spacing w:line="360" w:lineRule="auto"/>
      </w:pPr>
      <w:r>
        <w:rPr>
          <w:rFonts w:ascii="宋体" w:hAnsi="宋体" w:eastAsia="宋体"/>
          <w:color w:val="000000"/>
          <w:sz w:val="24"/>
        </w:rPr>
        <w:t xml:space="preserve">[2] </w:t>
      </w:r>
      <w:r>
        <w:rPr>
          <w:rFonts w:hint="eastAsia" w:ascii="宋体" w:hAnsi="宋体" w:eastAsia="宋体"/>
          <w:color w:val="000000"/>
          <w:sz w:val="24"/>
        </w:rPr>
        <w:t xml:space="preserve">黄国平.</w:t>
      </w:r>
      <w:r>
        <w:rPr>
          <w:rFonts w:ascii="宋体" w:hAnsi="宋体" w:eastAsia="宋体"/>
          <w:color w:val="000000"/>
          <w:sz w:val="24"/>
        </w:rPr>
        <w:t xml:space="preserve"> </w:t>
      </w:r>
      <w:r>
        <w:rPr>
          <w:rFonts w:hint="eastAsia" w:ascii="宋体" w:hAnsi="宋体" w:eastAsia="宋体"/>
          <w:color w:val="000000"/>
          <w:sz w:val="24"/>
        </w:rPr>
        <w:t xml:space="preserve">数据要素市场化配置：理论逻辑、现实挑战与政策建议[J].</w:t>
      </w:r>
      <w:r>
        <w:rPr>
          <w:rFonts w:ascii="宋体" w:hAnsi="宋体" w:eastAsia="宋体"/>
          <w:color w:val="000000"/>
          <w:sz w:val="24"/>
        </w:rPr>
        <w:t xml:space="preserve"> </w:t>
      </w:r>
      <w:r>
        <w:rPr>
          <w:rFonts w:hint="eastAsia" w:ascii="宋体" w:hAnsi="宋体" w:eastAsia="宋体"/>
          <w:color w:val="000000"/>
          <w:sz w:val="24"/>
        </w:rPr>
        <w:t xml:space="preserve">经济管理,</w:t>
      </w:r>
      <w:r>
        <w:rPr>
          <w:rFonts w:ascii="宋体" w:hAnsi="宋体" w:eastAsia="宋体"/>
          <w:color w:val="000000"/>
          <w:sz w:val="24"/>
        </w:rPr>
        <w:t xml:space="preserve"> 2023, 45(3): 5-20.</w:t>
      </w:r>
    </w:p>
    <w:p>
      <w:pPr>
        <w:pStyle w:val="BodyText"/>
        <w:spacing w:line="360" w:lineRule="auto"/>
      </w:pPr>
      <w:r>
        <w:rPr>
          <w:rFonts w:ascii="宋体" w:hAnsi="宋体" w:eastAsia="宋体"/>
          <w:color w:val="000000"/>
          <w:sz w:val="24"/>
        </w:rPr>
        <w:t xml:space="preserve">[3] </w:t>
      </w:r>
      <w:r>
        <w:rPr>
          <w:rFonts w:hint="eastAsia" w:ascii="宋体" w:hAnsi="宋体" w:eastAsia="宋体"/>
          <w:color w:val="000000"/>
          <w:sz w:val="24"/>
        </w:rPr>
        <w:t xml:space="preserve">解志勇.</w:t>
      </w:r>
      <w:r>
        <w:rPr>
          <w:rFonts w:ascii="宋体" w:hAnsi="宋体" w:eastAsia="宋体"/>
          <w:color w:val="000000"/>
          <w:sz w:val="24"/>
        </w:rPr>
        <w:t xml:space="preserve"> </w:t>
      </w:r>
      <w:r>
        <w:rPr>
          <w:rFonts w:hint="eastAsia" w:ascii="宋体" w:hAnsi="宋体" w:eastAsia="宋体"/>
          <w:color w:val="000000"/>
          <w:sz w:val="24"/>
        </w:rPr>
        <w:t xml:space="preserve">政府数据开放的法律规制研究[J].</w:t>
      </w:r>
      <w:r>
        <w:rPr>
          <w:rFonts w:ascii="宋体" w:hAnsi="宋体" w:eastAsia="宋体"/>
          <w:color w:val="000000"/>
          <w:sz w:val="24"/>
        </w:rPr>
        <w:t xml:space="preserve"> </w:t>
      </w:r>
      <w:r>
        <w:rPr>
          <w:rFonts w:hint="eastAsia" w:ascii="宋体" w:hAnsi="宋体" w:eastAsia="宋体"/>
          <w:color w:val="000000"/>
          <w:sz w:val="24"/>
        </w:rPr>
        <w:t xml:space="preserve">比较法研究,</w:t>
      </w:r>
      <w:r>
        <w:rPr>
          <w:rFonts w:ascii="宋体" w:hAnsi="宋体" w:eastAsia="宋体"/>
          <w:color w:val="000000"/>
          <w:sz w:val="24"/>
        </w:rPr>
        <w:t xml:space="preserve"> 2023, 37(2): 45-62.</w:t>
      </w:r>
    </w:p>
    <w:p>
      <w:pPr>
        <w:pStyle w:val="BodyText"/>
        <w:spacing w:line="360" w:lineRule="auto"/>
      </w:pPr>
      <w:r>
        <w:rPr>
          <w:rFonts w:ascii="宋体" w:hAnsi="宋体" w:eastAsia="宋体"/>
          <w:color w:val="000000"/>
          <w:sz w:val="24"/>
        </w:rPr>
        <w:t xml:space="preserve">[4] </w:t>
      </w:r>
      <w:r>
        <w:rPr>
          <w:rFonts w:hint="eastAsia" w:ascii="宋体" w:hAnsi="宋体" w:eastAsia="宋体"/>
          <w:color w:val="000000"/>
          <w:sz w:val="24"/>
        </w:rPr>
        <w:t xml:space="preserve">周文泓,</w:t>
      </w:r>
      <w:r>
        <w:rPr>
          <w:rFonts w:ascii="宋体" w:hAnsi="宋体" w:eastAsia="宋体"/>
          <w:color w:val="000000"/>
          <w:sz w:val="24"/>
        </w:rPr>
        <w:t xml:space="preserve"> </w:t>
      </w:r>
      <w:r>
        <w:rPr>
          <w:rFonts w:hint="eastAsia" w:ascii="宋体" w:hAnsi="宋体" w:eastAsia="宋体"/>
          <w:color w:val="000000"/>
          <w:sz w:val="24"/>
        </w:rPr>
        <w:t xml:space="preserve">吴琼,</w:t>
      </w:r>
      <w:r>
        <w:rPr>
          <w:rFonts w:ascii="宋体" w:hAnsi="宋体" w:eastAsia="宋体"/>
          <w:color w:val="000000"/>
          <w:sz w:val="24"/>
        </w:rPr>
        <w:t xml:space="preserve"> </w:t>
      </w:r>
      <w:r>
        <w:rPr>
          <w:rFonts w:hint="eastAsia" w:ascii="宋体" w:hAnsi="宋体" w:eastAsia="宋体"/>
          <w:color w:val="000000"/>
          <w:sz w:val="24"/>
        </w:rPr>
        <w:t xml:space="preserve">田欣,</w:t>
      </w:r>
      <w:r>
        <w:rPr>
          <w:rFonts w:ascii="宋体" w:hAnsi="宋体" w:eastAsia="宋体"/>
          <w:color w:val="000000"/>
          <w:sz w:val="24"/>
        </w:rPr>
        <w:t xml:space="preserve"> </w:t>
      </w:r>
      <w:r>
        <w:rPr>
          <w:rFonts w:hint="eastAsia" w:ascii="宋体" w:hAnsi="宋体" w:eastAsia="宋体"/>
          <w:color w:val="000000"/>
          <w:sz w:val="24"/>
        </w:rPr>
        <w:t xml:space="preserve">等.</w:t>
      </w:r>
      <w:r>
        <w:rPr>
          <w:rFonts w:ascii="宋体" w:hAnsi="宋体" w:eastAsia="宋体"/>
          <w:color w:val="000000"/>
          <w:sz w:val="24"/>
        </w:rPr>
        <w:t xml:space="preserve"> </w:t>
      </w:r>
      <w:r>
        <w:rPr>
          <w:rFonts w:hint="eastAsia" w:ascii="宋体" w:hAnsi="宋体" w:eastAsia="宋体"/>
          <w:color w:val="000000"/>
          <w:sz w:val="24"/>
        </w:rPr>
        <w:t xml:space="preserve">政府数据开放评价研究进展与趋势[J].</w:t>
      </w:r>
      <w:r>
        <w:rPr>
          <w:rFonts w:ascii="宋体" w:hAnsi="宋体" w:eastAsia="宋体"/>
          <w:color w:val="000000"/>
          <w:sz w:val="24"/>
        </w:rPr>
        <w:t xml:space="preserve"> </w:t>
      </w:r>
      <w:r>
        <w:rPr>
          <w:rFonts w:hint="eastAsia" w:ascii="宋体" w:hAnsi="宋体" w:eastAsia="宋体"/>
          <w:color w:val="000000"/>
          <w:sz w:val="24"/>
        </w:rPr>
        <w:t xml:space="preserve">现代情报,</w:t>
      </w:r>
      <w:r>
        <w:rPr>
          <w:rFonts w:ascii="宋体" w:hAnsi="宋体" w:eastAsia="宋体"/>
          <w:color w:val="000000"/>
          <w:sz w:val="24"/>
        </w:rPr>
        <w:t xml:space="preserve"> 2022, 42(5): 156-168.</w:t>
      </w:r>
    </w:p>
    <w:p>
      <w:pPr>
        <w:pStyle w:val="BodyText"/>
        <w:spacing w:line="360" w:lineRule="auto"/>
      </w:pPr>
      <w:r>
        <w:rPr>
          <w:rFonts w:ascii="宋体" w:hAnsi="宋体" w:eastAsia="宋体"/>
          <w:color w:val="000000"/>
          <w:sz w:val="24"/>
        </w:rPr>
        <w:t xml:space="preserve">[5] </w:t>
      </w:r>
      <w:r>
        <w:rPr>
          <w:rFonts w:hint="eastAsia" w:ascii="宋体" w:hAnsi="宋体" w:eastAsia="宋体"/>
          <w:color w:val="000000"/>
          <w:sz w:val="24"/>
        </w:rPr>
        <w:t xml:space="preserve">张涛,</w:t>
      </w:r>
      <w:r>
        <w:rPr>
          <w:rFonts w:ascii="宋体" w:hAnsi="宋体" w:eastAsia="宋体"/>
          <w:color w:val="000000"/>
          <w:sz w:val="24"/>
        </w:rPr>
        <w:t xml:space="preserve"> </w:t>
      </w:r>
      <w:r>
        <w:rPr>
          <w:rFonts w:hint="eastAsia" w:ascii="宋体" w:hAnsi="宋体" w:eastAsia="宋体"/>
          <w:color w:val="000000"/>
          <w:sz w:val="24"/>
        </w:rPr>
        <w:t xml:space="preserve">崔文波,</w:t>
      </w:r>
      <w:r>
        <w:rPr>
          <w:rFonts w:ascii="宋体" w:hAnsi="宋体" w:eastAsia="宋体"/>
          <w:color w:val="000000"/>
          <w:sz w:val="24"/>
        </w:rPr>
        <w:t xml:space="preserve"> </w:t>
      </w:r>
      <w:r>
        <w:rPr>
          <w:rFonts w:hint="eastAsia" w:ascii="宋体" w:hAnsi="宋体" w:eastAsia="宋体"/>
          <w:color w:val="000000"/>
          <w:sz w:val="24"/>
        </w:rPr>
        <w:t xml:space="preserve">刘硕,</w:t>
      </w:r>
      <w:r>
        <w:rPr>
          <w:rFonts w:ascii="宋体" w:hAnsi="宋体" w:eastAsia="宋体"/>
          <w:color w:val="000000"/>
          <w:sz w:val="24"/>
        </w:rPr>
        <w:t xml:space="preserve"> </w:t>
      </w:r>
      <w:r>
        <w:rPr>
          <w:rFonts w:hint="eastAsia" w:ascii="宋体" w:hAnsi="宋体" w:eastAsia="宋体"/>
          <w:color w:val="000000"/>
          <w:sz w:val="24"/>
        </w:rPr>
        <w:t xml:space="preserve">等.</w:t>
      </w:r>
      <w:r>
        <w:rPr>
          <w:rFonts w:ascii="宋体" w:hAnsi="宋体" w:eastAsia="宋体"/>
          <w:color w:val="000000"/>
          <w:sz w:val="24"/>
        </w:rPr>
        <w:t xml:space="preserve"> </w:t>
      </w:r>
      <w:r>
        <w:rPr>
          <w:rFonts w:hint="eastAsia" w:ascii="宋体" w:hAnsi="宋体" w:eastAsia="宋体"/>
          <w:color w:val="000000"/>
          <w:sz w:val="24"/>
        </w:rPr>
        <w:t xml:space="preserve">政府数据开放平台评价指标体系构建研究[J].</w:t>
      </w:r>
      <w:r>
        <w:rPr>
          <w:rFonts w:ascii="宋体" w:hAnsi="宋体" w:eastAsia="宋体"/>
          <w:color w:val="000000"/>
          <w:sz w:val="24"/>
        </w:rPr>
        <w:t xml:space="preserve"> </w:t>
      </w:r>
      <w:r>
        <w:rPr>
          <w:rFonts w:hint="eastAsia" w:ascii="宋体" w:hAnsi="宋体" w:eastAsia="宋体"/>
          <w:color w:val="000000"/>
          <w:sz w:val="24"/>
        </w:rPr>
        <w:t xml:space="preserve">信息资源管理学报,</w:t>
      </w:r>
      <w:r>
        <w:rPr>
          <w:rFonts w:ascii="宋体" w:hAnsi="宋体" w:eastAsia="宋体"/>
          <w:color w:val="000000"/>
          <w:sz w:val="24"/>
        </w:rPr>
        <w:t xml:space="preserve"> 2022, 12(3): 78-91.</w:t>
      </w:r>
    </w:p>
    <w:p>
      <w:pPr>
        <w:pStyle w:val="BodyText"/>
        <w:spacing w:line="360" w:lineRule="auto"/>
      </w:pPr>
      <w:r>
        <w:rPr>
          <w:rFonts w:ascii="宋体" w:hAnsi="宋体" w:eastAsia="宋体"/>
          <w:color w:val="000000"/>
          <w:sz w:val="24"/>
        </w:rPr>
        <w:t xml:space="preserve">[6] </w:t>
      </w:r>
      <w:r>
        <w:rPr>
          <w:rFonts w:hint="eastAsia" w:ascii="宋体" w:hAnsi="宋体" w:eastAsia="宋体"/>
          <w:color w:val="000000"/>
          <w:sz w:val="24"/>
        </w:rPr>
        <w:t xml:space="preserve">郑磊.</w:t>
      </w:r>
      <w:r>
        <w:rPr>
          <w:rFonts w:ascii="宋体" w:hAnsi="宋体" w:eastAsia="宋体"/>
          <w:color w:val="000000"/>
          <w:sz w:val="24"/>
        </w:rPr>
        <w:t xml:space="preserve"> </w:t>
      </w:r>
      <w:r>
        <w:rPr>
          <w:rFonts w:hint="eastAsia" w:ascii="宋体" w:hAnsi="宋体" w:eastAsia="宋体"/>
          <w:color w:val="000000"/>
          <w:sz w:val="24"/>
        </w:rPr>
        <w:t xml:space="preserve">政府数据开放的整体性治理：理论逻辑与实践路径[J].</w:t>
      </w:r>
      <w:r>
        <w:rPr>
          <w:rFonts w:ascii="宋体" w:hAnsi="宋体" w:eastAsia="宋体"/>
          <w:color w:val="000000"/>
          <w:sz w:val="24"/>
        </w:rPr>
        <w:t xml:space="preserve"> </w:t>
      </w:r>
      <w:r>
        <w:rPr>
          <w:rFonts w:hint="eastAsia" w:ascii="宋体" w:hAnsi="宋体" w:eastAsia="宋体"/>
          <w:color w:val="000000"/>
          <w:sz w:val="24"/>
        </w:rPr>
        <w:t xml:space="preserve">公共管理学报,</w:t>
      </w:r>
      <w:r>
        <w:rPr>
          <w:rFonts w:ascii="宋体" w:hAnsi="宋体" w:eastAsia="宋体"/>
          <w:color w:val="000000"/>
          <w:sz w:val="24"/>
        </w:rPr>
        <w:t xml:space="preserve"> 2021, 18(2): 1-14.</w:t>
      </w:r>
    </w:p>
    <w:p>
      <w:pPr>
        <w:pStyle w:val="BodyText"/>
        <w:spacing w:line="360" w:lineRule="auto"/>
      </w:pPr>
      <w:r>
        <w:rPr>
          <w:rFonts w:ascii="宋体" w:hAnsi="宋体" w:eastAsia="宋体"/>
          <w:color w:val="000000"/>
          <w:sz w:val="24"/>
        </w:rPr>
        <w:t xml:space="preserve">[7] </w:t>
      </w:r>
      <w:r>
        <w:rPr>
          <w:rFonts w:hint="eastAsia" w:ascii="宋体" w:hAnsi="宋体" w:eastAsia="宋体"/>
          <w:color w:val="000000"/>
          <w:sz w:val="24"/>
        </w:rPr>
        <w:t xml:space="preserve">郑磊,</w:t>
      </w:r>
      <w:r>
        <w:rPr>
          <w:rFonts w:ascii="宋体" w:hAnsi="宋体" w:eastAsia="宋体"/>
          <w:color w:val="000000"/>
          <w:sz w:val="24"/>
        </w:rPr>
        <w:t xml:space="preserve"> </w:t>
      </w:r>
      <w:r>
        <w:rPr>
          <w:rFonts w:hint="eastAsia" w:ascii="宋体" w:hAnsi="宋体" w:eastAsia="宋体"/>
          <w:color w:val="000000"/>
          <w:sz w:val="24"/>
        </w:rPr>
        <w:t xml:space="preserve">范佳佳.</w:t>
      </w:r>
      <w:r>
        <w:rPr>
          <w:rFonts w:ascii="宋体" w:hAnsi="宋体" w:eastAsia="宋体"/>
          <w:color w:val="000000"/>
          <w:sz w:val="24"/>
        </w:rPr>
        <w:t xml:space="preserve"> </w:t>
      </w:r>
      <w:r>
        <w:rPr>
          <w:rFonts w:hint="eastAsia" w:ascii="宋体" w:hAnsi="宋体" w:eastAsia="宋体"/>
          <w:color w:val="000000"/>
          <w:sz w:val="24"/>
        </w:rPr>
        <w:t xml:space="preserve">中国地方政府数据开放的整体性治理研究[J].</w:t>
      </w:r>
      <w:r>
        <w:rPr>
          <w:rFonts w:ascii="宋体" w:hAnsi="宋体" w:eastAsia="宋体"/>
          <w:color w:val="000000"/>
          <w:sz w:val="24"/>
        </w:rPr>
        <w:t xml:space="preserve"> </w:t>
      </w:r>
      <w:r>
        <w:rPr>
          <w:rFonts w:hint="eastAsia" w:ascii="宋体" w:hAnsi="宋体" w:eastAsia="宋体"/>
          <w:color w:val="000000"/>
          <w:sz w:val="24"/>
        </w:rPr>
        <w:t xml:space="preserve">中国行政管理,</w:t>
      </w:r>
      <w:r>
        <w:rPr>
          <w:rFonts w:ascii="宋体" w:hAnsi="宋体" w:eastAsia="宋体"/>
          <w:color w:val="000000"/>
          <w:sz w:val="24"/>
        </w:rPr>
        <w:t xml:space="preserve"> 2021, (8): 45-53.</w:t>
      </w:r>
    </w:p>
    <w:p>
      <w:pPr>
        <w:pStyle w:val="BodyText"/>
        <w:spacing w:line="360" w:lineRule="auto"/>
      </w:pPr>
      <w:r>
        <w:rPr>
          <w:rFonts w:ascii="宋体" w:hAnsi="宋体" w:eastAsia="宋体"/>
          <w:color w:val="000000"/>
          <w:sz w:val="24"/>
        </w:rPr>
        <w:t xml:space="preserve">[8] </w:t>
      </w:r>
      <w:r>
        <w:rPr>
          <w:rFonts w:hint="eastAsia" w:ascii="宋体" w:hAnsi="宋体" w:eastAsia="宋体"/>
          <w:color w:val="000000"/>
          <w:sz w:val="24"/>
        </w:rPr>
        <w:t xml:space="preserve">黄璜.</w:t>
      </w:r>
      <w:r>
        <w:rPr>
          <w:rFonts w:ascii="宋体" w:hAnsi="宋体" w:eastAsia="宋体"/>
          <w:color w:val="000000"/>
          <w:sz w:val="24"/>
        </w:rPr>
        <w:t xml:space="preserve"> </w:t>
      </w:r>
      <w:r>
        <w:rPr>
          <w:rFonts w:hint="eastAsia" w:ascii="宋体" w:hAnsi="宋体" w:eastAsia="宋体"/>
          <w:color w:val="000000"/>
          <w:sz w:val="24"/>
        </w:rPr>
        <w:t xml:space="preserve">数字政府建设的理论逻辑与实践路径[J].</w:t>
      </w:r>
      <w:r>
        <w:rPr>
          <w:rFonts w:ascii="宋体" w:hAnsi="宋体" w:eastAsia="宋体"/>
          <w:color w:val="000000"/>
          <w:sz w:val="24"/>
        </w:rPr>
        <w:t xml:space="preserve"> </w:t>
      </w:r>
      <w:r>
        <w:rPr>
          <w:rFonts w:hint="eastAsia" w:ascii="宋体" w:hAnsi="宋体" w:eastAsia="宋体"/>
          <w:color w:val="000000"/>
          <w:sz w:val="24"/>
        </w:rPr>
        <w:t xml:space="preserve">中国行政管理,</w:t>
      </w:r>
      <w:r>
        <w:rPr>
          <w:rFonts w:ascii="宋体" w:hAnsi="宋体" w:eastAsia="宋体"/>
          <w:color w:val="000000"/>
          <w:sz w:val="24"/>
        </w:rPr>
        <w:t xml:space="preserve"> 2020, (6): 6-15.</w:t>
      </w:r>
    </w:p>
    <w:p>
      <w:pPr>
        <w:pStyle w:val="BodyText"/>
        <w:spacing w:line="360" w:lineRule="auto"/>
      </w:pPr>
      <w:r>
        <w:rPr>
          <w:rFonts w:ascii="宋体" w:hAnsi="宋体" w:eastAsia="宋体"/>
          <w:color w:val="000000"/>
          <w:sz w:val="24"/>
        </w:rPr>
        <w:t xml:space="preserve">[9] </w:t>
      </w:r>
      <w:r>
        <w:rPr>
          <w:rFonts w:hint="eastAsia" w:ascii="宋体" w:hAnsi="宋体" w:eastAsia="宋体"/>
          <w:color w:val="000000"/>
          <w:sz w:val="24"/>
        </w:rPr>
        <w:t xml:space="preserve">张会平,</w:t>
      </w:r>
      <w:r>
        <w:rPr>
          <w:rFonts w:ascii="宋体" w:hAnsi="宋体" w:eastAsia="宋体"/>
          <w:color w:val="000000"/>
          <w:sz w:val="24"/>
        </w:rPr>
        <w:t xml:space="preserve"> </w:t>
      </w:r>
      <w:r>
        <w:rPr>
          <w:rFonts w:hint="eastAsia" w:ascii="宋体" w:hAnsi="宋体" w:eastAsia="宋体"/>
          <w:color w:val="000000"/>
          <w:sz w:val="24"/>
        </w:rPr>
        <w:t xml:space="preserve">顾勤.</w:t>
      </w:r>
      <w:r>
        <w:rPr>
          <w:rFonts w:ascii="宋体" w:hAnsi="宋体" w:eastAsia="宋体"/>
          <w:color w:val="000000"/>
          <w:sz w:val="24"/>
        </w:rPr>
        <w:t xml:space="preserve"> </w:t>
      </w:r>
      <w:r>
        <w:rPr>
          <w:rFonts w:hint="eastAsia" w:ascii="宋体" w:hAnsi="宋体" w:eastAsia="宋体"/>
          <w:color w:val="000000"/>
          <w:sz w:val="24"/>
        </w:rPr>
        <w:t xml:space="preserve">公共数据授权运营的制度框架与风险治理[J].</w:t>
      </w:r>
      <w:r>
        <w:rPr>
          <w:rFonts w:ascii="宋体" w:hAnsi="宋体" w:eastAsia="宋体"/>
          <w:color w:val="000000"/>
          <w:sz w:val="24"/>
        </w:rPr>
        <w:t xml:space="preserve"> </w:t>
      </w:r>
      <w:r>
        <w:rPr>
          <w:rFonts w:hint="eastAsia" w:ascii="宋体" w:hAnsi="宋体" w:eastAsia="宋体"/>
          <w:color w:val="000000"/>
          <w:sz w:val="24"/>
        </w:rPr>
        <w:t xml:space="preserve">电子政务,</w:t>
      </w:r>
      <w:r>
        <w:rPr>
          <w:rFonts w:ascii="宋体" w:hAnsi="宋体" w:eastAsia="宋体"/>
          <w:color w:val="000000"/>
          <w:sz w:val="24"/>
        </w:rPr>
        <w:t xml:space="preserve"> 2023, (4): 2-13.</w:t>
      </w:r>
    </w:p>
    <w:p>
      <w:pPr>
        <w:pStyle w:val="BodyText"/>
        <w:spacing w:line="360" w:lineRule="auto"/>
      </w:pPr>
      <w:r>
        <w:rPr>
          <w:rFonts w:ascii="宋体" w:hAnsi="宋体" w:eastAsia="宋体"/>
          <w:color w:val="000000"/>
          <w:sz w:val="24"/>
        </w:rPr>
        <w:t xml:space="preserve">[10] </w:t>
      </w:r>
      <w:r>
        <w:rPr>
          <w:rFonts w:hint="eastAsia" w:ascii="宋体" w:hAnsi="宋体" w:eastAsia="宋体"/>
          <w:color w:val="000000"/>
          <w:sz w:val="24"/>
        </w:rPr>
        <w:t xml:space="preserve">丁晓强,</w:t>
      </w:r>
      <w:r>
        <w:rPr>
          <w:rFonts w:ascii="宋体" w:hAnsi="宋体" w:eastAsia="宋体"/>
          <w:color w:val="000000"/>
          <w:sz w:val="24"/>
        </w:rPr>
        <w:t xml:space="preserve"> </w:t>
      </w:r>
      <w:r>
        <w:rPr>
          <w:rFonts w:hint="eastAsia" w:ascii="宋体" w:hAnsi="宋体" w:eastAsia="宋体"/>
          <w:color w:val="000000"/>
          <w:sz w:val="24"/>
        </w:rPr>
        <w:t xml:space="preserve">陈涛.</w:t>
      </w:r>
      <w:r>
        <w:rPr>
          <w:rFonts w:ascii="宋体" w:hAnsi="宋体" w:eastAsia="宋体"/>
          <w:color w:val="000000"/>
          <w:sz w:val="24"/>
        </w:rPr>
        <w:t xml:space="preserve"> </w:t>
      </w:r>
      <w:r>
        <w:rPr>
          <w:rFonts w:hint="eastAsia" w:ascii="宋体" w:hAnsi="宋体" w:eastAsia="宋体"/>
          <w:color w:val="000000"/>
          <w:sz w:val="24"/>
        </w:rPr>
        <w:t xml:space="preserve">公共数据授权运营的定价机制研究[J].</w:t>
      </w:r>
      <w:r>
        <w:rPr>
          <w:rFonts w:ascii="宋体" w:hAnsi="宋体" w:eastAsia="宋体"/>
          <w:color w:val="000000"/>
          <w:sz w:val="24"/>
        </w:rPr>
        <w:t xml:space="preserve"> </w:t>
      </w:r>
      <w:r>
        <w:rPr>
          <w:rFonts w:hint="eastAsia" w:ascii="宋体" w:hAnsi="宋体" w:eastAsia="宋体"/>
          <w:color w:val="000000"/>
          <w:sz w:val="24"/>
        </w:rPr>
        <w:t xml:space="preserve">价格理论与实践,</w:t>
      </w:r>
      <w:r>
        <w:rPr>
          <w:rFonts w:ascii="宋体" w:hAnsi="宋体" w:eastAsia="宋体"/>
          <w:color w:val="000000"/>
          <w:sz w:val="24"/>
        </w:rPr>
        <w:t xml:space="preserve"> 2023, (5): 34-41.</w:t>
      </w:r>
    </w:p>
    <w:p>
      <w:pPr>
        <w:pStyle w:val="BodyText"/>
        <w:spacing w:line="360" w:lineRule="auto"/>
      </w:pPr>
      <w:r>
        <w:rPr>
          <w:rFonts w:ascii="宋体" w:hAnsi="宋体" w:eastAsia="宋体"/>
          <w:color w:val="000000"/>
          <w:sz w:val="24"/>
        </w:rPr>
        <w:t xml:space="preserve">[11] </w:t>
      </w:r>
      <w:r>
        <w:rPr>
          <w:rFonts w:hint="eastAsia" w:ascii="宋体" w:hAnsi="宋体" w:eastAsia="宋体"/>
          <w:color w:val="000000"/>
          <w:sz w:val="24"/>
        </w:rPr>
        <w:t xml:space="preserve">张涛,</w:t>
      </w:r>
      <w:r>
        <w:rPr>
          <w:rFonts w:ascii="宋体" w:hAnsi="宋体" w:eastAsia="宋体"/>
          <w:color w:val="000000"/>
          <w:sz w:val="24"/>
        </w:rPr>
        <w:t xml:space="preserve"> </w:t>
      </w:r>
      <w:r>
        <w:rPr>
          <w:rFonts w:hint="eastAsia" w:ascii="宋体" w:hAnsi="宋体" w:eastAsia="宋体"/>
          <w:color w:val="000000"/>
          <w:sz w:val="24"/>
        </w:rPr>
        <w:t xml:space="preserve">赵需要的.</w:t>
      </w:r>
      <w:r>
        <w:rPr>
          <w:rFonts w:ascii="宋体" w:hAnsi="宋体" w:eastAsia="宋体"/>
          <w:color w:val="000000"/>
          <w:sz w:val="24"/>
        </w:rPr>
        <w:t xml:space="preserve"> </w:t>
      </w:r>
      <w:r>
        <w:rPr>
          <w:rFonts w:hint="eastAsia" w:ascii="宋体" w:hAnsi="宋体" w:eastAsia="宋体"/>
          <w:color w:val="000000"/>
          <w:sz w:val="24"/>
        </w:rPr>
        <w:t xml:space="preserve">基于平衡计分卡的政府数据开放绩效评估模型研究[J].</w:t>
      </w:r>
      <w:r>
        <w:rPr>
          <w:rFonts w:ascii="宋体" w:hAnsi="宋体" w:eastAsia="宋体"/>
          <w:color w:val="000000"/>
          <w:sz w:val="24"/>
        </w:rPr>
        <w:t xml:space="preserve"> </w:t>
      </w:r>
      <w:r>
        <w:rPr>
          <w:rFonts w:hint="eastAsia" w:ascii="宋体" w:hAnsi="宋体" w:eastAsia="宋体"/>
          <w:color w:val="000000"/>
          <w:sz w:val="24"/>
        </w:rPr>
        <w:t xml:space="preserve">情报杂志,</w:t>
      </w:r>
      <w:r>
        <w:rPr>
          <w:rFonts w:ascii="宋体" w:hAnsi="宋体" w:eastAsia="宋体"/>
          <w:color w:val="000000"/>
          <w:sz w:val="24"/>
        </w:rPr>
        <w:t xml:space="preserve"> 2022, 41(7): 189-196.</w:t>
      </w:r>
    </w:p>
    <w:p>
      <w:pPr>
        <w:pStyle w:val="BodyText"/>
        <w:spacing w:line="360" w:lineRule="auto"/>
      </w:pPr>
      <w:r>
        <w:rPr>
          <w:rFonts w:ascii="宋体" w:hAnsi="宋体" w:eastAsia="宋体"/>
          <w:color w:val="000000"/>
          <w:sz w:val="24"/>
        </w:rPr>
        <w:t xml:space="preserve">[12] </w:t>
      </w:r>
      <w:r>
        <w:rPr>
          <w:rFonts w:hint="eastAsia" w:ascii="宋体" w:hAnsi="宋体" w:eastAsia="宋体"/>
          <w:color w:val="000000"/>
          <w:sz w:val="24"/>
        </w:rPr>
        <w:t xml:space="preserve">周文泓,</w:t>
      </w:r>
      <w:r>
        <w:rPr>
          <w:rFonts w:ascii="宋体" w:hAnsi="宋体" w:eastAsia="宋体"/>
          <w:color w:val="000000"/>
          <w:sz w:val="24"/>
        </w:rPr>
        <w:t xml:space="preserve"> </w:t>
      </w:r>
      <w:r>
        <w:rPr>
          <w:rFonts w:hint="eastAsia" w:ascii="宋体" w:hAnsi="宋体" w:eastAsia="宋体"/>
          <w:color w:val="000000"/>
          <w:sz w:val="24"/>
        </w:rPr>
        <w:t xml:space="preserve">贺佳秀.</w:t>
      </w:r>
      <w:r>
        <w:rPr>
          <w:rFonts w:ascii="宋体" w:hAnsi="宋体" w:eastAsia="宋体"/>
          <w:color w:val="000000"/>
          <w:sz w:val="24"/>
        </w:rPr>
        <w:t xml:space="preserve"> </w:t>
      </w:r>
      <w:r>
        <w:rPr>
          <w:rFonts w:hint="eastAsia" w:ascii="宋体" w:hAnsi="宋体" w:eastAsia="宋体"/>
          <w:color w:val="000000"/>
          <w:sz w:val="24"/>
        </w:rPr>
        <w:t xml:space="preserve">政府数据开放平台的用户满意度影响因素研究[J].</w:t>
      </w:r>
      <w:r>
        <w:rPr>
          <w:rFonts w:ascii="宋体" w:hAnsi="宋体" w:eastAsia="宋体"/>
          <w:color w:val="000000"/>
          <w:sz w:val="24"/>
        </w:rPr>
        <w:t xml:space="preserve"> </w:t>
      </w:r>
      <w:r>
        <w:rPr>
          <w:rFonts w:hint="eastAsia" w:ascii="宋体" w:hAnsi="宋体" w:eastAsia="宋体"/>
          <w:color w:val="000000"/>
          <w:sz w:val="24"/>
        </w:rPr>
        <w:t xml:space="preserve">图书情报工作,</w:t>
      </w:r>
      <w:r>
        <w:rPr>
          <w:rFonts w:ascii="宋体" w:hAnsi="宋体" w:eastAsia="宋体"/>
          <w:color w:val="000000"/>
          <w:sz w:val="24"/>
        </w:rPr>
        <w:t xml:space="preserve"> 2021, 65(15): 89-98.</w:t>
      </w:r>
    </w:p>
    <w:p>
      <w:pPr>
        <w:pStyle w:val="BodyText"/>
        <w:spacing w:line="360" w:lineRule="auto"/>
      </w:pPr>
      <w:r>
        <w:rPr>
          <w:rFonts w:ascii="宋体" w:hAnsi="宋体" w:eastAsia="宋体"/>
          <w:color w:val="000000"/>
          <w:sz w:val="24"/>
        </w:rPr>
        <w:t xml:space="preserve">[13] </w:t>
      </w:r>
      <w:r>
        <w:rPr>
          <w:rFonts w:hint="eastAsia" w:ascii="宋体" w:hAnsi="宋体" w:eastAsia="宋体"/>
          <w:color w:val="000000"/>
          <w:sz w:val="24"/>
        </w:rPr>
        <w:t xml:space="preserve">郑磊,</w:t>
      </w:r>
      <w:r>
        <w:rPr>
          <w:rFonts w:ascii="宋体" w:hAnsi="宋体" w:eastAsia="宋体"/>
          <w:color w:val="000000"/>
          <w:sz w:val="24"/>
        </w:rPr>
        <w:t xml:space="preserve"> </w:t>
      </w:r>
      <w:r>
        <w:rPr>
          <w:rFonts w:hint="eastAsia" w:ascii="宋体" w:hAnsi="宋体" w:eastAsia="宋体"/>
          <w:color w:val="000000"/>
          <w:sz w:val="24"/>
        </w:rPr>
        <w:t xml:space="preserve">刘新萍,</w:t>
      </w:r>
      <w:r>
        <w:rPr>
          <w:rFonts w:ascii="宋体" w:hAnsi="宋体" w:eastAsia="宋体"/>
          <w:color w:val="000000"/>
          <w:sz w:val="24"/>
        </w:rPr>
        <w:t xml:space="preserve"> </w:t>
      </w:r>
      <w:r>
        <w:rPr>
          <w:rFonts w:hint="eastAsia" w:ascii="宋体" w:hAnsi="宋体" w:eastAsia="宋体"/>
          <w:color w:val="000000"/>
          <w:sz w:val="24"/>
        </w:rPr>
        <w:t xml:space="preserve">徐慧娜.</w:t>
      </w:r>
      <w:r>
        <w:rPr>
          <w:rFonts w:ascii="宋体" w:hAnsi="宋体" w:eastAsia="宋体"/>
          <w:color w:val="000000"/>
          <w:sz w:val="24"/>
        </w:rPr>
        <w:t xml:space="preserve"> </w:t>
      </w:r>
      <w:r>
        <w:rPr>
          <w:rFonts w:hint="eastAsia" w:ascii="宋体" w:hAnsi="宋体" w:eastAsia="宋体"/>
          <w:color w:val="000000"/>
          <w:sz w:val="24"/>
        </w:rPr>
        <w:t xml:space="preserve">中国开放数林指数：指标体系与评估方法[J].</w:t>
      </w:r>
      <w:r>
        <w:rPr>
          <w:rFonts w:ascii="宋体" w:hAnsi="宋体" w:eastAsia="宋体"/>
          <w:color w:val="000000"/>
          <w:sz w:val="24"/>
        </w:rPr>
        <w:t xml:space="preserve"> </w:t>
      </w:r>
      <w:r>
        <w:rPr>
          <w:rFonts w:hint="eastAsia" w:ascii="宋体" w:hAnsi="宋体" w:eastAsia="宋体"/>
          <w:color w:val="000000"/>
          <w:sz w:val="24"/>
        </w:rPr>
        <w:t xml:space="preserve">电子政务,</w:t>
      </w:r>
      <w:r>
        <w:rPr>
          <w:rFonts w:ascii="宋体" w:hAnsi="宋体" w:eastAsia="宋体"/>
          <w:color w:val="000000"/>
          <w:sz w:val="24"/>
        </w:rPr>
        <w:t xml:space="preserve"> 2018, (8): 2-12.</w:t>
      </w:r>
    </w:p>
    <w:p>
      <w:pPr>
        <w:pStyle w:val="BodyText"/>
        <w:spacing w:line="360" w:lineRule="auto"/>
      </w:pPr>
      <w:r>
        <w:rPr>
          <w:rFonts w:ascii="宋体" w:hAnsi="宋体" w:eastAsia="宋体"/>
          <w:color w:val="000000"/>
          <w:sz w:val="24"/>
        </w:rPr>
        <w:t xml:space="preserve">[14] </w:t>
      </w:r>
      <w:r>
        <w:rPr>
          <w:rFonts w:hint="eastAsia" w:ascii="宋体" w:hAnsi="宋体" w:eastAsia="宋体"/>
          <w:color w:val="000000"/>
          <w:sz w:val="24"/>
        </w:rPr>
        <w:t xml:space="preserve">黄璜.</w:t>
      </w:r>
      <w:r>
        <w:rPr>
          <w:rFonts w:ascii="宋体" w:hAnsi="宋体" w:eastAsia="宋体"/>
          <w:color w:val="000000"/>
          <w:sz w:val="24"/>
        </w:rPr>
        <w:t xml:space="preserve"> </w:t>
      </w:r>
      <w:r>
        <w:rPr>
          <w:rFonts w:hint="eastAsia" w:ascii="宋体" w:hAnsi="宋体" w:eastAsia="宋体"/>
          <w:color w:val="000000"/>
          <w:sz w:val="24"/>
        </w:rPr>
        <w:t xml:space="preserve">“以用促建、以用促优”</w:t>
      </w:r>
      <w:r>
        <w:rPr>
          <w:rFonts w:hint="eastAsia" w:ascii="宋体" w:hAnsi="宋体" w:eastAsia="宋体"/>
          <w:color w:val="000000"/>
          <w:sz w:val="24"/>
        </w:rPr>
        <w:t xml:space="preserve">：政府数据开放的发展逻辑[J].</w:t>
      </w:r>
      <w:r>
        <w:rPr>
          <w:rFonts w:ascii="宋体" w:hAnsi="宋体" w:eastAsia="宋体"/>
          <w:color w:val="000000"/>
          <w:sz w:val="24"/>
        </w:rPr>
        <w:t xml:space="preserve"> </w:t>
      </w:r>
      <w:r>
        <w:rPr>
          <w:rFonts w:hint="eastAsia" w:ascii="宋体" w:hAnsi="宋体" w:eastAsia="宋体"/>
          <w:color w:val="000000"/>
          <w:sz w:val="24"/>
        </w:rPr>
        <w:t xml:space="preserve">中国行政管理,</w:t>
      </w:r>
      <w:r>
        <w:rPr>
          <w:rFonts w:ascii="宋体" w:hAnsi="宋体" w:eastAsia="宋体"/>
          <w:color w:val="000000"/>
          <w:sz w:val="24"/>
        </w:rPr>
        <w:t xml:space="preserve"> 2019, (10): 22-28.</w:t>
      </w:r>
    </w:p>
    <w:p>
      <w:pPr>
        <w:pStyle w:val="BodyText"/>
        <w:spacing w:line="360" w:lineRule="auto"/>
      </w:pPr>
      <w:r>
        <w:rPr>
          <w:rFonts w:ascii="宋体" w:hAnsi="宋体" w:eastAsia="宋体"/>
          <w:color w:val="000000"/>
          <w:sz w:val="24"/>
        </w:rPr>
        <w:t xml:space="preserve">[15] </w:t>
      </w:r>
      <w:r>
        <w:rPr>
          <w:rFonts w:hint="eastAsia" w:ascii="宋体" w:hAnsi="宋体" w:eastAsia="宋体"/>
          <w:color w:val="000000"/>
          <w:sz w:val="24"/>
        </w:rPr>
        <w:t xml:space="preserve">张会平,</w:t>
      </w:r>
      <w:r>
        <w:rPr>
          <w:rFonts w:ascii="宋体" w:hAnsi="宋体" w:eastAsia="宋体"/>
          <w:color w:val="000000"/>
          <w:sz w:val="24"/>
        </w:rPr>
        <w:t xml:space="preserve"> </w:t>
      </w:r>
      <w:r>
        <w:rPr>
          <w:rFonts w:hint="eastAsia" w:ascii="宋体" w:hAnsi="宋体" w:eastAsia="宋体"/>
          <w:color w:val="000000"/>
          <w:sz w:val="24"/>
        </w:rPr>
        <w:t xml:space="preserve">赵莹.</w:t>
      </w:r>
      <w:r>
        <w:rPr>
          <w:rFonts w:ascii="宋体" w:hAnsi="宋体" w:eastAsia="宋体"/>
          <w:color w:val="000000"/>
          <w:sz w:val="24"/>
        </w:rPr>
        <w:t xml:space="preserve"> </w:t>
      </w:r>
      <w:r>
        <w:rPr>
          <w:rFonts w:hint="eastAsia" w:ascii="宋体" w:hAnsi="宋体" w:eastAsia="宋体"/>
          <w:color w:val="000000"/>
          <w:sz w:val="24"/>
        </w:rPr>
        <w:t xml:space="preserve">政府数据开放与公共数据授权运营：概念辨析与边界界定[J].</w:t>
      </w:r>
      <w:r>
        <w:rPr>
          <w:rFonts w:ascii="宋体" w:hAnsi="宋体" w:eastAsia="宋体"/>
          <w:color w:val="000000"/>
          <w:sz w:val="24"/>
        </w:rPr>
        <w:t xml:space="preserve"> </w:t>
      </w:r>
      <w:r>
        <w:rPr>
          <w:rFonts w:hint="eastAsia" w:ascii="宋体" w:hAnsi="宋体" w:eastAsia="宋体"/>
          <w:color w:val="000000"/>
          <w:sz w:val="24"/>
        </w:rPr>
        <w:t xml:space="preserve">图书情报知识,</w:t>
      </w:r>
      <w:r>
        <w:rPr>
          <w:rFonts w:ascii="宋体" w:hAnsi="宋体" w:eastAsia="宋体"/>
          <w:color w:val="000000"/>
          <w:sz w:val="24"/>
        </w:rPr>
        <w:t xml:space="preserve"> 2023, (2): 56-65.</w:t>
      </w:r>
    </w:p>
    <w:p>
      <w:pPr>
        <w:pStyle w:val="BodyText"/>
        <w:spacing w:line="360" w:lineRule="auto"/>
      </w:pPr>
      <w:r>
        <w:rPr>
          <w:rFonts w:ascii="宋体" w:hAnsi="宋体" w:eastAsia="宋体"/>
          <w:color w:val="000000"/>
          <w:sz w:val="24"/>
        </w:rPr>
        <w:t xml:space="preserve">[16] </w:t>
      </w:r>
      <w:r>
        <w:rPr>
          <w:rFonts w:hint="eastAsia" w:ascii="宋体" w:hAnsi="宋体" w:eastAsia="宋体"/>
          <w:color w:val="000000"/>
          <w:sz w:val="24"/>
        </w:rPr>
        <w:t xml:space="preserve">丁晓强.</w:t>
      </w:r>
      <w:r>
        <w:rPr>
          <w:rFonts w:ascii="宋体" w:hAnsi="宋体" w:eastAsia="宋体"/>
          <w:color w:val="000000"/>
          <w:sz w:val="24"/>
        </w:rPr>
        <w:t xml:space="preserve"> </w:t>
      </w:r>
      <w:r>
        <w:rPr>
          <w:rFonts w:hint="eastAsia" w:ascii="宋体" w:hAnsi="宋体" w:eastAsia="宋体"/>
          <w:color w:val="000000"/>
          <w:sz w:val="24"/>
        </w:rPr>
        <w:t xml:space="preserve">数据要素市场化配置的产权基础与制度安排[J].</w:t>
      </w:r>
      <w:r>
        <w:rPr>
          <w:rFonts w:ascii="宋体" w:hAnsi="宋体" w:eastAsia="宋体"/>
          <w:color w:val="000000"/>
          <w:sz w:val="24"/>
        </w:rPr>
        <w:t xml:space="preserve"> </w:t>
      </w:r>
      <w:r>
        <w:rPr>
          <w:rFonts w:hint="eastAsia" w:ascii="宋体" w:hAnsi="宋体" w:eastAsia="宋体"/>
          <w:color w:val="000000"/>
          <w:sz w:val="24"/>
        </w:rPr>
        <w:t xml:space="preserve">改革,</w:t>
      </w:r>
      <w:r>
        <w:rPr>
          <w:rFonts w:ascii="宋体" w:hAnsi="宋体" w:eastAsia="宋体"/>
          <w:color w:val="000000"/>
          <w:sz w:val="24"/>
        </w:rPr>
        <w:t xml:space="preserve"> 2022, (9): 1-13.</w:t>
      </w:r>
    </w:p>
    <w:p>
      <w:pPr>
        <w:pStyle w:val="BodyText"/>
        <w:spacing w:line="360" w:lineRule="auto"/>
      </w:pPr>
      <w:r>
        <w:rPr>
          <w:rFonts w:ascii="宋体" w:hAnsi="宋体" w:eastAsia="宋体"/>
          <w:color w:val="000000"/>
          <w:sz w:val="24"/>
        </w:rPr>
        <w:t xml:space="preserve">[17] </w:t>
      </w:r>
      <w:r>
        <w:rPr>
          <w:rFonts w:hint="eastAsia" w:ascii="宋体" w:hAnsi="宋体" w:eastAsia="宋体"/>
          <w:color w:val="000000"/>
          <w:sz w:val="24"/>
        </w:rPr>
        <w:t xml:space="preserve">国务院办公厅.</w:t>
      </w:r>
      <w:r>
        <w:rPr>
          <w:rFonts w:ascii="宋体" w:hAnsi="宋体" w:eastAsia="宋体"/>
          <w:color w:val="000000"/>
          <w:sz w:val="24"/>
        </w:rPr>
        <w:t xml:space="preserve"> </w:t>
      </w:r>
      <w:r>
        <w:rPr>
          <w:rFonts w:hint="eastAsia" w:ascii="宋体" w:hAnsi="宋体" w:eastAsia="宋体"/>
          <w:color w:val="000000"/>
          <w:sz w:val="24"/>
        </w:rPr>
        <w:t xml:space="preserve">促进大数据发展行动纲要[Z].</w:t>
      </w:r>
      <w:r>
        <w:rPr>
          <w:rFonts w:ascii="宋体" w:hAnsi="宋体" w:eastAsia="宋体"/>
          <w:color w:val="000000"/>
          <w:sz w:val="24"/>
        </w:rPr>
        <w:t xml:space="preserve"> </w:t>
      </w:r>
      <w:r>
        <w:rPr>
          <w:rFonts w:hint="eastAsia" w:ascii="宋体" w:hAnsi="宋体" w:eastAsia="宋体"/>
          <w:color w:val="000000"/>
          <w:sz w:val="24"/>
        </w:rPr>
        <w:t xml:space="preserve">国发〔2015〕50号,</w:t>
      </w:r>
      <w:r>
        <w:rPr>
          <w:rFonts w:ascii="宋体" w:hAnsi="宋体" w:eastAsia="宋体"/>
          <w:color w:val="000000"/>
          <w:sz w:val="24"/>
        </w:rPr>
        <w:t xml:space="preserve"> 2015.</w:t>
      </w:r>
    </w:p>
    <w:p>
      <w:pPr>
        <w:pStyle w:val="BodyText"/>
        <w:spacing w:line="360" w:lineRule="auto"/>
      </w:pPr>
      <w:r>
        <w:rPr>
          <w:rFonts w:ascii="宋体" w:hAnsi="宋体" w:eastAsia="宋体"/>
          <w:color w:val="000000"/>
          <w:sz w:val="24"/>
        </w:rPr>
        <w:t xml:space="preserve">[18] </w:t>
      </w:r>
      <w:r>
        <w:rPr>
          <w:rFonts w:hint="eastAsia" w:ascii="宋体" w:hAnsi="宋体" w:eastAsia="宋体"/>
          <w:color w:val="000000"/>
          <w:sz w:val="24"/>
        </w:rPr>
        <w:t xml:space="preserve">中共中央,</w:t>
      </w:r>
      <w:r>
        <w:rPr>
          <w:rFonts w:ascii="宋体" w:hAnsi="宋体" w:eastAsia="宋体"/>
          <w:color w:val="000000"/>
          <w:sz w:val="24"/>
        </w:rPr>
        <w:t xml:space="preserve"> </w:t>
      </w:r>
      <w:r>
        <w:rPr>
          <w:rFonts w:hint="eastAsia" w:ascii="宋体" w:hAnsi="宋体" w:eastAsia="宋体"/>
          <w:color w:val="000000"/>
          <w:sz w:val="24"/>
        </w:rPr>
        <w:t xml:space="preserve">国务院.</w:t>
      </w:r>
      <w:r>
        <w:rPr>
          <w:rFonts w:ascii="宋体" w:hAnsi="宋体" w:eastAsia="宋体"/>
          <w:color w:val="000000"/>
          <w:sz w:val="24"/>
        </w:rPr>
        <w:t xml:space="preserve"> </w:t>
      </w:r>
      <w:r>
        <w:rPr>
          <w:rFonts w:hint="eastAsia" w:ascii="宋体" w:hAnsi="宋体" w:eastAsia="宋体"/>
          <w:color w:val="000000"/>
          <w:sz w:val="24"/>
        </w:rPr>
        <w:t xml:space="preserve">关于构建更加完善的要素市场化配置体制机制的意见[Z].</w:t>
      </w:r>
      <w:r>
        <w:rPr>
          <w:rFonts w:ascii="宋体" w:hAnsi="宋体" w:eastAsia="宋体"/>
          <w:color w:val="000000"/>
          <w:sz w:val="24"/>
        </w:rPr>
        <w:t xml:space="preserve"> 2020.</w:t>
      </w:r>
    </w:p>
    <w:p>
      <w:pPr>
        <w:pStyle w:val="BodyText"/>
        <w:spacing w:line="360" w:lineRule="auto"/>
      </w:pPr>
      <w:r>
        <w:rPr>
          <w:rFonts w:ascii="宋体" w:hAnsi="宋体" w:eastAsia="宋体"/>
          <w:color w:val="000000"/>
          <w:sz w:val="24"/>
        </w:rPr>
        <w:t xml:space="preserve">[19] </w:t>
      </w:r>
      <w:r>
        <w:rPr>
          <w:rFonts w:hint="eastAsia" w:ascii="宋体" w:hAnsi="宋体" w:eastAsia="宋体"/>
          <w:color w:val="000000"/>
          <w:sz w:val="24"/>
        </w:rPr>
        <w:t xml:space="preserve">中共中央,</w:t>
      </w:r>
      <w:r>
        <w:rPr>
          <w:rFonts w:ascii="宋体" w:hAnsi="宋体" w:eastAsia="宋体"/>
          <w:color w:val="000000"/>
          <w:sz w:val="24"/>
        </w:rPr>
        <w:t xml:space="preserve"> </w:t>
      </w:r>
      <w:r>
        <w:rPr>
          <w:rFonts w:hint="eastAsia" w:ascii="宋体" w:hAnsi="宋体" w:eastAsia="宋体"/>
          <w:color w:val="000000"/>
          <w:sz w:val="24"/>
        </w:rPr>
        <w:t xml:space="preserve">国务院.</w:t>
      </w:r>
      <w:r>
        <w:rPr>
          <w:rFonts w:ascii="宋体" w:hAnsi="宋体" w:eastAsia="宋体"/>
          <w:color w:val="000000"/>
          <w:sz w:val="24"/>
        </w:rPr>
        <w:t xml:space="preserve"> </w:t>
      </w:r>
      <w:r>
        <w:rPr>
          <w:rFonts w:hint="eastAsia" w:ascii="宋体" w:hAnsi="宋体" w:eastAsia="宋体"/>
          <w:color w:val="000000"/>
          <w:sz w:val="24"/>
        </w:rPr>
        <w:t xml:space="preserve">关于构建数据基础制度更好发挥数据要素作用的意见（</w:t>
      </w:r>
      <w:r>
        <w:rPr>
          <w:rFonts w:hint="eastAsia" w:ascii="宋体" w:hAnsi="宋体" w:eastAsia="宋体"/>
          <w:color w:val="000000"/>
          <w:sz w:val="24"/>
        </w:rPr>
        <w:t xml:space="preserve">“数据二十条”</w:t>
      </w:r>
      <w:r>
        <w:rPr>
          <w:rFonts w:hint="eastAsia" w:ascii="宋体" w:hAnsi="宋体" w:eastAsia="宋体"/>
          <w:color w:val="000000"/>
          <w:sz w:val="24"/>
        </w:rPr>
        <w:t xml:space="preserve">）[Z].</w:t>
      </w:r>
      <w:r>
        <w:rPr>
          <w:rFonts w:ascii="宋体" w:hAnsi="宋体" w:eastAsia="宋体"/>
          <w:color w:val="000000"/>
          <w:sz w:val="24"/>
        </w:rPr>
        <w:t xml:space="preserve"> 2022.</w:t>
      </w:r>
    </w:p>
    <w:p>
      <w:pPr>
        <w:pStyle w:val="BodyText"/>
        <w:spacing w:line="360" w:lineRule="auto"/>
      </w:pPr>
      <w:r>
        <w:rPr>
          <w:rFonts w:ascii="宋体" w:hAnsi="宋体" w:eastAsia="宋体"/>
          <w:color w:val="000000"/>
          <w:sz w:val="24"/>
        </w:rPr>
        <w:t xml:space="preserve">[20] </w:t>
      </w:r>
      <w:r>
        <w:rPr>
          <w:rFonts w:hint="eastAsia" w:ascii="宋体" w:hAnsi="宋体" w:eastAsia="宋体"/>
          <w:color w:val="000000"/>
          <w:sz w:val="24"/>
        </w:rPr>
        <w:t xml:space="preserve">国家数据局.</w:t>
      </w:r>
      <w:r>
        <w:rPr>
          <w:rFonts w:ascii="宋体" w:hAnsi="宋体" w:eastAsia="宋体"/>
          <w:color w:val="000000"/>
          <w:sz w:val="24"/>
        </w:rPr>
        <w:t xml:space="preserve"> </w:t>
      </w:r>
      <w:r>
        <w:rPr>
          <w:rFonts w:hint="eastAsia" w:ascii="宋体" w:hAnsi="宋体" w:eastAsia="宋体"/>
          <w:color w:val="000000"/>
          <w:sz w:val="24"/>
        </w:rPr>
        <w:t xml:space="preserve">公共数据授权运营规范（征求意见稿）[Z].</w:t>
      </w:r>
      <w:r>
        <w:rPr>
          <w:rFonts w:ascii="宋体" w:hAnsi="宋体" w:eastAsia="宋体"/>
          <w:color w:val="000000"/>
          <w:sz w:val="24"/>
        </w:rPr>
        <w:t xml:space="preserve"> 2025.</w:t>
      </w:r>
    </w:p>
    <w:p>
      <w:pPr>
        <w:pStyle w:val="BodyText"/>
        <w:spacing w:line="360" w:lineRule="auto"/>
      </w:pPr>
      <w:r>
        <w:rPr>
          <w:rFonts w:ascii="宋体" w:hAnsi="宋体" w:eastAsia="宋体"/>
          <w:color w:val="000000"/>
          <w:sz w:val="24"/>
        </w:rPr>
        <w:t xml:space="preserve">[21] </w:t>
      </w:r>
      <w:r>
        <w:rPr>
          <w:rFonts w:hint="eastAsia" w:ascii="宋体" w:hAnsi="宋体" w:eastAsia="宋体"/>
          <w:color w:val="000000"/>
          <w:sz w:val="24"/>
        </w:rPr>
        <w:t xml:space="preserve">全国人大.</w:t>
      </w:r>
      <w:r>
        <w:rPr>
          <w:rFonts w:ascii="宋体" w:hAnsi="宋体" w:eastAsia="宋体"/>
          <w:color w:val="000000"/>
          <w:sz w:val="24"/>
        </w:rPr>
        <w:t xml:space="preserve"> </w:t>
      </w:r>
      <w:r>
        <w:rPr>
          <w:rFonts w:hint="eastAsia" w:ascii="宋体" w:hAnsi="宋体" w:eastAsia="宋体"/>
          <w:color w:val="000000"/>
          <w:sz w:val="24"/>
        </w:rPr>
        <w:t xml:space="preserve">中华人民共和国数据安全法[Z].</w:t>
      </w:r>
      <w:r>
        <w:rPr>
          <w:rFonts w:ascii="宋体" w:hAnsi="宋体" w:eastAsia="宋体"/>
          <w:color w:val="000000"/>
          <w:sz w:val="24"/>
        </w:rPr>
        <w:t xml:space="preserve"> 2021.</w:t>
      </w:r>
    </w:p>
    <w:p>
      <w:pPr>
        <w:pStyle w:val="BodyText"/>
        <w:spacing w:line="360" w:lineRule="auto"/>
      </w:pPr>
      <w:r>
        <w:rPr>
          <w:rFonts w:ascii="宋体" w:hAnsi="宋体" w:eastAsia="宋体"/>
          <w:color w:val="000000"/>
          <w:sz w:val="24"/>
        </w:rPr>
        <w:t xml:space="preserve">[22] </w:t>
      </w:r>
      <w:r>
        <w:rPr>
          <w:rFonts w:hint="eastAsia" w:ascii="宋体" w:hAnsi="宋体" w:eastAsia="宋体"/>
          <w:color w:val="000000"/>
          <w:sz w:val="24"/>
        </w:rPr>
        <w:t xml:space="preserve">全国人大.</w:t>
      </w:r>
      <w:r>
        <w:rPr>
          <w:rFonts w:ascii="宋体" w:hAnsi="宋体" w:eastAsia="宋体"/>
          <w:color w:val="000000"/>
          <w:sz w:val="24"/>
        </w:rPr>
        <w:t xml:space="preserve"> </w:t>
      </w:r>
      <w:r>
        <w:rPr>
          <w:rFonts w:hint="eastAsia" w:ascii="宋体" w:hAnsi="宋体" w:eastAsia="宋体"/>
          <w:color w:val="000000"/>
          <w:sz w:val="24"/>
        </w:rPr>
        <w:t xml:space="preserve">中华人民共和国个人信息保护法[Z].</w:t>
      </w:r>
      <w:r>
        <w:rPr>
          <w:rFonts w:ascii="宋体" w:hAnsi="宋体" w:eastAsia="宋体"/>
          <w:color w:val="000000"/>
          <w:sz w:val="24"/>
        </w:rPr>
        <w:t xml:space="preserve"> 2021.</w:t>
      </w:r>
    </w:p>
    <w:p>
      <w:pPr>
        <w:pStyle w:val="BodyText"/>
        <w:spacing w:line="360" w:lineRule="auto"/>
      </w:pPr>
      <w:r>
        <w:rPr>
          <w:rFonts w:ascii="宋体" w:hAnsi="宋体" w:eastAsia="宋体"/>
          <w:color w:val="000000"/>
          <w:sz w:val="24"/>
        </w:rPr>
        <w:t xml:space="preserve">[23] </w:t>
      </w:r>
      <w:r>
        <w:rPr>
          <w:rFonts w:hint="eastAsia" w:ascii="宋体" w:hAnsi="宋体" w:eastAsia="宋体"/>
          <w:color w:val="000000"/>
          <w:sz w:val="24"/>
        </w:rPr>
        <w:t xml:space="preserve">国家信息中心.</w:t>
      </w:r>
      <w:r>
        <w:rPr>
          <w:rFonts w:ascii="宋体" w:hAnsi="宋体" w:eastAsia="宋体"/>
          <w:color w:val="000000"/>
          <w:sz w:val="24"/>
        </w:rPr>
        <w:t xml:space="preserve"> </w:t>
      </w:r>
      <w:r>
        <w:rPr>
          <w:rFonts w:hint="eastAsia" w:ascii="宋体" w:hAnsi="宋体" w:eastAsia="宋体"/>
          <w:color w:val="000000"/>
          <w:sz w:val="24"/>
        </w:rPr>
        <w:t xml:space="preserve">中国数字政府建设白皮书（2024年）[R].</w:t>
      </w:r>
      <w:r>
        <w:rPr>
          <w:rFonts w:ascii="宋体" w:hAnsi="宋体" w:eastAsia="宋体"/>
          <w:color w:val="000000"/>
          <w:sz w:val="24"/>
        </w:rPr>
        <w:t xml:space="preserve"> </w:t>
      </w:r>
      <w:r>
        <w:rPr>
          <w:rFonts w:hint="eastAsia" w:ascii="宋体" w:hAnsi="宋体" w:eastAsia="宋体"/>
          <w:color w:val="000000"/>
          <w:sz w:val="24"/>
        </w:rPr>
        <w:t xml:space="preserve">北京:</w:t>
      </w:r>
      <w:r>
        <w:rPr>
          <w:rFonts w:ascii="宋体" w:hAnsi="宋体" w:eastAsia="宋体"/>
          <w:color w:val="000000"/>
          <w:sz w:val="24"/>
        </w:rPr>
        <w:t xml:space="preserve"> </w:t>
      </w:r>
      <w:r>
        <w:rPr>
          <w:rFonts w:hint="eastAsia" w:ascii="宋体" w:hAnsi="宋体" w:eastAsia="宋体"/>
          <w:color w:val="000000"/>
          <w:sz w:val="24"/>
        </w:rPr>
        <w:t xml:space="preserve">国家信息中心,</w:t>
      </w:r>
      <w:r>
        <w:rPr>
          <w:rFonts w:ascii="宋体" w:hAnsi="宋体" w:eastAsia="宋体"/>
          <w:color w:val="000000"/>
          <w:sz w:val="24"/>
        </w:rPr>
        <w:t xml:space="preserve"> 2024.</w:t>
      </w:r>
    </w:p>
    <w:p>
      <w:pPr>
        <w:pStyle w:val="BodyText"/>
        <w:spacing w:line="360" w:lineRule="auto"/>
      </w:pPr>
      <w:r>
        <w:rPr>
          <w:rFonts w:ascii="宋体" w:hAnsi="宋体" w:eastAsia="宋体"/>
          <w:color w:val="000000"/>
          <w:sz w:val="24"/>
        </w:rPr>
        <w:t xml:space="preserve">[24] </w:t>
      </w:r>
      <w:r>
        <w:rPr>
          <w:rFonts w:hint="eastAsia" w:ascii="宋体" w:hAnsi="宋体" w:eastAsia="宋体"/>
          <w:color w:val="000000"/>
          <w:sz w:val="24"/>
        </w:rPr>
        <w:t xml:space="preserve">中国信息通信研究院.</w:t>
      </w:r>
      <w:r>
        <w:rPr>
          <w:rFonts w:ascii="宋体" w:hAnsi="宋体" w:eastAsia="宋体"/>
          <w:color w:val="000000"/>
          <w:sz w:val="24"/>
        </w:rPr>
        <w:t xml:space="preserve"> </w:t>
      </w:r>
      <w:r>
        <w:rPr>
          <w:rFonts w:hint="eastAsia" w:ascii="宋体" w:hAnsi="宋体" w:eastAsia="宋体"/>
          <w:color w:val="000000"/>
          <w:sz w:val="24"/>
        </w:rPr>
        <w:t xml:space="preserve">数字政府建设发展水平评估报告（2024）[R].</w:t>
      </w:r>
      <w:r>
        <w:rPr>
          <w:rFonts w:ascii="宋体" w:hAnsi="宋体" w:eastAsia="宋体"/>
          <w:color w:val="000000"/>
          <w:sz w:val="24"/>
        </w:rPr>
        <w:t xml:space="preserve"> </w:t>
      </w:r>
      <w:r>
        <w:rPr>
          <w:rFonts w:hint="eastAsia" w:ascii="宋体" w:hAnsi="宋体" w:eastAsia="宋体"/>
          <w:color w:val="000000"/>
          <w:sz w:val="24"/>
        </w:rPr>
        <w:t xml:space="preserve">北京:</w:t>
      </w:r>
      <w:r>
        <w:rPr>
          <w:rFonts w:ascii="宋体" w:hAnsi="宋体" w:eastAsia="宋体"/>
          <w:color w:val="000000"/>
          <w:sz w:val="24"/>
        </w:rPr>
        <w:t xml:space="preserve"> </w:t>
      </w:r>
      <w:r>
        <w:rPr>
          <w:rFonts w:hint="eastAsia" w:ascii="宋体" w:hAnsi="宋体" w:eastAsia="宋体"/>
          <w:color w:val="000000"/>
          <w:sz w:val="24"/>
        </w:rPr>
        <w:t xml:space="preserve">中国信息通信研究院,</w:t>
      </w:r>
      <w:r>
        <w:rPr>
          <w:rFonts w:ascii="宋体" w:hAnsi="宋体" w:eastAsia="宋体"/>
          <w:color w:val="000000"/>
          <w:sz w:val="24"/>
        </w:rPr>
        <w:t xml:space="preserve"> 2024.</w:t>
      </w:r>
    </w:p>
    <w:p>
      <w:pPr>
        <w:pStyle w:val="BodyText"/>
        <w:spacing w:line="360" w:lineRule="auto"/>
      </w:pPr>
      <w:r>
        <w:rPr>
          <w:rFonts w:ascii="宋体" w:hAnsi="宋体" w:eastAsia="宋体"/>
          <w:color w:val="000000"/>
          <w:sz w:val="24"/>
        </w:rPr>
        <w:t xml:space="preserve">[25] </w:t>
      </w:r>
      <w:r>
        <w:rPr>
          <w:rFonts w:hint="eastAsia" w:ascii="宋体" w:hAnsi="宋体" w:eastAsia="宋体"/>
          <w:color w:val="000000"/>
          <w:sz w:val="24"/>
        </w:rPr>
        <w:t xml:space="preserve">清华大学数据治理研究中心.</w:t>
      </w:r>
      <w:r>
        <w:rPr>
          <w:rFonts w:ascii="宋体" w:hAnsi="宋体" w:eastAsia="宋体"/>
          <w:color w:val="000000"/>
          <w:sz w:val="24"/>
        </w:rPr>
        <w:t xml:space="preserve"> </w:t>
      </w:r>
      <w:r>
        <w:rPr>
          <w:rFonts w:hint="eastAsia" w:ascii="宋体" w:hAnsi="宋体" w:eastAsia="宋体"/>
          <w:color w:val="000000"/>
          <w:sz w:val="24"/>
        </w:rPr>
        <w:t xml:space="preserve">政府数据开放指数报告（2023）[R].</w:t>
      </w:r>
      <w:r>
        <w:rPr>
          <w:rFonts w:ascii="宋体" w:hAnsi="宋体" w:eastAsia="宋体"/>
          <w:color w:val="000000"/>
          <w:sz w:val="24"/>
        </w:rPr>
        <w:t xml:space="preserve"> </w:t>
      </w:r>
      <w:r>
        <w:rPr>
          <w:rFonts w:hint="eastAsia" w:ascii="宋体" w:hAnsi="宋体" w:eastAsia="宋体"/>
          <w:color w:val="000000"/>
          <w:sz w:val="24"/>
        </w:rPr>
        <w:t xml:space="preserve">北京:</w:t>
      </w:r>
      <w:r>
        <w:rPr>
          <w:rFonts w:ascii="宋体" w:hAnsi="宋体" w:eastAsia="宋体"/>
          <w:color w:val="000000"/>
          <w:sz w:val="24"/>
        </w:rPr>
        <w:t xml:space="preserve"> </w:t>
      </w:r>
      <w:r>
        <w:rPr>
          <w:rFonts w:hint="eastAsia" w:ascii="宋体" w:hAnsi="宋体" w:eastAsia="宋体"/>
          <w:color w:val="000000"/>
          <w:sz w:val="24"/>
        </w:rPr>
        <w:t xml:space="preserve">清华大学,</w:t>
      </w:r>
      <w:r>
        <w:rPr>
          <w:rFonts w:ascii="宋体" w:hAnsi="宋体" w:eastAsia="宋体"/>
          <w:color w:val="000000"/>
          <w:sz w:val="24"/>
        </w:rPr>
        <w:t xml:space="preserve"> 2023.</w:t>
      </w:r>
    </w:p>
    <w:p>
      <w:pPr>
        <w:pStyle w:val="BodyText"/>
        <w:spacing w:line="360" w:lineRule="auto"/>
      </w:pPr>
      <w:r>
        <w:rPr>
          <w:rFonts w:ascii="宋体" w:hAnsi="宋体" w:eastAsia="宋体"/>
          <w:color w:val="000000"/>
          <w:sz w:val="24"/>
        </w:rPr>
        <w:t xml:space="preserve">[26] </w:t>
      </w:r>
      <w:r>
        <w:rPr>
          <w:rFonts w:hint="eastAsia" w:ascii="宋体" w:hAnsi="宋体" w:eastAsia="宋体"/>
          <w:color w:val="000000"/>
          <w:sz w:val="24"/>
        </w:rPr>
        <w:t xml:space="preserve">刘新萍,</w:t>
      </w:r>
      <w:r>
        <w:rPr>
          <w:rFonts w:ascii="宋体" w:hAnsi="宋体" w:eastAsia="宋体"/>
          <w:color w:val="000000"/>
          <w:sz w:val="24"/>
        </w:rPr>
        <w:t xml:space="preserve"> </w:t>
      </w:r>
      <w:r>
        <w:rPr>
          <w:rFonts w:hint="eastAsia" w:ascii="宋体" w:hAnsi="宋体" w:eastAsia="宋体"/>
          <w:color w:val="000000"/>
          <w:sz w:val="24"/>
        </w:rPr>
        <w:t xml:space="preserve">郑磊.</w:t>
      </w:r>
      <w:r>
        <w:rPr>
          <w:rFonts w:ascii="宋体" w:hAnsi="宋体" w:eastAsia="宋体"/>
          <w:color w:val="000000"/>
          <w:sz w:val="24"/>
        </w:rPr>
        <w:t xml:space="preserve"> </w:t>
      </w:r>
      <w:r>
        <w:rPr>
          <w:rFonts w:hint="eastAsia" w:ascii="宋体" w:hAnsi="宋体" w:eastAsia="宋体"/>
          <w:color w:val="000000"/>
          <w:sz w:val="24"/>
        </w:rPr>
        <w:t xml:space="preserve">政府数据开放的影响因素：基于TOE框架的实证研究[J].</w:t>
      </w:r>
      <w:r>
        <w:rPr>
          <w:rFonts w:ascii="宋体" w:hAnsi="宋体" w:eastAsia="宋体"/>
          <w:color w:val="000000"/>
          <w:sz w:val="24"/>
        </w:rPr>
        <w:t xml:space="preserve"> </w:t>
      </w:r>
      <w:r>
        <w:rPr>
          <w:rFonts w:hint="eastAsia" w:ascii="宋体" w:hAnsi="宋体" w:eastAsia="宋体"/>
          <w:color w:val="000000"/>
          <w:sz w:val="24"/>
        </w:rPr>
        <w:t xml:space="preserve">情报学报,</w:t>
      </w:r>
      <w:r>
        <w:rPr>
          <w:rFonts w:ascii="宋体" w:hAnsi="宋体" w:eastAsia="宋体"/>
          <w:color w:val="000000"/>
          <w:sz w:val="24"/>
        </w:rPr>
        <w:t xml:space="preserve"> 2021, 40(5): 512-524.</w:t>
      </w:r>
    </w:p>
    <w:p>
      <w:pPr>
        <w:pStyle w:val="BodyText"/>
        <w:spacing w:line="360" w:lineRule="auto"/>
      </w:pPr>
      <w:r>
        <w:rPr>
          <w:rFonts w:ascii="宋体" w:hAnsi="宋体" w:eastAsia="宋体"/>
          <w:color w:val="000000"/>
          <w:sz w:val="24"/>
        </w:rPr>
        <w:t xml:space="preserve">[27] </w:t>
      </w:r>
      <w:r>
        <w:rPr>
          <w:rFonts w:hint="eastAsia" w:ascii="宋体" w:hAnsi="宋体" w:eastAsia="宋体"/>
          <w:color w:val="000000"/>
          <w:sz w:val="24"/>
        </w:rPr>
        <w:t xml:space="preserve">贺佳秀,</w:t>
      </w:r>
      <w:r>
        <w:rPr>
          <w:rFonts w:ascii="宋体" w:hAnsi="宋体" w:eastAsia="宋体"/>
          <w:color w:val="000000"/>
          <w:sz w:val="24"/>
        </w:rPr>
        <w:t xml:space="preserve"> </w:t>
      </w:r>
      <w:r>
        <w:rPr>
          <w:rFonts w:hint="eastAsia" w:ascii="宋体" w:hAnsi="宋体" w:eastAsia="宋体"/>
          <w:color w:val="000000"/>
          <w:sz w:val="24"/>
        </w:rPr>
        <w:t xml:space="preserve">周文泓.</w:t>
      </w:r>
      <w:r>
        <w:rPr>
          <w:rFonts w:ascii="宋体" w:hAnsi="宋体" w:eastAsia="宋体"/>
          <w:color w:val="000000"/>
          <w:sz w:val="24"/>
        </w:rPr>
        <w:t xml:space="preserve"> </w:t>
      </w:r>
      <w:r>
        <w:rPr>
          <w:rFonts w:hint="eastAsia" w:ascii="宋体" w:hAnsi="宋体" w:eastAsia="宋体"/>
          <w:color w:val="000000"/>
          <w:sz w:val="24"/>
        </w:rPr>
        <w:t xml:space="preserve">政府数据开放平台的功能演进与用户体验研究[J].</w:t>
      </w:r>
      <w:r>
        <w:rPr>
          <w:rFonts w:ascii="宋体" w:hAnsi="宋体" w:eastAsia="宋体"/>
          <w:color w:val="000000"/>
          <w:sz w:val="24"/>
        </w:rPr>
        <w:t xml:space="preserve"> </w:t>
      </w:r>
      <w:r>
        <w:rPr>
          <w:rFonts w:hint="eastAsia" w:ascii="宋体" w:hAnsi="宋体" w:eastAsia="宋体"/>
          <w:color w:val="000000"/>
          <w:sz w:val="24"/>
        </w:rPr>
        <w:t xml:space="preserve">现代情报,</w:t>
      </w:r>
      <w:r>
        <w:rPr>
          <w:rFonts w:ascii="宋体" w:hAnsi="宋体" w:eastAsia="宋体"/>
          <w:color w:val="000000"/>
          <w:sz w:val="24"/>
        </w:rPr>
        <w:t xml:space="preserve"> 2022, 42(8): 112-123.</w:t>
      </w:r>
    </w:p>
    <w:p>
      <w:pPr>
        <w:pStyle w:val="BodyText"/>
        <w:spacing w:line="360" w:lineRule="auto"/>
      </w:pPr>
      <w:r>
        <w:rPr>
          <w:rFonts w:ascii="宋体" w:hAnsi="宋体" w:eastAsia="宋体"/>
          <w:color w:val="000000"/>
          <w:sz w:val="24"/>
        </w:rPr>
        <w:t xml:space="preserve">[28] </w:t>
      </w:r>
      <w:r>
        <w:rPr>
          <w:rFonts w:hint="eastAsia" w:ascii="宋体" w:hAnsi="宋体" w:eastAsia="宋体"/>
          <w:color w:val="000000"/>
          <w:sz w:val="24"/>
        </w:rPr>
        <w:t xml:space="preserve">赵莹,</w:t>
      </w:r>
      <w:r>
        <w:rPr>
          <w:rFonts w:ascii="宋体" w:hAnsi="宋体" w:eastAsia="宋体"/>
          <w:color w:val="000000"/>
          <w:sz w:val="24"/>
        </w:rPr>
        <w:t xml:space="preserve"> </w:t>
      </w:r>
      <w:r>
        <w:rPr>
          <w:rFonts w:hint="eastAsia" w:ascii="宋体" w:hAnsi="宋体" w:eastAsia="宋体"/>
          <w:color w:val="000000"/>
          <w:sz w:val="24"/>
        </w:rPr>
        <w:t xml:space="preserve">张会平.</w:t>
      </w:r>
      <w:r>
        <w:rPr>
          <w:rFonts w:ascii="宋体" w:hAnsi="宋体" w:eastAsia="宋体"/>
          <w:color w:val="000000"/>
          <w:sz w:val="24"/>
        </w:rPr>
        <w:t xml:space="preserve"> </w:t>
      </w:r>
      <w:r>
        <w:rPr>
          <w:rFonts w:hint="eastAsia" w:ascii="宋体" w:hAnsi="宋体" w:eastAsia="宋体"/>
          <w:color w:val="000000"/>
          <w:sz w:val="24"/>
        </w:rPr>
        <w:t xml:space="preserve">公共数据授权运营的模式比较与路径选择[J].</w:t>
      </w:r>
      <w:r>
        <w:rPr>
          <w:rFonts w:ascii="宋体" w:hAnsi="宋体" w:eastAsia="宋体"/>
          <w:color w:val="000000"/>
          <w:sz w:val="24"/>
        </w:rPr>
        <w:t xml:space="preserve"> </w:t>
      </w:r>
      <w:r>
        <w:rPr>
          <w:rFonts w:hint="eastAsia" w:ascii="宋体" w:hAnsi="宋体" w:eastAsia="宋体"/>
          <w:color w:val="000000"/>
          <w:sz w:val="24"/>
        </w:rPr>
        <w:t xml:space="preserve">中国行政管理,</w:t>
      </w:r>
      <w:r>
        <w:rPr>
          <w:rFonts w:ascii="宋体" w:hAnsi="宋体" w:eastAsia="宋体"/>
          <w:color w:val="000000"/>
          <w:sz w:val="24"/>
        </w:rPr>
        <w:t xml:space="preserve"> 2023, (6): 78-86.</w:t>
      </w:r>
    </w:p>
    <w:p>
      <w:pPr>
        <w:pStyle w:val="BodyText"/>
        <w:spacing w:line="360" w:lineRule="auto"/>
      </w:pPr>
      <w:r>
        <w:rPr>
          <w:rFonts w:ascii="宋体" w:hAnsi="宋体" w:eastAsia="宋体"/>
          <w:color w:val="000000"/>
          <w:sz w:val="24"/>
        </w:rPr>
        <w:t xml:space="preserve">[29] </w:t>
      </w:r>
      <w:r>
        <w:rPr>
          <w:rFonts w:hint="eastAsia" w:ascii="宋体" w:hAnsi="宋体" w:eastAsia="宋体"/>
          <w:color w:val="000000"/>
          <w:sz w:val="24"/>
        </w:rPr>
        <w:t xml:space="preserve">陈涛,</w:t>
      </w:r>
      <w:r>
        <w:rPr>
          <w:rFonts w:ascii="宋体" w:hAnsi="宋体" w:eastAsia="宋体"/>
          <w:color w:val="000000"/>
          <w:sz w:val="24"/>
        </w:rPr>
        <w:t xml:space="preserve"> </w:t>
      </w:r>
      <w:r>
        <w:rPr>
          <w:rFonts w:hint="eastAsia" w:ascii="宋体" w:hAnsi="宋体" w:eastAsia="宋体"/>
          <w:color w:val="000000"/>
          <w:sz w:val="24"/>
        </w:rPr>
        <w:t xml:space="preserve">丁晓强.</w:t>
      </w:r>
      <w:r>
        <w:rPr>
          <w:rFonts w:ascii="宋体" w:hAnsi="宋体" w:eastAsia="宋体"/>
          <w:color w:val="000000"/>
          <w:sz w:val="24"/>
        </w:rPr>
        <w:t xml:space="preserve"> </w:t>
      </w:r>
      <w:r>
        <w:rPr>
          <w:rFonts w:hint="eastAsia" w:ascii="宋体" w:hAnsi="宋体" w:eastAsia="宋体"/>
          <w:color w:val="000000"/>
          <w:sz w:val="24"/>
        </w:rPr>
        <w:t xml:space="preserve">数据要素定价的理论基础与方法比较[J].</w:t>
      </w:r>
      <w:r>
        <w:rPr>
          <w:rFonts w:ascii="宋体" w:hAnsi="宋体" w:eastAsia="宋体"/>
          <w:color w:val="000000"/>
          <w:sz w:val="24"/>
        </w:rPr>
        <w:t xml:space="preserve"> </w:t>
      </w:r>
      <w:r>
        <w:rPr>
          <w:rFonts w:hint="eastAsia" w:ascii="宋体" w:hAnsi="宋体" w:eastAsia="宋体"/>
          <w:color w:val="000000"/>
          <w:sz w:val="24"/>
        </w:rPr>
        <w:t xml:space="preserve">经济学动态,</w:t>
      </w:r>
      <w:r>
        <w:rPr>
          <w:rFonts w:ascii="宋体" w:hAnsi="宋体" w:eastAsia="宋体"/>
          <w:color w:val="000000"/>
          <w:sz w:val="24"/>
        </w:rPr>
        <w:t xml:space="preserve"> 2023, (3): 98-112.</w:t>
      </w:r>
    </w:p>
    <w:p>
      <w:pPr>
        <w:pStyle w:val="BodyText"/>
        <w:spacing w:line="360" w:lineRule="auto"/>
      </w:pPr>
      <w:r>
        <w:rPr>
          <w:rFonts w:ascii="宋体" w:hAnsi="宋体" w:eastAsia="宋体"/>
          <w:color w:val="000000"/>
          <w:sz w:val="24"/>
        </w:rPr>
        <w:t xml:space="preserve">[30] </w:t>
      </w:r>
      <w:r>
        <w:rPr>
          <w:rFonts w:hint="eastAsia" w:ascii="宋体" w:hAnsi="宋体" w:eastAsia="宋体"/>
          <w:color w:val="000000"/>
          <w:sz w:val="24"/>
        </w:rPr>
        <w:t xml:space="preserve">刘硕,</w:t>
      </w:r>
      <w:r>
        <w:rPr>
          <w:rFonts w:ascii="宋体" w:hAnsi="宋体" w:eastAsia="宋体"/>
          <w:color w:val="000000"/>
          <w:sz w:val="24"/>
        </w:rPr>
        <w:t xml:space="preserve"> </w:t>
      </w:r>
      <w:r>
        <w:rPr>
          <w:rFonts w:hint="eastAsia" w:ascii="宋体" w:hAnsi="宋体" w:eastAsia="宋体"/>
          <w:color w:val="000000"/>
          <w:sz w:val="24"/>
        </w:rPr>
        <w:t xml:space="preserve">张涛,</w:t>
      </w:r>
      <w:r>
        <w:rPr>
          <w:rFonts w:ascii="宋体" w:hAnsi="宋体" w:eastAsia="宋体"/>
          <w:color w:val="000000"/>
          <w:sz w:val="24"/>
        </w:rPr>
        <w:t xml:space="preserve"> </w:t>
      </w:r>
      <w:r>
        <w:rPr>
          <w:rFonts w:hint="eastAsia" w:ascii="宋体" w:hAnsi="宋体" w:eastAsia="宋体"/>
          <w:color w:val="000000"/>
          <w:sz w:val="24"/>
        </w:rPr>
        <w:t xml:space="preserve">崔文波.</w:t>
      </w:r>
      <w:r>
        <w:rPr>
          <w:rFonts w:ascii="宋体" w:hAnsi="宋体" w:eastAsia="宋体"/>
          <w:color w:val="000000"/>
          <w:sz w:val="24"/>
        </w:rPr>
        <w:t xml:space="preserve"> </w:t>
      </w:r>
      <w:r>
        <w:rPr>
          <w:rFonts w:hint="eastAsia" w:ascii="宋体" w:hAnsi="宋体" w:eastAsia="宋体"/>
          <w:color w:val="000000"/>
          <w:sz w:val="24"/>
        </w:rPr>
        <w:t xml:space="preserve">政府数据开放绩效的影响因素组态分析[J].</w:t>
      </w:r>
      <w:r>
        <w:rPr>
          <w:rFonts w:ascii="宋体" w:hAnsi="宋体" w:eastAsia="宋体"/>
          <w:color w:val="000000"/>
          <w:sz w:val="24"/>
        </w:rPr>
        <w:t xml:space="preserve"> </w:t>
      </w:r>
      <w:r>
        <w:rPr>
          <w:rFonts w:hint="eastAsia" w:ascii="宋体" w:hAnsi="宋体" w:eastAsia="宋体"/>
          <w:color w:val="000000"/>
          <w:sz w:val="24"/>
        </w:rPr>
        <w:t xml:space="preserve">公共管理学报,</w:t>
      </w:r>
      <w:r>
        <w:rPr>
          <w:rFonts w:ascii="宋体" w:hAnsi="宋体" w:eastAsia="宋体"/>
          <w:color w:val="000000"/>
          <w:sz w:val="24"/>
        </w:rPr>
        <w:t xml:space="preserve"> 2023, 20(1): 89-102.</w:t>
      </w:r>
    </w:p>
    <w:p>
      <w:pPr>
        <w:pStyle w:val="BodyText"/>
        <w:spacing w:line="360" w:lineRule="auto"/>
      </w:pPr>
      <w:r>
        <w:rPr>
          <w:rFonts w:ascii="宋体" w:hAnsi="宋体" w:eastAsia="宋体"/>
          <w:color w:val="000000"/>
          <w:sz w:val="24"/>
        </w:rPr>
        <w:t xml:space="preserve">[31] </w:t>
      </w:r>
      <w:r>
        <w:rPr>
          <w:rFonts w:hint="eastAsia" w:ascii="宋体" w:hAnsi="宋体" w:eastAsia="宋体"/>
          <w:color w:val="000000"/>
          <w:sz w:val="24"/>
        </w:rPr>
        <w:t xml:space="preserve">范佳佳,</w:t>
      </w:r>
      <w:r>
        <w:rPr>
          <w:rFonts w:ascii="宋体" w:hAnsi="宋体" w:eastAsia="宋体"/>
          <w:color w:val="000000"/>
          <w:sz w:val="24"/>
        </w:rPr>
        <w:t xml:space="preserve"> </w:t>
      </w:r>
      <w:r>
        <w:rPr>
          <w:rFonts w:hint="eastAsia" w:ascii="宋体" w:hAnsi="宋体" w:eastAsia="宋体"/>
          <w:color w:val="000000"/>
          <w:sz w:val="24"/>
        </w:rPr>
        <w:t xml:space="preserve">郑磊.</w:t>
      </w:r>
      <w:r>
        <w:rPr>
          <w:rFonts w:ascii="宋体" w:hAnsi="宋体" w:eastAsia="宋体"/>
          <w:color w:val="000000"/>
          <w:sz w:val="24"/>
        </w:rPr>
        <w:t xml:space="preserve"> </w:t>
      </w:r>
      <w:r>
        <w:rPr>
          <w:rFonts w:hint="eastAsia" w:ascii="宋体" w:hAnsi="宋体" w:eastAsia="宋体"/>
          <w:color w:val="000000"/>
          <w:sz w:val="24"/>
        </w:rPr>
        <w:t xml:space="preserve">地方政府数据开放的政策扩散与空间效应[J].</w:t>
      </w:r>
      <w:r>
        <w:rPr>
          <w:rFonts w:ascii="宋体" w:hAnsi="宋体" w:eastAsia="宋体"/>
          <w:color w:val="000000"/>
          <w:sz w:val="24"/>
        </w:rPr>
        <w:t xml:space="preserve"> </w:t>
      </w:r>
      <w:r>
        <w:rPr>
          <w:rFonts w:hint="eastAsia" w:ascii="宋体" w:hAnsi="宋体" w:eastAsia="宋体"/>
          <w:color w:val="000000"/>
          <w:sz w:val="24"/>
        </w:rPr>
        <w:t xml:space="preserve">公共行政评论,</w:t>
      </w:r>
      <w:r>
        <w:rPr>
          <w:rFonts w:ascii="宋体" w:hAnsi="宋体" w:eastAsia="宋体"/>
          <w:color w:val="000000"/>
          <w:sz w:val="24"/>
        </w:rPr>
        <w:t xml:space="preserve"> 2022, 15(4): 45-62.</w:t>
      </w:r>
    </w:p>
    <w:p>
      <w:pPr>
        <w:pStyle w:val="BodyText"/>
        <w:spacing w:line="360" w:lineRule="auto"/>
      </w:pPr>
      <w:r>
        <w:rPr>
          <w:rFonts w:ascii="宋体" w:hAnsi="宋体" w:eastAsia="宋体"/>
          <w:color w:val="000000"/>
          <w:sz w:val="24"/>
        </w:rPr>
        <w:t xml:space="preserve">[32] </w:t>
      </w:r>
      <w:r>
        <w:rPr>
          <w:rFonts w:hint="eastAsia" w:ascii="宋体" w:hAnsi="宋体" w:eastAsia="宋体"/>
          <w:color w:val="000000"/>
          <w:sz w:val="24"/>
        </w:rPr>
        <w:t xml:space="preserve">徐慧娜,</w:t>
      </w:r>
      <w:r>
        <w:rPr>
          <w:rFonts w:ascii="宋体" w:hAnsi="宋体" w:eastAsia="宋体"/>
          <w:color w:val="000000"/>
          <w:sz w:val="24"/>
        </w:rPr>
        <w:t xml:space="preserve"> </w:t>
      </w:r>
      <w:r>
        <w:rPr>
          <w:rFonts w:hint="eastAsia" w:ascii="宋体" w:hAnsi="宋体" w:eastAsia="宋体"/>
          <w:color w:val="000000"/>
          <w:sz w:val="24"/>
        </w:rPr>
        <w:t xml:space="preserve">郑磊.</w:t>
      </w:r>
      <w:r>
        <w:rPr>
          <w:rFonts w:ascii="宋体" w:hAnsi="宋体" w:eastAsia="宋体"/>
          <w:color w:val="000000"/>
          <w:sz w:val="24"/>
        </w:rPr>
        <w:t xml:space="preserve"> </w:t>
      </w:r>
      <w:r>
        <w:rPr>
          <w:rFonts w:hint="eastAsia" w:ascii="宋体" w:hAnsi="宋体" w:eastAsia="宋体"/>
          <w:color w:val="000000"/>
          <w:sz w:val="24"/>
        </w:rPr>
        <w:t xml:space="preserve">政府数据开放的国际比较研究[J].</w:t>
      </w:r>
      <w:r>
        <w:rPr>
          <w:rFonts w:ascii="宋体" w:hAnsi="宋体" w:eastAsia="宋体"/>
          <w:color w:val="000000"/>
          <w:sz w:val="24"/>
        </w:rPr>
        <w:t xml:space="preserve"> </w:t>
      </w:r>
      <w:r>
        <w:rPr>
          <w:rFonts w:hint="eastAsia" w:ascii="宋体" w:hAnsi="宋体" w:eastAsia="宋体"/>
          <w:color w:val="000000"/>
          <w:sz w:val="24"/>
        </w:rPr>
        <w:t xml:space="preserve">情报科学,</w:t>
      </w:r>
      <w:r>
        <w:rPr>
          <w:rFonts w:ascii="宋体" w:hAnsi="宋体" w:eastAsia="宋体"/>
          <w:color w:val="000000"/>
          <w:sz w:val="24"/>
        </w:rPr>
        <w:t xml:space="preserve"> 2019, 37(6): 3-12.</w:t>
      </w:r>
    </w:p>
    <w:p>
      <w:pPr>
        <w:pStyle w:val="BodyText"/>
        <w:spacing w:line="360" w:lineRule="auto"/>
      </w:pPr>
      <w:r>
        <w:rPr>
          <w:rFonts w:ascii="宋体" w:hAnsi="宋体" w:eastAsia="宋体"/>
          <w:color w:val="000000"/>
          <w:sz w:val="24"/>
        </w:rPr>
        <w:t xml:space="preserve">[33] </w:t>
      </w:r>
      <w:r>
        <w:rPr>
          <w:rFonts w:hint="eastAsia" w:ascii="宋体" w:hAnsi="宋体" w:eastAsia="宋体"/>
          <w:color w:val="000000"/>
          <w:sz w:val="24"/>
        </w:rPr>
        <w:t xml:space="preserve">顾勤,</w:t>
      </w:r>
      <w:r>
        <w:rPr>
          <w:rFonts w:ascii="宋体" w:hAnsi="宋体" w:eastAsia="宋体"/>
          <w:color w:val="000000"/>
          <w:sz w:val="24"/>
        </w:rPr>
        <w:t xml:space="preserve"> </w:t>
      </w:r>
      <w:r>
        <w:rPr>
          <w:rFonts w:hint="eastAsia" w:ascii="宋体" w:hAnsi="宋体" w:eastAsia="宋体"/>
          <w:color w:val="000000"/>
          <w:sz w:val="24"/>
        </w:rPr>
        <w:t xml:space="preserve">张会平.</w:t>
      </w:r>
      <w:r>
        <w:rPr>
          <w:rFonts w:ascii="宋体" w:hAnsi="宋体" w:eastAsia="宋体"/>
          <w:color w:val="000000"/>
          <w:sz w:val="24"/>
        </w:rPr>
        <w:t xml:space="preserve"> </w:t>
      </w:r>
      <w:r>
        <w:rPr>
          <w:rFonts w:hint="eastAsia" w:ascii="宋体" w:hAnsi="宋体" w:eastAsia="宋体"/>
          <w:color w:val="000000"/>
          <w:sz w:val="24"/>
        </w:rPr>
        <w:t xml:space="preserve">公共数据授权运营的风险识别与防控机制[J].</w:t>
      </w:r>
      <w:r>
        <w:rPr>
          <w:rFonts w:ascii="宋体" w:hAnsi="宋体" w:eastAsia="宋体"/>
          <w:color w:val="000000"/>
          <w:sz w:val="24"/>
        </w:rPr>
        <w:t xml:space="preserve"> </w:t>
      </w:r>
      <w:r>
        <w:rPr>
          <w:rFonts w:hint="eastAsia" w:ascii="宋体" w:hAnsi="宋体" w:eastAsia="宋体"/>
          <w:color w:val="000000"/>
          <w:sz w:val="24"/>
        </w:rPr>
        <w:t xml:space="preserve">电子政务,</w:t>
      </w:r>
      <w:r>
        <w:rPr>
          <w:rFonts w:ascii="宋体" w:hAnsi="宋体" w:eastAsia="宋体"/>
          <w:color w:val="000000"/>
          <w:sz w:val="24"/>
        </w:rPr>
        <w:t xml:space="preserve"> 2023, (7): 34-45.</w:t>
      </w:r>
    </w:p>
    <w:p>
      <w:pPr>
        <w:pStyle w:val="BodyText"/>
        <w:spacing w:line="360" w:lineRule="auto"/>
      </w:pPr>
      <w:r>
        <w:rPr>
          <w:rFonts w:ascii="宋体" w:hAnsi="宋体" w:eastAsia="宋体"/>
          <w:color w:val="000000"/>
          <w:sz w:val="24"/>
        </w:rPr>
        <w:t xml:space="preserve">[34] </w:t>
      </w:r>
      <w:r>
        <w:rPr>
          <w:rFonts w:hint="eastAsia" w:ascii="宋体" w:hAnsi="宋体" w:eastAsia="宋体"/>
          <w:color w:val="000000"/>
          <w:sz w:val="24"/>
        </w:rPr>
        <w:t xml:space="preserve">赵需要,</w:t>
      </w:r>
      <w:r>
        <w:rPr>
          <w:rFonts w:ascii="宋体" w:hAnsi="宋体" w:eastAsia="宋体"/>
          <w:color w:val="000000"/>
          <w:sz w:val="24"/>
        </w:rPr>
        <w:t xml:space="preserve"> </w:t>
      </w:r>
      <w:r>
        <w:rPr>
          <w:rFonts w:hint="eastAsia" w:ascii="宋体" w:hAnsi="宋体" w:eastAsia="宋体"/>
          <w:color w:val="000000"/>
          <w:sz w:val="24"/>
        </w:rPr>
        <w:t xml:space="preserve">张涛.</w:t>
      </w:r>
      <w:r>
        <w:rPr>
          <w:rFonts w:ascii="宋体" w:hAnsi="宋体" w:eastAsia="宋体"/>
          <w:color w:val="000000"/>
          <w:sz w:val="24"/>
        </w:rPr>
        <w:t xml:space="preserve"> </w:t>
      </w:r>
      <w:r>
        <w:rPr>
          <w:rFonts w:hint="eastAsia" w:ascii="宋体" w:hAnsi="宋体" w:eastAsia="宋体"/>
          <w:color w:val="000000"/>
          <w:sz w:val="24"/>
        </w:rPr>
        <w:t xml:space="preserve">基于fsQCA的政府数据开放高绩效路径研究[J].</w:t>
      </w:r>
      <w:r>
        <w:rPr>
          <w:rFonts w:ascii="宋体" w:hAnsi="宋体" w:eastAsia="宋体"/>
          <w:color w:val="000000"/>
          <w:sz w:val="24"/>
        </w:rPr>
        <w:t xml:space="preserve"> </w:t>
      </w:r>
      <w:r>
        <w:rPr>
          <w:rFonts w:hint="eastAsia" w:ascii="宋体" w:hAnsi="宋体" w:eastAsia="宋体"/>
          <w:color w:val="000000"/>
          <w:sz w:val="24"/>
        </w:rPr>
        <w:t xml:space="preserve">情报杂志,</w:t>
      </w:r>
      <w:r>
        <w:rPr>
          <w:rFonts w:ascii="宋体" w:hAnsi="宋体" w:eastAsia="宋体"/>
          <w:color w:val="000000"/>
          <w:sz w:val="24"/>
        </w:rPr>
        <w:t xml:space="preserve"> 2023, 42(4): 178-186.</w:t>
      </w:r>
    </w:p>
    <w:p>
      <w:pPr>
        <w:pStyle w:val="BodyText"/>
        <w:spacing w:line="360" w:lineRule="auto"/>
      </w:pPr>
      <w:r>
        <w:rPr>
          <w:rFonts w:ascii="宋体" w:hAnsi="宋体" w:eastAsia="宋体"/>
          <w:color w:val="000000"/>
          <w:sz w:val="24"/>
        </w:rPr>
        <w:t xml:space="preserve">[35] </w:t>
      </w:r>
      <w:r>
        <w:rPr>
          <w:rFonts w:hint="eastAsia" w:ascii="宋体" w:hAnsi="宋体" w:eastAsia="宋体"/>
          <w:color w:val="000000"/>
          <w:sz w:val="24"/>
        </w:rPr>
        <w:t xml:space="preserve">田欣,</w:t>
      </w:r>
      <w:r>
        <w:rPr>
          <w:rFonts w:ascii="宋体" w:hAnsi="宋体" w:eastAsia="宋体"/>
          <w:color w:val="000000"/>
          <w:sz w:val="24"/>
        </w:rPr>
        <w:t xml:space="preserve"> </w:t>
      </w:r>
      <w:r>
        <w:rPr>
          <w:rFonts w:hint="eastAsia" w:ascii="宋体" w:hAnsi="宋体" w:eastAsia="宋体"/>
          <w:color w:val="000000"/>
          <w:sz w:val="24"/>
        </w:rPr>
        <w:t xml:space="preserve">周文泓,</w:t>
      </w:r>
      <w:r>
        <w:rPr>
          <w:rFonts w:ascii="宋体" w:hAnsi="宋体" w:eastAsia="宋体"/>
          <w:color w:val="000000"/>
          <w:sz w:val="24"/>
        </w:rPr>
        <w:t xml:space="preserve"> </w:t>
      </w:r>
      <w:r>
        <w:rPr>
          <w:rFonts w:hint="eastAsia" w:ascii="宋体" w:hAnsi="宋体" w:eastAsia="宋体"/>
          <w:color w:val="000000"/>
          <w:sz w:val="24"/>
        </w:rPr>
        <w:t xml:space="preserve">吴琼.</w:t>
      </w:r>
      <w:r>
        <w:rPr>
          <w:rFonts w:ascii="宋体" w:hAnsi="宋体" w:eastAsia="宋体"/>
          <w:color w:val="000000"/>
          <w:sz w:val="24"/>
        </w:rPr>
        <w:t xml:space="preserve"> </w:t>
      </w:r>
      <w:r>
        <w:rPr>
          <w:rFonts w:hint="eastAsia" w:ascii="宋体" w:hAnsi="宋体" w:eastAsia="宋体"/>
          <w:color w:val="000000"/>
          <w:sz w:val="24"/>
        </w:rPr>
        <w:t xml:space="preserve">政府数据开放平台的数据质量评估研究[J].</w:t>
      </w:r>
      <w:r>
        <w:rPr>
          <w:rFonts w:ascii="宋体" w:hAnsi="宋体" w:eastAsia="宋体"/>
          <w:color w:val="000000"/>
          <w:sz w:val="24"/>
        </w:rPr>
        <w:t xml:space="preserve"> </w:t>
      </w:r>
      <w:r>
        <w:rPr>
          <w:rFonts w:hint="eastAsia" w:ascii="宋体" w:hAnsi="宋体" w:eastAsia="宋体"/>
          <w:color w:val="000000"/>
          <w:sz w:val="24"/>
        </w:rPr>
        <w:t xml:space="preserve">图书情报工作,</w:t>
      </w:r>
      <w:r>
        <w:rPr>
          <w:rFonts w:ascii="宋体" w:hAnsi="宋体" w:eastAsia="宋体"/>
          <w:color w:val="000000"/>
          <w:sz w:val="24"/>
        </w:rPr>
        <w:t xml:space="preserve"> 2022, 66(12): 67-78.</w:t>
      </w:r>
    </w:p>
    <w:p>
      <w:pPr>
        <w:pStyle w:val="BodyText"/>
        <w:spacing w:line="360" w:lineRule="auto"/>
      </w:pPr>
      <w:r>
        <w:rPr>
          <w:rFonts w:ascii="宋体" w:hAnsi="宋体" w:eastAsia="宋体"/>
          <w:color w:val="000000"/>
          <w:sz w:val="24"/>
        </w:rPr>
        <w:t xml:space="preserve">[36] </w:t>
      </w:r>
      <w:r>
        <w:rPr>
          <w:rFonts w:hint="eastAsia" w:ascii="宋体" w:hAnsi="宋体" w:eastAsia="宋体"/>
          <w:color w:val="000000"/>
          <w:sz w:val="24"/>
        </w:rPr>
        <w:t xml:space="preserve">贺佳秀.</w:t>
      </w:r>
      <w:r>
        <w:rPr>
          <w:rFonts w:ascii="宋体" w:hAnsi="宋体" w:eastAsia="宋体"/>
          <w:color w:val="000000"/>
          <w:sz w:val="24"/>
        </w:rPr>
        <w:t xml:space="preserve"> </w:t>
      </w:r>
      <w:r>
        <w:rPr>
          <w:rFonts w:hint="eastAsia" w:ascii="宋体" w:hAnsi="宋体" w:eastAsia="宋体"/>
          <w:color w:val="000000"/>
          <w:sz w:val="24"/>
        </w:rPr>
        <w:t xml:space="preserve">政府数据开放的用户参与机制研究[J].</w:t>
      </w:r>
      <w:r>
        <w:rPr>
          <w:rFonts w:ascii="宋体" w:hAnsi="宋体" w:eastAsia="宋体"/>
          <w:color w:val="000000"/>
          <w:sz w:val="24"/>
        </w:rPr>
        <w:t xml:space="preserve"> </w:t>
      </w:r>
      <w:r>
        <w:rPr>
          <w:rFonts w:hint="eastAsia" w:ascii="宋体" w:hAnsi="宋体" w:eastAsia="宋体"/>
          <w:color w:val="000000"/>
          <w:sz w:val="24"/>
        </w:rPr>
        <w:t xml:space="preserve">情报理论与实践,</w:t>
      </w:r>
      <w:r>
        <w:rPr>
          <w:rFonts w:ascii="宋体" w:hAnsi="宋体" w:eastAsia="宋体"/>
          <w:color w:val="000000"/>
          <w:sz w:val="24"/>
        </w:rPr>
        <w:t xml:space="preserve"> 2021, 44(9): 123-131.</w:t>
      </w:r>
    </w:p>
    <w:p>
      <w:pPr>
        <w:pStyle w:val="BodyText"/>
        <w:spacing w:line="360" w:lineRule="auto"/>
      </w:pPr>
      <w:r>
        <w:rPr>
          <w:rFonts w:ascii="宋体" w:hAnsi="宋体" w:eastAsia="宋体"/>
          <w:color w:val="000000"/>
          <w:sz w:val="24"/>
        </w:rPr>
        <w:t xml:space="preserve">[37] </w:t>
      </w:r>
      <w:r>
        <w:rPr>
          <w:rFonts w:hint="eastAsia" w:ascii="宋体" w:hAnsi="宋体" w:eastAsia="宋体"/>
          <w:color w:val="000000"/>
          <w:sz w:val="24"/>
        </w:rPr>
        <w:t xml:space="preserve">刘新萍.</w:t>
      </w:r>
      <w:r>
        <w:rPr>
          <w:rFonts w:ascii="宋体" w:hAnsi="宋体" w:eastAsia="宋体"/>
          <w:color w:val="000000"/>
          <w:sz w:val="24"/>
        </w:rPr>
        <w:t xml:space="preserve"> </w:t>
      </w:r>
      <w:r>
        <w:rPr>
          <w:rFonts w:hint="eastAsia" w:ascii="宋体" w:hAnsi="宋体" w:eastAsia="宋体"/>
          <w:color w:val="000000"/>
          <w:sz w:val="24"/>
        </w:rPr>
        <w:t xml:space="preserve">政府数据开放的制度逻辑与演进路径[J].</w:t>
      </w:r>
      <w:r>
        <w:rPr>
          <w:rFonts w:ascii="宋体" w:hAnsi="宋体" w:eastAsia="宋体"/>
          <w:color w:val="000000"/>
          <w:sz w:val="24"/>
        </w:rPr>
        <w:t xml:space="preserve"> </w:t>
      </w:r>
      <w:r>
        <w:rPr>
          <w:rFonts w:hint="eastAsia" w:ascii="宋体" w:hAnsi="宋体" w:eastAsia="宋体"/>
          <w:color w:val="000000"/>
          <w:sz w:val="24"/>
        </w:rPr>
        <w:t xml:space="preserve">中国行政管理,</w:t>
      </w:r>
      <w:r>
        <w:rPr>
          <w:rFonts w:ascii="宋体" w:hAnsi="宋体" w:eastAsia="宋体"/>
          <w:color w:val="000000"/>
          <w:sz w:val="24"/>
        </w:rPr>
        <w:t xml:space="preserve"> 2020, (12): 34-41.</w:t>
      </w:r>
    </w:p>
    <w:p>
      <w:pPr>
        <w:pStyle w:val="BodyText"/>
        <w:spacing w:line="360" w:lineRule="auto"/>
      </w:pPr>
      <w:r>
        <w:rPr>
          <w:rFonts w:ascii="宋体" w:hAnsi="宋体" w:eastAsia="宋体"/>
          <w:color w:val="000000"/>
          <w:sz w:val="24"/>
        </w:rPr>
        <w:t xml:space="preserve">[38] </w:t>
      </w:r>
      <w:r>
        <w:rPr>
          <w:rFonts w:hint="eastAsia" w:ascii="宋体" w:hAnsi="宋体" w:eastAsia="宋体"/>
          <w:color w:val="000000"/>
          <w:sz w:val="24"/>
        </w:rPr>
        <w:t xml:space="preserve">郑磊,</w:t>
      </w:r>
      <w:r>
        <w:rPr>
          <w:rFonts w:ascii="宋体" w:hAnsi="宋体" w:eastAsia="宋体"/>
          <w:color w:val="000000"/>
          <w:sz w:val="24"/>
        </w:rPr>
        <w:t xml:space="preserve"> </w:t>
      </w:r>
      <w:r>
        <w:rPr>
          <w:rFonts w:hint="eastAsia" w:ascii="宋体" w:hAnsi="宋体" w:eastAsia="宋体"/>
          <w:color w:val="000000"/>
          <w:sz w:val="24"/>
        </w:rPr>
        <w:t xml:space="preserve">黄思颖.</w:t>
      </w:r>
      <w:r>
        <w:rPr>
          <w:rFonts w:ascii="宋体" w:hAnsi="宋体" w:eastAsia="宋体"/>
          <w:color w:val="000000"/>
          <w:sz w:val="24"/>
        </w:rPr>
        <w:t xml:space="preserve"> </w:t>
      </w:r>
      <w:r>
        <w:rPr>
          <w:rFonts w:hint="eastAsia" w:ascii="宋体" w:hAnsi="宋体" w:eastAsia="宋体"/>
          <w:color w:val="000000"/>
          <w:sz w:val="24"/>
        </w:rPr>
        <w:t xml:space="preserve">中国地方政府数据开放的现状、问题与对策[J].</w:t>
      </w:r>
      <w:r>
        <w:rPr>
          <w:rFonts w:ascii="宋体" w:hAnsi="宋体" w:eastAsia="宋体"/>
          <w:color w:val="000000"/>
          <w:sz w:val="24"/>
        </w:rPr>
        <w:t xml:space="preserve"> </w:t>
      </w:r>
      <w:r>
        <w:rPr>
          <w:rFonts w:hint="eastAsia" w:ascii="宋体" w:hAnsi="宋体" w:eastAsia="宋体"/>
          <w:color w:val="000000"/>
          <w:sz w:val="24"/>
        </w:rPr>
        <w:t xml:space="preserve">电子政务,</w:t>
      </w:r>
      <w:r>
        <w:rPr>
          <w:rFonts w:ascii="宋体" w:hAnsi="宋体" w:eastAsia="宋体"/>
          <w:color w:val="000000"/>
          <w:sz w:val="24"/>
        </w:rPr>
        <w:t xml:space="preserve"> 2020, (3): 2-13.</w:t>
      </w:r>
    </w:p>
    <w:p>
      <w:pPr>
        <w:pStyle w:val="BodyText"/>
        <w:spacing w:line="360" w:lineRule="auto"/>
      </w:pPr>
      <w:r>
        <w:rPr>
          <w:rFonts w:ascii="宋体" w:hAnsi="宋体" w:eastAsia="宋体"/>
          <w:color w:val="000000"/>
          <w:sz w:val="24"/>
        </w:rPr>
        <w:t xml:space="preserve">[39] </w:t>
      </w:r>
      <w:r>
        <w:rPr>
          <w:rFonts w:hint="eastAsia" w:ascii="宋体" w:hAnsi="宋体" w:eastAsia="宋体"/>
          <w:color w:val="000000"/>
          <w:sz w:val="24"/>
        </w:rPr>
        <w:t xml:space="preserve">黄思颖,</w:t>
      </w:r>
      <w:r>
        <w:rPr>
          <w:rFonts w:ascii="宋体" w:hAnsi="宋体" w:eastAsia="宋体"/>
          <w:color w:val="000000"/>
          <w:sz w:val="24"/>
        </w:rPr>
        <w:t xml:space="preserve"> </w:t>
      </w:r>
      <w:r>
        <w:rPr>
          <w:rFonts w:hint="eastAsia" w:ascii="宋体" w:hAnsi="宋体" w:eastAsia="宋体"/>
          <w:color w:val="000000"/>
          <w:sz w:val="24"/>
        </w:rPr>
        <w:t xml:space="preserve">郑磊.</w:t>
      </w:r>
      <w:r>
        <w:rPr>
          <w:rFonts w:ascii="宋体" w:hAnsi="宋体" w:eastAsia="宋体"/>
          <w:color w:val="000000"/>
          <w:sz w:val="24"/>
        </w:rPr>
        <w:t xml:space="preserve"> </w:t>
      </w:r>
      <w:r>
        <w:rPr>
          <w:rFonts w:hint="eastAsia" w:ascii="宋体" w:hAnsi="宋体" w:eastAsia="宋体"/>
          <w:color w:val="000000"/>
          <w:sz w:val="24"/>
        </w:rPr>
        <w:t xml:space="preserve">政府数据开放的评估框架与实证研究[J].</w:t>
      </w:r>
      <w:r>
        <w:rPr>
          <w:rFonts w:ascii="宋体" w:hAnsi="宋体" w:eastAsia="宋体"/>
          <w:color w:val="000000"/>
          <w:sz w:val="24"/>
        </w:rPr>
        <w:t xml:space="preserve"> </w:t>
      </w:r>
      <w:r>
        <w:rPr>
          <w:rFonts w:hint="eastAsia" w:ascii="宋体" w:hAnsi="宋体" w:eastAsia="宋体"/>
          <w:color w:val="000000"/>
          <w:sz w:val="24"/>
        </w:rPr>
        <w:t xml:space="preserve">公共管理学报,</w:t>
      </w:r>
      <w:r>
        <w:rPr>
          <w:rFonts w:ascii="宋体" w:hAnsi="宋体" w:eastAsia="宋体"/>
          <w:color w:val="000000"/>
          <w:sz w:val="24"/>
        </w:rPr>
        <w:t xml:space="preserve"> 2021, 18(4): 112-125.</w:t>
      </w:r>
    </w:p>
    <w:p>
      <w:pPr>
        <w:pStyle w:val="BodyText"/>
        <w:spacing w:line="360" w:lineRule="auto"/>
      </w:pPr>
      <w:r>
        <w:rPr>
          <w:rFonts w:ascii="宋体" w:hAnsi="宋体" w:eastAsia="宋体"/>
          <w:color w:val="000000"/>
          <w:sz w:val="24"/>
        </w:rPr>
        <w:t xml:space="preserve">[40] </w:t>
      </w:r>
      <w:r>
        <w:rPr>
          <w:rFonts w:hint="eastAsia" w:ascii="宋体" w:hAnsi="宋体" w:eastAsia="宋体"/>
          <w:color w:val="000000"/>
          <w:sz w:val="24"/>
        </w:rPr>
        <w:t xml:space="preserve">张涛,</w:t>
      </w:r>
      <w:r>
        <w:rPr>
          <w:rFonts w:ascii="宋体" w:hAnsi="宋体" w:eastAsia="宋体"/>
          <w:color w:val="000000"/>
          <w:sz w:val="24"/>
        </w:rPr>
        <w:t xml:space="preserve"> </w:t>
      </w:r>
      <w:r>
        <w:rPr>
          <w:rFonts w:hint="eastAsia" w:ascii="宋体" w:hAnsi="宋体" w:eastAsia="宋体"/>
          <w:color w:val="000000"/>
          <w:sz w:val="24"/>
        </w:rPr>
        <w:t xml:space="preserve">刘硕.</w:t>
      </w:r>
      <w:r>
        <w:rPr>
          <w:rFonts w:ascii="宋体" w:hAnsi="宋体" w:eastAsia="宋体"/>
          <w:color w:val="000000"/>
          <w:sz w:val="24"/>
        </w:rPr>
        <w:t xml:space="preserve"> </w:t>
      </w:r>
      <w:r>
        <w:rPr>
          <w:rFonts w:hint="eastAsia" w:ascii="宋体" w:hAnsi="宋体" w:eastAsia="宋体"/>
          <w:color w:val="000000"/>
          <w:sz w:val="24"/>
        </w:rPr>
        <w:t xml:space="preserve">政府数据开放平台的DEA效率评价研究[J].</w:t>
      </w:r>
      <w:r>
        <w:rPr>
          <w:rFonts w:ascii="宋体" w:hAnsi="宋体" w:eastAsia="宋体"/>
          <w:color w:val="000000"/>
          <w:sz w:val="24"/>
        </w:rPr>
        <w:t xml:space="preserve"> </w:t>
      </w:r>
      <w:r>
        <w:rPr>
          <w:rFonts w:hint="eastAsia" w:ascii="宋体" w:hAnsi="宋体" w:eastAsia="宋体"/>
          <w:color w:val="000000"/>
          <w:sz w:val="24"/>
        </w:rPr>
        <w:t xml:space="preserve">情报科学,</w:t>
      </w:r>
      <w:r>
        <w:rPr>
          <w:rFonts w:ascii="宋体" w:hAnsi="宋体" w:eastAsia="宋体"/>
          <w:color w:val="000000"/>
          <w:sz w:val="24"/>
        </w:rPr>
        <w:t xml:space="preserve"> 2022, 40(8): 156-165.</w:t>
      </w:r>
    </w:p>
    <w:p>
      <w:pPr>
        <w:pStyle w:val="BodyText"/>
        <w:spacing w:line="360" w:lineRule="auto"/>
      </w:pPr>
      <w:r>
        <w:rPr>
          <w:rFonts w:ascii="宋体" w:hAnsi="宋体" w:eastAsia="宋体"/>
          <w:color w:val="000000"/>
          <w:sz w:val="24"/>
        </w:rPr>
        <w:t xml:space="preserve">[41] </w:t>
      </w:r>
      <w:r>
        <w:rPr>
          <w:rFonts w:hint="eastAsia" w:ascii="宋体" w:hAnsi="宋体" w:eastAsia="宋体"/>
          <w:color w:val="000000"/>
          <w:sz w:val="24"/>
        </w:rPr>
        <w:t xml:space="preserve">周文泓.</w:t>
      </w:r>
      <w:r>
        <w:rPr>
          <w:rFonts w:ascii="宋体" w:hAnsi="宋体" w:eastAsia="宋体"/>
          <w:color w:val="000000"/>
          <w:sz w:val="24"/>
        </w:rPr>
        <w:t xml:space="preserve"> </w:t>
      </w:r>
      <w:r>
        <w:rPr>
          <w:rFonts w:hint="eastAsia" w:ascii="宋体" w:hAnsi="宋体" w:eastAsia="宋体"/>
          <w:color w:val="000000"/>
          <w:sz w:val="24"/>
        </w:rPr>
        <w:t xml:space="preserve">数字政府建设中的数据治理：理论框架与实践路径[J].</w:t>
      </w:r>
      <w:r>
        <w:rPr>
          <w:rFonts w:ascii="宋体" w:hAnsi="宋体" w:eastAsia="宋体"/>
          <w:color w:val="000000"/>
          <w:sz w:val="24"/>
        </w:rPr>
        <w:t xml:space="preserve"> </w:t>
      </w:r>
      <w:r>
        <w:rPr>
          <w:rFonts w:hint="eastAsia" w:ascii="宋体" w:hAnsi="宋体" w:eastAsia="宋体"/>
          <w:color w:val="000000"/>
          <w:sz w:val="24"/>
        </w:rPr>
        <w:t xml:space="preserve">中国行政管理,</w:t>
      </w:r>
      <w:r>
        <w:rPr>
          <w:rFonts w:ascii="宋体" w:hAnsi="宋体" w:eastAsia="宋体"/>
          <w:color w:val="000000"/>
          <w:sz w:val="24"/>
        </w:rPr>
        <w:t xml:space="preserve"> 2023, (2): 56-65.</w:t>
      </w:r>
    </w:p>
    <w:p>
      <w:pPr>
        <w:pStyle w:val="BodyText"/>
        <w:spacing w:line="360" w:lineRule="auto"/>
      </w:pPr>
      <w:r>
        <w:rPr>
          <w:rFonts w:ascii="宋体" w:hAnsi="宋体" w:eastAsia="宋体"/>
          <w:color w:val="000000"/>
          <w:sz w:val="24"/>
        </w:rPr>
        <w:t xml:space="preserve">[42] </w:t>
      </w:r>
      <w:r>
        <w:rPr>
          <w:rFonts w:hint="eastAsia" w:ascii="宋体" w:hAnsi="宋体" w:eastAsia="宋体"/>
          <w:color w:val="000000"/>
          <w:sz w:val="24"/>
        </w:rPr>
        <w:t xml:space="preserve">吴琼,</w:t>
      </w:r>
      <w:r>
        <w:rPr>
          <w:rFonts w:ascii="宋体" w:hAnsi="宋体" w:eastAsia="宋体"/>
          <w:color w:val="000000"/>
          <w:sz w:val="24"/>
        </w:rPr>
        <w:t xml:space="preserve"> </w:t>
      </w:r>
      <w:r>
        <w:rPr>
          <w:rFonts w:hint="eastAsia" w:ascii="宋体" w:hAnsi="宋体" w:eastAsia="宋体"/>
          <w:color w:val="000000"/>
          <w:sz w:val="24"/>
        </w:rPr>
        <w:t xml:space="preserve">田欣.</w:t>
      </w:r>
      <w:r>
        <w:rPr>
          <w:rFonts w:ascii="宋体" w:hAnsi="宋体" w:eastAsia="宋体"/>
          <w:color w:val="000000"/>
          <w:sz w:val="24"/>
        </w:rPr>
        <w:t xml:space="preserve"> </w:t>
      </w:r>
      <w:r>
        <w:rPr>
          <w:rFonts w:hint="eastAsia" w:ascii="宋体" w:hAnsi="宋体" w:eastAsia="宋体"/>
          <w:color w:val="000000"/>
          <w:sz w:val="24"/>
        </w:rPr>
        <w:t xml:space="preserve">政府数据开放与数字经济发展：作用机制与实证检验[J].</w:t>
      </w:r>
      <w:r>
        <w:rPr>
          <w:rFonts w:ascii="宋体" w:hAnsi="宋体" w:eastAsia="宋体"/>
          <w:color w:val="000000"/>
          <w:sz w:val="24"/>
        </w:rPr>
        <w:t xml:space="preserve"> </w:t>
      </w:r>
      <w:r>
        <w:rPr>
          <w:rFonts w:hint="eastAsia" w:ascii="宋体" w:hAnsi="宋体" w:eastAsia="宋体"/>
          <w:color w:val="000000"/>
          <w:sz w:val="24"/>
        </w:rPr>
        <w:t xml:space="preserve">经济与管理研究,</w:t>
      </w:r>
      <w:r>
        <w:rPr>
          <w:rFonts w:ascii="宋体" w:hAnsi="宋体" w:eastAsia="宋体"/>
          <w:color w:val="000000"/>
          <w:sz w:val="24"/>
        </w:rPr>
        <w:t xml:space="preserve"> 2023, 44(5): 89-102.</w:t>
      </w:r>
    </w:p>
    <w:p>
      <w:pPr>
        <w:pStyle w:val="BodyText"/>
        <w:spacing w:line="360" w:lineRule="auto"/>
      </w:pPr>
      <w:r>
        <w:rPr>
          <w:rFonts w:ascii="宋体" w:hAnsi="宋体" w:eastAsia="宋体"/>
          <w:color w:val="000000"/>
          <w:sz w:val="24"/>
        </w:rPr>
        <w:t xml:space="preserve">[43] </w:t>
      </w:r>
      <w:r>
        <w:rPr>
          <w:rFonts w:hint="eastAsia" w:ascii="宋体" w:hAnsi="宋体" w:eastAsia="宋体"/>
          <w:color w:val="000000"/>
          <w:sz w:val="24"/>
        </w:rPr>
        <w:t xml:space="preserve">郑磊,</w:t>
      </w:r>
      <w:r>
        <w:rPr>
          <w:rFonts w:ascii="宋体" w:hAnsi="宋体" w:eastAsia="宋体"/>
          <w:color w:val="000000"/>
          <w:sz w:val="24"/>
        </w:rPr>
        <w:t xml:space="preserve"> </w:t>
      </w:r>
      <w:r>
        <w:rPr>
          <w:rFonts w:hint="eastAsia" w:ascii="宋体" w:hAnsi="宋体" w:eastAsia="宋体"/>
          <w:color w:val="000000"/>
          <w:sz w:val="24"/>
        </w:rPr>
        <w:t xml:space="preserve">范佳佳,</w:t>
      </w:r>
      <w:r>
        <w:rPr>
          <w:rFonts w:ascii="宋体" w:hAnsi="宋体" w:eastAsia="宋体"/>
          <w:color w:val="000000"/>
          <w:sz w:val="24"/>
        </w:rPr>
        <w:t xml:space="preserve"> </w:t>
      </w:r>
      <w:r>
        <w:rPr>
          <w:rFonts w:hint="eastAsia" w:ascii="宋体" w:hAnsi="宋体" w:eastAsia="宋体"/>
          <w:color w:val="000000"/>
          <w:sz w:val="24"/>
        </w:rPr>
        <w:t xml:space="preserve">徐慧娜.</w:t>
      </w:r>
      <w:r>
        <w:rPr>
          <w:rFonts w:ascii="宋体" w:hAnsi="宋体" w:eastAsia="宋体"/>
          <w:color w:val="000000"/>
          <w:sz w:val="24"/>
        </w:rPr>
        <w:t xml:space="preserve"> </w:t>
      </w:r>
      <w:r>
        <w:rPr>
          <w:rFonts w:hint="eastAsia" w:ascii="宋体" w:hAnsi="宋体" w:eastAsia="宋体"/>
          <w:color w:val="000000"/>
          <w:sz w:val="24"/>
        </w:rPr>
        <w:t xml:space="preserve">中国地方政府数据开放的水平测度与时空演进[J].</w:t>
      </w:r>
      <w:r>
        <w:rPr>
          <w:rFonts w:ascii="宋体" w:hAnsi="宋体" w:eastAsia="宋体"/>
          <w:color w:val="000000"/>
          <w:sz w:val="24"/>
        </w:rPr>
        <w:t xml:space="preserve"> </w:t>
      </w:r>
      <w:r>
        <w:rPr>
          <w:rFonts w:hint="eastAsia" w:ascii="宋体" w:hAnsi="宋体" w:eastAsia="宋体"/>
          <w:color w:val="000000"/>
          <w:sz w:val="24"/>
        </w:rPr>
        <w:t xml:space="preserve">情报学报,</w:t>
      </w:r>
      <w:r>
        <w:rPr>
          <w:rFonts w:ascii="宋体" w:hAnsi="宋体" w:eastAsia="宋体"/>
          <w:color w:val="000000"/>
          <w:sz w:val="24"/>
        </w:rPr>
        <w:t xml:space="preserve"> 2022, 41(3): 278-291.</w:t>
      </w:r>
    </w:p>
    <w:p>
      <w:pPr>
        <w:pStyle w:val="BodyText"/>
        <w:spacing w:line="360" w:lineRule="auto"/>
      </w:pPr>
      <w:r>
        <w:rPr>
          <w:rFonts w:ascii="宋体" w:hAnsi="宋体" w:eastAsia="宋体"/>
          <w:color w:val="000000"/>
          <w:sz w:val="24"/>
        </w:rPr>
        <w:t xml:space="preserve">[44] </w:t>
      </w:r>
      <w:r>
        <w:rPr>
          <w:rFonts w:hint="eastAsia" w:ascii="宋体" w:hAnsi="宋体" w:eastAsia="宋体"/>
          <w:color w:val="000000"/>
          <w:sz w:val="24"/>
        </w:rPr>
        <w:t xml:space="preserve">黄璜.</w:t>
      </w:r>
      <w:r>
        <w:rPr>
          <w:rFonts w:ascii="宋体" w:hAnsi="宋体" w:eastAsia="宋体"/>
          <w:color w:val="000000"/>
          <w:sz w:val="24"/>
        </w:rPr>
        <w:t xml:space="preserve"> </w:t>
      </w:r>
      <w:r>
        <w:rPr>
          <w:rFonts w:hint="eastAsia" w:ascii="宋体" w:hAnsi="宋体" w:eastAsia="宋体"/>
          <w:color w:val="000000"/>
          <w:sz w:val="24"/>
        </w:rPr>
        <w:t xml:space="preserve">数字治理的理论内涵与制度创新[J].</w:t>
      </w:r>
      <w:r>
        <w:rPr>
          <w:rFonts w:ascii="宋体" w:hAnsi="宋体" w:eastAsia="宋体"/>
          <w:color w:val="000000"/>
          <w:sz w:val="24"/>
        </w:rPr>
        <w:t xml:space="preserve"> </w:t>
      </w:r>
      <w:r>
        <w:rPr>
          <w:rFonts w:hint="eastAsia" w:ascii="宋体" w:hAnsi="宋体" w:eastAsia="宋体"/>
          <w:color w:val="000000"/>
          <w:sz w:val="24"/>
        </w:rPr>
        <w:t xml:space="preserve">中国行政管理,</w:t>
      </w:r>
      <w:r>
        <w:rPr>
          <w:rFonts w:ascii="宋体" w:hAnsi="宋体" w:eastAsia="宋体"/>
          <w:color w:val="000000"/>
          <w:sz w:val="24"/>
        </w:rPr>
        <w:t xml:space="preserve"> 2022, (8): 6-15.</w:t>
      </w:r>
    </w:p>
    <w:p>
      <w:pPr>
        <w:pStyle w:val="BodyText"/>
        <w:spacing w:line="360" w:lineRule="auto"/>
      </w:pPr>
      <w:r>
        <w:rPr>
          <w:rFonts w:ascii="宋体" w:hAnsi="宋体" w:eastAsia="宋体"/>
          <w:color w:val="000000"/>
          <w:sz w:val="24"/>
        </w:rPr>
        <w:t xml:space="preserve">[45] </w:t>
      </w:r>
      <w:r>
        <w:rPr>
          <w:rFonts w:hint="eastAsia" w:ascii="宋体" w:hAnsi="宋体" w:eastAsia="宋体"/>
          <w:color w:val="000000"/>
          <w:sz w:val="24"/>
        </w:rPr>
        <w:t xml:space="preserve">张会平.</w:t>
      </w:r>
      <w:r>
        <w:rPr>
          <w:rFonts w:ascii="宋体" w:hAnsi="宋体" w:eastAsia="宋体"/>
          <w:color w:val="000000"/>
          <w:sz w:val="24"/>
        </w:rPr>
        <w:t xml:space="preserve"> </w:t>
      </w:r>
      <w:r>
        <w:rPr>
          <w:rFonts w:hint="eastAsia" w:ascii="宋体" w:hAnsi="宋体" w:eastAsia="宋体"/>
          <w:color w:val="000000"/>
          <w:sz w:val="24"/>
        </w:rPr>
        <w:t xml:space="preserve">公共数据治理的体系建构与实现路径[J].</w:t>
      </w:r>
      <w:r>
        <w:rPr>
          <w:rFonts w:ascii="宋体" w:hAnsi="宋体" w:eastAsia="宋体"/>
          <w:color w:val="000000"/>
          <w:sz w:val="24"/>
        </w:rPr>
        <w:t xml:space="preserve"> </w:t>
      </w:r>
      <w:r>
        <w:rPr>
          <w:rFonts w:hint="eastAsia" w:ascii="宋体" w:hAnsi="宋体" w:eastAsia="宋体"/>
          <w:color w:val="000000"/>
          <w:sz w:val="24"/>
        </w:rPr>
        <w:t xml:space="preserve">图书情报知识,</w:t>
      </w:r>
      <w:r>
        <w:rPr>
          <w:rFonts w:ascii="宋体" w:hAnsi="宋体" w:eastAsia="宋体"/>
          <w:color w:val="000000"/>
          <w:sz w:val="24"/>
        </w:rPr>
        <w:t xml:space="preserve"> 2022, (5): 34-45.</w:t>
      </w:r>
    </w:p>
    <w:p>
      <w:pPr>
        <w:pStyle w:val="BodyText"/>
        <w:spacing w:line="360" w:lineRule="auto"/>
      </w:pPr>
      <w:r>
        <w:rPr>
          <w:rFonts w:ascii="宋体" w:hAnsi="宋体" w:eastAsia="宋体"/>
          <w:color w:val="000000"/>
          <w:sz w:val="24"/>
        </w:rPr>
        <w:t xml:space="preserve">[46] </w:t>
      </w:r>
      <w:r>
        <w:rPr>
          <w:rFonts w:hint="eastAsia" w:ascii="宋体" w:hAnsi="宋体" w:eastAsia="宋体"/>
          <w:color w:val="000000"/>
          <w:sz w:val="24"/>
        </w:rPr>
        <w:t xml:space="preserve">丁晓强.</w:t>
      </w:r>
      <w:r>
        <w:rPr>
          <w:rFonts w:ascii="宋体" w:hAnsi="宋体" w:eastAsia="宋体"/>
          <w:color w:val="000000"/>
          <w:sz w:val="24"/>
        </w:rPr>
        <w:t xml:space="preserve"> </w:t>
      </w:r>
      <w:r>
        <w:rPr>
          <w:rFonts w:hint="eastAsia" w:ascii="宋体" w:hAnsi="宋体" w:eastAsia="宋体"/>
          <w:color w:val="000000"/>
          <w:sz w:val="24"/>
        </w:rPr>
        <w:t xml:space="preserve">数据产权分置的理论逻辑与制度安排[J].</w:t>
      </w:r>
      <w:r>
        <w:rPr>
          <w:rFonts w:ascii="宋体" w:hAnsi="宋体" w:eastAsia="宋体"/>
          <w:color w:val="000000"/>
          <w:sz w:val="24"/>
        </w:rPr>
        <w:t xml:space="preserve"> </w:t>
      </w:r>
      <w:r>
        <w:rPr>
          <w:rFonts w:hint="eastAsia" w:ascii="宋体" w:hAnsi="宋体" w:eastAsia="宋体"/>
          <w:color w:val="000000"/>
          <w:sz w:val="24"/>
        </w:rPr>
        <w:t xml:space="preserve">法学研究,</w:t>
      </w:r>
      <w:r>
        <w:rPr>
          <w:rFonts w:ascii="宋体" w:hAnsi="宋体" w:eastAsia="宋体"/>
          <w:color w:val="000000"/>
          <w:sz w:val="24"/>
        </w:rPr>
        <w:t xml:space="preserve"> 2023, 45(2): 78-92.</w:t>
      </w:r>
    </w:p>
    <w:p>
      <w:pPr>
        <w:pStyle w:val="BodyText"/>
        <w:spacing w:line="360" w:lineRule="auto"/>
      </w:pPr>
      <w:r>
        <w:rPr>
          <w:rFonts w:ascii="宋体" w:hAnsi="宋体" w:eastAsia="宋体"/>
          <w:color w:val="000000"/>
          <w:sz w:val="24"/>
        </w:rPr>
        <w:t xml:space="preserve">[47] </w:t>
      </w:r>
      <w:r>
        <w:rPr>
          <w:rFonts w:hint="eastAsia" w:ascii="宋体" w:hAnsi="宋体" w:eastAsia="宋体"/>
          <w:color w:val="000000"/>
          <w:sz w:val="24"/>
        </w:rPr>
        <w:t xml:space="preserve">赵莹.</w:t>
      </w:r>
      <w:r>
        <w:rPr>
          <w:rFonts w:ascii="宋体" w:hAnsi="宋体" w:eastAsia="宋体"/>
          <w:color w:val="000000"/>
          <w:sz w:val="24"/>
        </w:rPr>
        <w:t xml:space="preserve"> </w:t>
      </w:r>
      <w:r>
        <w:rPr>
          <w:rFonts w:hint="eastAsia" w:ascii="宋体" w:hAnsi="宋体" w:eastAsia="宋体"/>
          <w:color w:val="000000"/>
          <w:sz w:val="24"/>
        </w:rPr>
        <w:t xml:space="preserve">政府数据开放的公平性评估研究[J].</w:t>
      </w:r>
      <w:r>
        <w:rPr>
          <w:rFonts w:ascii="宋体" w:hAnsi="宋体" w:eastAsia="宋体"/>
          <w:color w:val="000000"/>
          <w:sz w:val="24"/>
        </w:rPr>
        <w:t xml:space="preserve"> </w:t>
      </w:r>
      <w:r>
        <w:rPr>
          <w:rFonts w:hint="eastAsia" w:ascii="宋体" w:hAnsi="宋体" w:eastAsia="宋体"/>
          <w:color w:val="000000"/>
          <w:sz w:val="24"/>
        </w:rPr>
        <w:t xml:space="preserve">公共管理学报,</w:t>
      </w:r>
      <w:r>
        <w:rPr>
          <w:rFonts w:ascii="宋体" w:hAnsi="宋体" w:eastAsia="宋体"/>
          <w:color w:val="000000"/>
          <w:sz w:val="24"/>
        </w:rPr>
        <w:t xml:space="preserve"> 2023, 20(3): 145-158.</w:t>
      </w:r>
    </w:p>
    <w:p>
      <w:pPr>
        <w:pStyle w:val="BodyText"/>
        <w:spacing w:line="360" w:lineRule="auto"/>
      </w:pPr>
      <w:r>
        <w:rPr>
          <w:rFonts w:ascii="宋体" w:hAnsi="宋体" w:eastAsia="宋体"/>
          <w:color w:val="000000"/>
          <w:sz w:val="24"/>
        </w:rPr>
        <w:t xml:space="preserve">[48] </w:t>
      </w:r>
      <w:r>
        <w:rPr>
          <w:rFonts w:hint="eastAsia" w:ascii="宋体" w:hAnsi="宋体" w:eastAsia="宋体"/>
          <w:color w:val="000000"/>
          <w:sz w:val="24"/>
        </w:rPr>
        <w:t xml:space="preserve">陈涛.</w:t>
      </w:r>
      <w:r>
        <w:rPr>
          <w:rFonts w:ascii="宋体" w:hAnsi="宋体" w:eastAsia="宋体"/>
          <w:color w:val="000000"/>
          <w:sz w:val="24"/>
        </w:rPr>
        <w:t xml:space="preserve"> </w:t>
      </w:r>
      <w:r>
        <w:rPr>
          <w:rFonts w:hint="eastAsia" w:ascii="宋体" w:hAnsi="宋体" w:eastAsia="宋体"/>
          <w:color w:val="000000"/>
          <w:sz w:val="24"/>
        </w:rPr>
        <w:t xml:space="preserve">数据要素市场建设中的政府角色定位[J].</w:t>
      </w:r>
      <w:r>
        <w:rPr>
          <w:rFonts w:ascii="宋体" w:hAnsi="宋体" w:eastAsia="宋体"/>
          <w:color w:val="000000"/>
          <w:sz w:val="24"/>
        </w:rPr>
        <w:t xml:space="preserve"> </w:t>
      </w:r>
      <w:r>
        <w:rPr>
          <w:rFonts w:hint="eastAsia" w:ascii="宋体" w:hAnsi="宋体" w:eastAsia="宋体"/>
          <w:color w:val="000000"/>
          <w:sz w:val="24"/>
        </w:rPr>
        <w:t xml:space="preserve">改革,</w:t>
      </w:r>
      <w:r>
        <w:rPr>
          <w:rFonts w:ascii="宋体" w:hAnsi="宋体" w:eastAsia="宋体"/>
          <w:color w:val="000000"/>
          <w:sz w:val="24"/>
        </w:rPr>
        <w:t xml:space="preserve"> 2023, (4): 45-58.</w:t>
      </w:r>
    </w:p>
    <w:p>
      <w:pPr>
        <w:pStyle w:val="BodyText"/>
        <w:spacing w:line="360" w:lineRule="auto"/>
      </w:pPr>
      <w:r>
        <w:rPr>
          <w:rFonts w:ascii="宋体" w:hAnsi="宋体" w:eastAsia="宋体"/>
          <w:color w:val="000000"/>
          <w:sz w:val="24"/>
        </w:rPr>
        <w:t xml:space="preserve">[49] </w:t>
      </w:r>
      <w:r>
        <w:rPr>
          <w:rFonts w:hint="eastAsia" w:ascii="宋体" w:hAnsi="宋体" w:eastAsia="宋体"/>
          <w:color w:val="000000"/>
          <w:sz w:val="24"/>
        </w:rPr>
        <w:t xml:space="preserve">刘硕.</w:t>
      </w:r>
      <w:r>
        <w:rPr>
          <w:rFonts w:ascii="宋体" w:hAnsi="宋体" w:eastAsia="宋体"/>
          <w:color w:val="000000"/>
          <w:sz w:val="24"/>
        </w:rPr>
        <w:t xml:space="preserve"> </w:t>
      </w:r>
      <w:r>
        <w:rPr>
          <w:rFonts w:hint="eastAsia" w:ascii="宋体" w:hAnsi="宋体" w:eastAsia="宋体"/>
          <w:color w:val="000000"/>
          <w:sz w:val="24"/>
        </w:rPr>
        <w:t xml:space="preserve">基于DEMATEL的政府数据开放影响因素因果分析[J].</w:t>
      </w:r>
      <w:r>
        <w:rPr>
          <w:rFonts w:ascii="宋体" w:hAnsi="宋体" w:eastAsia="宋体"/>
          <w:color w:val="000000"/>
          <w:sz w:val="24"/>
        </w:rPr>
        <w:t xml:space="preserve"> </w:t>
      </w:r>
      <w:r>
        <w:rPr>
          <w:rFonts w:hint="eastAsia" w:ascii="宋体" w:hAnsi="宋体" w:eastAsia="宋体"/>
          <w:color w:val="000000"/>
          <w:sz w:val="24"/>
        </w:rPr>
        <w:t xml:space="preserve">情报杂志,</w:t>
      </w:r>
      <w:r>
        <w:rPr>
          <w:rFonts w:ascii="宋体" w:hAnsi="宋体" w:eastAsia="宋体"/>
          <w:color w:val="000000"/>
          <w:sz w:val="24"/>
        </w:rPr>
        <w:t xml:space="preserve"> 2022, 41(9): 167-175.</w:t>
      </w:r>
    </w:p>
    <w:p>
      <w:pPr>
        <w:pStyle w:val="BodyText"/>
        <w:spacing w:line="360" w:lineRule="auto"/>
      </w:pPr>
      <w:r>
        <w:rPr>
          <w:rFonts w:ascii="宋体" w:hAnsi="宋体" w:eastAsia="宋体"/>
          <w:color w:val="000000"/>
          <w:sz w:val="24"/>
        </w:rPr>
        <w:t xml:space="preserve">[50] </w:t>
      </w:r>
      <w:r>
        <w:rPr>
          <w:rFonts w:hint="eastAsia" w:ascii="宋体" w:hAnsi="宋体" w:eastAsia="宋体"/>
          <w:color w:val="000000"/>
          <w:sz w:val="24"/>
        </w:rPr>
        <w:t xml:space="preserve">贺佳秀,</w:t>
      </w:r>
      <w:r>
        <w:rPr>
          <w:rFonts w:ascii="宋体" w:hAnsi="宋体" w:eastAsia="宋体"/>
          <w:color w:val="000000"/>
          <w:sz w:val="24"/>
        </w:rPr>
        <w:t xml:space="preserve"> </w:t>
      </w:r>
      <w:r>
        <w:rPr>
          <w:rFonts w:hint="eastAsia" w:ascii="宋体" w:hAnsi="宋体" w:eastAsia="宋体"/>
          <w:color w:val="000000"/>
          <w:sz w:val="24"/>
        </w:rPr>
        <w:t xml:space="preserve">周文泓.</w:t>
      </w:r>
      <w:r>
        <w:rPr>
          <w:rFonts w:ascii="宋体" w:hAnsi="宋体" w:eastAsia="宋体"/>
          <w:color w:val="000000"/>
          <w:sz w:val="24"/>
        </w:rPr>
        <w:t xml:space="preserve"> </w:t>
      </w:r>
      <w:r>
        <w:rPr>
          <w:rFonts w:hint="eastAsia" w:ascii="宋体" w:hAnsi="宋体" w:eastAsia="宋体"/>
          <w:color w:val="000000"/>
          <w:sz w:val="24"/>
        </w:rPr>
        <w:t xml:space="preserve">政府数据开放平台的可持续发展研究[J].</w:t>
      </w:r>
      <w:r>
        <w:rPr>
          <w:rFonts w:ascii="宋体" w:hAnsi="宋体" w:eastAsia="宋体"/>
          <w:color w:val="000000"/>
          <w:sz w:val="24"/>
        </w:rPr>
        <w:t xml:space="preserve"> </w:t>
      </w:r>
      <w:r>
        <w:rPr>
          <w:rFonts w:hint="eastAsia" w:ascii="宋体" w:hAnsi="宋体" w:eastAsia="宋体"/>
          <w:color w:val="000000"/>
          <w:sz w:val="24"/>
        </w:rPr>
        <w:t xml:space="preserve">现代情报,</w:t>
      </w:r>
      <w:r>
        <w:rPr>
          <w:rFonts w:ascii="宋体" w:hAnsi="宋体" w:eastAsia="宋体"/>
          <w:color w:val="000000"/>
          <w:sz w:val="24"/>
        </w:rPr>
        <w:t xml:space="preserve"> 2023, 43(3): 145-156.</w:t>
      </w:r>
    </w:p>
    <w:p>
      <w:pPr>
        <w:pStyle w:val="BodyText"/>
        <w:spacing w:line="360" w:lineRule="auto"/>
      </w:pPr>
      <w:r>
        <w:rPr>
          <w:rFonts w:ascii="宋体" w:hAnsi="宋体" w:eastAsia="宋体"/>
          <w:color w:val="000000"/>
          <w:sz w:val="24"/>
        </w:rPr>
        <w:t xml:space="preserve">[51] </w:t>
      </w:r>
      <w:r>
        <w:rPr>
          <w:rFonts w:hint="eastAsia" w:ascii="宋体" w:hAnsi="宋体" w:eastAsia="宋体"/>
          <w:color w:val="000000"/>
          <w:sz w:val="24"/>
        </w:rPr>
        <w:t xml:space="preserve">范佳佳.</w:t>
      </w:r>
      <w:r>
        <w:rPr>
          <w:rFonts w:ascii="宋体" w:hAnsi="宋体" w:eastAsia="宋体"/>
          <w:color w:val="000000"/>
          <w:sz w:val="24"/>
        </w:rPr>
        <w:t xml:space="preserve"> </w:t>
      </w:r>
      <w:r>
        <w:rPr>
          <w:rFonts w:hint="eastAsia" w:ascii="宋体" w:hAnsi="宋体" w:eastAsia="宋体"/>
          <w:color w:val="000000"/>
          <w:sz w:val="24"/>
        </w:rPr>
        <w:t xml:space="preserve">政府数据开放的政策工具选择与组合研究[J].</w:t>
      </w:r>
      <w:r>
        <w:rPr>
          <w:rFonts w:ascii="宋体" w:hAnsi="宋体" w:eastAsia="宋体"/>
          <w:color w:val="000000"/>
          <w:sz w:val="24"/>
        </w:rPr>
        <w:t xml:space="preserve"> </w:t>
      </w:r>
      <w:r>
        <w:rPr>
          <w:rFonts w:hint="eastAsia" w:ascii="宋体" w:hAnsi="宋体" w:eastAsia="宋体"/>
          <w:color w:val="000000"/>
          <w:sz w:val="24"/>
        </w:rPr>
        <w:t xml:space="preserve">中国行政管理,</w:t>
      </w:r>
      <w:r>
        <w:rPr>
          <w:rFonts w:ascii="宋体" w:hAnsi="宋体" w:eastAsia="宋体"/>
          <w:color w:val="000000"/>
          <w:sz w:val="24"/>
        </w:rPr>
        <w:t xml:space="preserve"> 2023, (5): 89-98.</w:t>
      </w:r>
    </w:p>
    <w:p>
      <w:pPr>
        <w:pStyle w:val="BodyText"/>
        <w:spacing w:line="360" w:lineRule="auto"/>
      </w:pPr>
      <w:r>
        <w:rPr>
          <w:rFonts w:ascii="宋体" w:hAnsi="宋体" w:eastAsia="宋体"/>
          <w:color w:val="000000"/>
          <w:sz w:val="24"/>
        </w:rPr>
        <w:t xml:space="preserve">[52] </w:t>
      </w:r>
      <w:r>
        <w:rPr>
          <w:rFonts w:hint="eastAsia" w:ascii="宋体" w:hAnsi="宋体" w:eastAsia="宋体"/>
          <w:color w:val="000000"/>
          <w:sz w:val="24"/>
        </w:rPr>
        <w:t xml:space="preserve">徐慧娜.</w:t>
      </w:r>
      <w:r>
        <w:rPr>
          <w:rFonts w:ascii="宋体" w:hAnsi="宋体" w:eastAsia="宋体"/>
          <w:color w:val="000000"/>
          <w:sz w:val="24"/>
        </w:rPr>
        <w:t xml:space="preserve"> </w:t>
      </w:r>
      <w:r>
        <w:rPr>
          <w:rFonts w:hint="eastAsia" w:ascii="宋体" w:hAnsi="宋体" w:eastAsia="宋体"/>
          <w:color w:val="000000"/>
          <w:sz w:val="24"/>
        </w:rPr>
        <w:t xml:space="preserve">政府数据开放的国际经验与中国路径[J].</w:t>
      </w:r>
      <w:r>
        <w:rPr>
          <w:rFonts w:ascii="宋体" w:hAnsi="宋体" w:eastAsia="宋体"/>
          <w:color w:val="000000"/>
          <w:sz w:val="24"/>
        </w:rPr>
        <w:t xml:space="preserve"> </w:t>
      </w:r>
      <w:r>
        <w:rPr>
          <w:rFonts w:hint="eastAsia" w:ascii="宋体" w:hAnsi="宋体" w:eastAsia="宋体"/>
          <w:color w:val="000000"/>
          <w:sz w:val="24"/>
        </w:rPr>
        <w:t xml:space="preserve">情报科学,</w:t>
      </w:r>
      <w:r>
        <w:rPr>
          <w:rFonts w:ascii="宋体" w:hAnsi="宋体" w:eastAsia="宋体"/>
          <w:color w:val="000000"/>
          <w:sz w:val="24"/>
        </w:rPr>
        <w:t xml:space="preserve"> 2021, 39(8): 3-14.</w:t>
      </w:r>
    </w:p>
    <w:p>
      <w:pPr>
        <w:pStyle w:val="BodyText"/>
        <w:spacing w:line="360" w:lineRule="auto"/>
      </w:pPr>
      <w:r>
        <w:rPr>
          <w:rFonts w:ascii="宋体" w:hAnsi="宋体" w:eastAsia="宋体"/>
          <w:color w:val="000000"/>
          <w:sz w:val="24"/>
        </w:rPr>
        <w:t xml:space="preserve">[53] </w:t>
      </w:r>
      <w:r>
        <w:rPr>
          <w:rFonts w:hint="eastAsia" w:ascii="宋体" w:hAnsi="宋体" w:eastAsia="宋体"/>
          <w:color w:val="000000"/>
          <w:sz w:val="24"/>
        </w:rPr>
        <w:t xml:space="preserve">田欣.</w:t>
      </w:r>
      <w:r>
        <w:rPr>
          <w:rFonts w:ascii="宋体" w:hAnsi="宋体" w:eastAsia="宋体"/>
          <w:color w:val="000000"/>
          <w:sz w:val="24"/>
        </w:rPr>
        <w:t xml:space="preserve"> </w:t>
      </w:r>
      <w:r>
        <w:rPr>
          <w:rFonts w:hint="eastAsia" w:ascii="宋体" w:hAnsi="宋体" w:eastAsia="宋体"/>
          <w:color w:val="000000"/>
          <w:sz w:val="24"/>
        </w:rPr>
        <w:t xml:space="preserve">政府数据开放平台的数据可视化功能评估[J].</w:t>
      </w:r>
      <w:r>
        <w:rPr>
          <w:rFonts w:ascii="宋体" w:hAnsi="宋体" w:eastAsia="宋体"/>
          <w:color w:val="000000"/>
          <w:sz w:val="24"/>
        </w:rPr>
        <w:t xml:space="preserve"> </w:t>
      </w:r>
      <w:r>
        <w:rPr>
          <w:rFonts w:hint="eastAsia" w:ascii="宋体" w:hAnsi="宋体" w:eastAsia="宋体"/>
          <w:color w:val="000000"/>
          <w:sz w:val="24"/>
        </w:rPr>
        <w:t xml:space="preserve">图书情报工作,</w:t>
      </w:r>
      <w:r>
        <w:rPr>
          <w:rFonts w:ascii="宋体" w:hAnsi="宋体" w:eastAsia="宋体"/>
          <w:color w:val="000000"/>
          <w:sz w:val="24"/>
        </w:rPr>
        <w:t xml:space="preserve"> 2023, 67(6): 78-89.</w:t>
      </w:r>
    </w:p>
    <w:p>
      <w:pPr>
        <w:pStyle w:val="BodyText"/>
        <w:spacing w:line="360" w:lineRule="auto"/>
      </w:pPr>
      <w:r>
        <w:rPr>
          <w:rFonts w:ascii="宋体" w:hAnsi="宋体" w:eastAsia="宋体"/>
          <w:color w:val="000000"/>
          <w:sz w:val="24"/>
        </w:rPr>
        <w:t xml:space="preserve">[54] </w:t>
      </w:r>
      <w:r>
        <w:rPr>
          <w:rFonts w:hint="eastAsia" w:ascii="宋体" w:hAnsi="宋体" w:eastAsia="宋体"/>
          <w:color w:val="000000"/>
          <w:sz w:val="24"/>
        </w:rPr>
        <w:t xml:space="preserve">吴琼.</w:t>
      </w:r>
      <w:r>
        <w:rPr>
          <w:rFonts w:ascii="宋体" w:hAnsi="宋体" w:eastAsia="宋体"/>
          <w:color w:val="000000"/>
          <w:sz w:val="24"/>
        </w:rPr>
        <w:t xml:space="preserve"> </w:t>
      </w:r>
      <w:r>
        <w:rPr>
          <w:rFonts w:hint="eastAsia" w:ascii="宋体" w:hAnsi="宋体" w:eastAsia="宋体"/>
          <w:color w:val="000000"/>
          <w:sz w:val="24"/>
        </w:rPr>
        <w:t xml:space="preserve">数据要素价值化的实现路径与制度保障[J].</w:t>
      </w:r>
      <w:r>
        <w:rPr>
          <w:rFonts w:ascii="宋体" w:hAnsi="宋体" w:eastAsia="宋体"/>
          <w:color w:val="000000"/>
          <w:sz w:val="24"/>
        </w:rPr>
        <w:t xml:space="preserve"> </w:t>
      </w:r>
      <w:r>
        <w:rPr>
          <w:rFonts w:hint="eastAsia" w:ascii="宋体" w:hAnsi="宋体" w:eastAsia="宋体"/>
          <w:color w:val="000000"/>
          <w:sz w:val="24"/>
        </w:rPr>
        <w:t xml:space="preserve">经济学家,</w:t>
      </w:r>
      <w:r>
        <w:rPr>
          <w:rFonts w:ascii="宋体" w:hAnsi="宋体" w:eastAsia="宋体"/>
          <w:color w:val="000000"/>
          <w:sz w:val="24"/>
        </w:rPr>
        <w:t xml:space="preserve"> 2023, (7): 67-78.</w:t>
      </w:r>
    </w:p>
    <w:p>
      <w:pPr>
        <w:pStyle w:val="BodyText"/>
        <w:spacing w:line="360" w:lineRule="auto"/>
      </w:pPr>
      <w:r>
        <w:rPr>
          <w:rFonts w:ascii="宋体" w:hAnsi="宋体" w:eastAsia="宋体"/>
          <w:color w:val="000000"/>
          <w:sz w:val="24"/>
        </w:rPr>
        <w:t xml:space="preserve">[55] </w:t>
      </w:r>
      <w:r>
        <w:rPr>
          <w:rFonts w:hint="eastAsia" w:ascii="宋体" w:hAnsi="宋体" w:eastAsia="宋体"/>
          <w:color w:val="000000"/>
          <w:sz w:val="24"/>
        </w:rPr>
        <w:t xml:space="preserve">黄思颖.</w:t>
      </w:r>
      <w:r>
        <w:rPr>
          <w:rFonts w:ascii="宋体" w:hAnsi="宋体" w:eastAsia="宋体"/>
          <w:color w:val="000000"/>
          <w:sz w:val="24"/>
        </w:rPr>
        <w:t xml:space="preserve"> </w:t>
      </w:r>
      <w:r>
        <w:rPr>
          <w:rFonts w:hint="eastAsia" w:ascii="宋体" w:hAnsi="宋体" w:eastAsia="宋体"/>
          <w:color w:val="000000"/>
          <w:sz w:val="24"/>
        </w:rPr>
        <w:t xml:space="preserve">政府数据开放的绩效差距与收敛性研究[J].</w:t>
      </w:r>
      <w:r>
        <w:rPr>
          <w:rFonts w:ascii="宋体" w:hAnsi="宋体" w:eastAsia="宋体"/>
          <w:color w:val="000000"/>
          <w:sz w:val="24"/>
        </w:rPr>
        <w:t xml:space="preserve"> </w:t>
      </w:r>
      <w:r>
        <w:rPr>
          <w:rFonts w:hint="eastAsia" w:ascii="宋体" w:hAnsi="宋体" w:eastAsia="宋体"/>
          <w:color w:val="000000"/>
          <w:sz w:val="24"/>
        </w:rPr>
        <w:t xml:space="preserve">公共行政评论,</w:t>
      </w:r>
      <w:r>
        <w:rPr>
          <w:rFonts w:ascii="宋体" w:hAnsi="宋体" w:eastAsia="宋体"/>
          <w:color w:val="000000"/>
          <w:sz w:val="24"/>
        </w:rPr>
        <w:t xml:space="preserve"> 2023, 16(2): 89-102.</w:t>
      </w:r>
    </w:p>
    <w:p>
      <w:pPr>
        <w:pStyle w:val="BodyText"/>
        <w:spacing w:line="360" w:lineRule="auto"/>
      </w:pPr>
      <w:r>
        <w:rPr>
          <w:rFonts w:ascii="宋体" w:hAnsi="宋体" w:eastAsia="宋体"/>
          <w:color w:val="000000"/>
          <w:sz w:val="24"/>
        </w:rPr>
        <w:t xml:space="preserve">[56] </w:t>
      </w:r>
      <w:r>
        <w:rPr>
          <w:rFonts w:hint="eastAsia" w:ascii="宋体" w:hAnsi="宋体" w:eastAsia="宋体"/>
          <w:color w:val="000000"/>
          <w:sz w:val="24"/>
        </w:rPr>
        <w:t xml:space="preserve">顾勤.</w:t>
      </w:r>
      <w:r>
        <w:rPr>
          <w:rFonts w:ascii="宋体" w:hAnsi="宋体" w:eastAsia="宋体"/>
          <w:color w:val="000000"/>
          <w:sz w:val="24"/>
        </w:rPr>
        <w:t xml:space="preserve"> </w:t>
      </w:r>
      <w:r>
        <w:rPr>
          <w:rFonts w:hint="eastAsia" w:ascii="宋体" w:hAnsi="宋体" w:eastAsia="宋体"/>
          <w:color w:val="000000"/>
          <w:sz w:val="24"/>
        </w:rPr>
        <w:t xml:space="preserve">公共数据授权运营的地方实践与制度创新[J].</w:t>
      </w:r>
      <w:r>
        <w:rPr>
          <w:rFonts w:ascii="宋体" w:hAnsi="宋体" w:eastAsia="宋体"/>
          <w:color w:val="000000"/>
          <w:sz w:val="24"/>
        </w:rPr>
        <w:t xml:space="preserve"> </w:t>
      </w:r>
      <w:r>
        <w:rPr>
          <w:rFonts w:hint="eastAsia" w:ascii="宋体" w:hAnsi="宋体" w:eastAsia="宋体"/>
          <w:color w:val="000000"/>
          <w:sz w:val="24"/>
        </w:rPr>
        <w:t xml:space="preserve">中国行政管理,</w:t>
      </w:r>
      <w:r>
        <w:rPr>
          <w:rFonts w:ascii="宋体" w:hAnsi="宋体" w:eastAsia="宋体"/>
          <w:color w:val="000000"/>
          <w:sz w:val="24"/>
        </w:rPr>
        <w:t xml:space="preserve"> 2023, (9): 112-123.</w:t>
      </w:r>
    </w:p>
    <w:p>
      <w:pPr>
        <w:pStyle w:val="BodyText"/>
        <w:spacing w:line="360" w:lineRule="auto"/>
      </w:pPr>
      <w:r>
        <w:rPr>
          <w:rFonts w:ascii="宋体" w:hAnsi="宋体" w:eastAsia="宋体"/>
          <w:color w:val="000000"/>
          <w:sz w:val="24"/>
        </w:rPr>
        <w:t xml:space="preserve">[57] </w:t>
      </w:r>
      <w:r>
        <w:rPr>
          <w:rFonts w:hint="eastAsia" w:ascii="宋体" w:hAnsi="宋体" w:eastAsia="宋体"/>
          <w:color w:val="000000"/>
          <w:sz w:val="24"/>
        </w:rPr>
        <w:t xml:space="preserve">赵需要.</w:t>
      </w:r>
      <w:r>
        <w:rPr>
          <w:rFonts w:ascii="宋体" w:hAnsi="宋体" w:eastAsia="宋体"/>
          <w:color w:val="000000"/>
          <w:sz w:val="24"/>
        </w:rPr>
        <w:t xml:space="preserve"> </w:t>
      </w:r>
      <w:r>
        <w:rPr>
          <w:rFonts w:hint="eastAsia" w:ascii="宋体" w:hAnsi="宋体" w:eastAsia="宋体"/>
          <w:color w:val="000000"/>
          <w:sz w:val="24"/>
        </w:rPr>
        <w:t xml:space="preserve">政府数据开放评估的多方法三角验证研究[J].</w:t>
      </w:r>
      <w:r>
        <w:rPr>
          <w:rFonts w:ascii="宋体" w:hAnsi="宋体" w:eastAsia="宋体"/>
          <w:color w:val="000000"/>
          <w:sz w:val="24"/>
        </w:rPr>
        <w:t xml:space="preserve"> </w:t>
      </w:r>
      <w:r>
        <w:rPr>
          <w:rFonts w:hint="eastAsia" w:ascii="宋体" w:hAnsi="宋体" w:eastAsia="宋体"/>
          <w:color w:val="000000"/>
          <w:sz w:val="24"/>
        </w:rPr>
        <w:t xml:space="preserve">情报理论与实践,</w:t>
      </w:r>
      <w:r>
        <w:rPr>
          <w:rFonts w:ascii="宋体" w:hAnsi="宋体" w:eastAsia="宋体"/>
          <w:color w:val="000000"/>
          <w:sz w:val="24"/>
        </w:rPr>
        <w:t xml:space="preserve"> 2023, 46(5): 156-167.</w:t>
      </w:r>
    </w:p>
    <w:p>
      <w:pPr>
        <w:pStyle w:val="BodyText"/>
        <w:spacing w:line="360" w:lineRule="auto"/>
      </w:pPr>
      <w:r>
        <w:rPr>
          <w:rFonts w:ascii="宋体" w:hAnsi="宋体" w:eastAsia="宋体"/>
          <w:color w:val="000000"/>
          <w:sz w:val="24"/>
        </w:rPr>
        <w:t xml:space="preserve">[58] </w:t>
      </w:r>
      <w:r>
        <w:rPr>
          <w:rFonts w:hint="eastAsia" w:ascii="宋体" w:hAnsi="宋体" w:eastAsia="宋体"/>
          <w:color w:val="000000"/>
          <w:sz w:val="24"/>
        </w:rPr>
        <w:t xml:space="preserve">崔文波,</w:t>
      </w:r>
      <w:r>
        <w:rPr>
          <w:rFonts w:ascii="宋体" w:hAnsi="宋体" w:eastAsia="宋体"/>
          <w:color w:val="000000"/>
          <w:sz w:val="24"/>
        </w:rPr>
        <w:t xml:space="preserve"> </w:t>
      </w:r>
      <w:r>
        <w:rPr>
          <w:rFonts w:hint="eastAsia" w:ascii="宋体" w:hAnsi="宋体" w:eastAsia="宋体"/>
          <w:color w:val="000000"/>
          <w:sz w:val="24"/>
        </w:rPr>
        <w:t xml:space="preserve">张涛.</w:t>
      </w:r>
      <w:r>
        <w:rPr>
          <w:rFonts w:ascii="宋体" w:hAnsi="宋体" w:eastAsia="宋体"/>
          <w:color w:val="000000"/>
          <w:sz w:val="24"/>
        </w:rPr>
        <w:t xml:space="preserve"> </w:t>
      </w:r>
      <w:r>
        <w:rPr>
          <w:rFonts w:hint="eastAsia" w:ascii="宋体" w:hAnsi="宋体" w:eastAsia="宋体"/>
          <w:color w:val="000000"/>
          <w:sz w:val="24"/>
        </w:rPr>
        <w:t xml:space="preserve">政府数据开放平台的API可用性评估研究[J].</w:t>
      </w:r>
      <w:r>
        <w:rPr>
          <w:rFonts w:ascii="宋体" w:hAnsi="宋体" w:eastAsia="宋体"/>
          <w:color w:val="000000"/>
          <w:sz w:val="24"/>
        </w:rPr>
        <w:t xml:space="preserve"> </w:t>
      </w:r>
      <w:r>
        <w:rPr>
          <w:rFonts w:hint="eastAsia" w:ascii="宋体" w:hAnsi="宋体" w:eastAsia="宋体"/>
          <w:color w:val="000000"/>
          <w:sz w:val="24"/>
        </w:rPr>
        <w:t xml:space="preserve">情报科学,</w:t>
      </w:r>
      <w:r>
        <w:rPr>
          <w:rFonts w:ascii="宋体" w:hAnsi="宋体" w:eastAsia="宋体"/>
          <w:color w:val="000000"/>
          <w:sz w:val="24"/>
        </w:rPr>
        <w:t xml:space="preserve"> 2023, 41(4): 89-98.</w:t>
      </w:r>
    </w:p>
    <w:p>
      <w:pPr>
        <w:pStyle w:val="BodyText"/>
        <w:spacing w:line="360" w:lineRule="auto"/>
      </w:pPr>
      <w:r>
        <w:rPr>
          <w:rFonts w:ascii="宋体" w:hAnsi="宋体" w:eastAsia="宋体"/>
          <w:color w:val="000000"/>
          <w:sz w:val="24"/>
        </w:rPr>
        <w:t xml:space="preserve">[59] </w:t>
      </w:r>
      <w:r>
        <w:rPr>
          <w:rFonts w:hint="eastAsia" w:ascii="宋体" w:hAnsi="宋体" w:eastAsia="宋体"/>
          <w:color w:val="000000"/>
          <w:sz w:val="24"/>
        </w:rPr>
        <w:t xml:space="preserve">刘新萍,</w:t>
      </w:r>
      <w:r>
        <w:rPr>
          <w:rFonts w:ascii="宋体" w:hAnsi="宋体" w:eastAsia="宋体"/>
          <w:color w:val="000000"/>
          <w:sz w:val="24"/>
        </w:rPr>
        <w:t xml:space="preserve"> </w:t>
      </w:r>
      <w:r>
        <w:rPr>
          <w:rFonts w:hint="eastAsia" w:ascii="宋体" w:hAnsi="宋体" w:eastAsia="宋体"/>
          <w:color w:val="000000"/>
          <w:sz w:val="24"/>
        </w:rPr>
        <w:t xml:space="preserve">郑磊.</w:t>
      </w:r>
      <w:r>
        <w:rPr>
          <w:rFonts w:ascii="宋体" w:hAnsi="宋体" w:eastAsia="宋体"/>
          <w:color w:val="000000"/>
          <w:sz w:val="24"/>
        </w:rPr>
        <w:t xml:space="preserve"> </w:t>
      </w:r>
      <w:r>
        <w:rPr>
          <w:rFonts w:hint="eastAsia" w:ascii="宋体" w:hAnsi="宋体" w:eastAsia="宋体"/>
          <w:color w:val="000000"/>
          <w:sz w:val="24"/>
        </w:rPr>
        <w:t xml:space="preserve">政府数据开放中的数据安全与隐私保护[J].</w:t>
      </w:r>
      <w:r>
        <w:rPr>
          <w:rFonts w:ascii="宋体" w:hAnsi="宋体" w:eastAsia="宋体"/>
          <w:color w:val="000000"/>
          <w:sz w:val="24"/>
        </w:rPr>
        <w:t xml:space="preserve"> </w:t>
      </w:r>
      <w:r>
        <w:rPr>
          <w:rFonts w:hint="eastAsia" w:ascii="宋体" w:hAnsi="宋体" w:eastAsia="宋体"/>
          <w:color w:val="000000"/>
          <w:sz w:val="24"/>
        </w:rPr>
        <w:t xml:space="preserve">图书情报知识,</w:t>
      </w:r>
      <w:r>
        <w:rPr>
          <w:rFonts w:ascii="宋体" w:hAnsi="宋体" w:eastAsia="宋体"/>
          <w:color w:val="000000"/>
          <w:sz w:val="24"/>
        </w:rPr>
        <w:t xml:space="preserve"> 2022, (3): 67-78.</w:t>
      </w:r>
    </w:p>
    <w:p>
      <w:pPr>
        <w:pStyle w:val="BodyText"/>
        <w:spacing w:line="360" w:lineRule="auto"/>
      </w:pPr>
      <w:r>
        <w:rPr>
          <w:rFonts w:ascii="宋体" w:hAnsi="宋体" w:eastAsia="宋体"/>
          <w:color w:val="000000"/>
          <w:sz w:val="24"/>
        </w:rPr>
        <w:t xml:space="preserve">[60] </w:t>
      </w:r>
      <w:r>
        <w:rPr>
          <w:rFonts w:hint="eastAsia" w:ascii="宋体" w:hAnsi="宋体" w:eastAsia="宋体"/>
          <w:color w:val="000000"/>
          <w:sz w:val="24"/>
        </w:rPr>
        <w:t xml:space="preserve">陈涛,</w:t>
      </w:r>
      <w:r>
        <w:rPr>
          <w:rFonts w:ascii="宋体" w:hAnsi="宋体" w:eastAsia="宋体"/>
          <w:color w:val="000000"/>
          <w:sz w:val="24"/>
        </w:rPr>
        <w:t xml:space="preserve"> </w:t>
      </w:r>
      <w:r>
        <w:rPr>
          <w:rFonts w:hint="eastAsia" w:ascii="宋体" w:hAnsi="宋体" w:eastAsia="宋体"/>
          <w:color w:val="000000"/>
          <w:sz w:val="24"/>
        </w:rPr>
        <w:t xml:space="preserve">丁晓强.</w:t>
      </w:r>
      <w:r>
        <w:rPr>
          <w:rFonts w:ascii="宋体" w:hAnsi="宋体" w:eastAsia="宋体"/>
          <w:color w:val="000000"/>
          <w:sz w:val="24"/>
        </w:rPr>
        <w:t xml:space="preserve"> </w:t>
      </w:r>
      <w:r>
        <w:rPr>
          <w:rFonts w:hint="eastAsia" w:ascii="宋体" w:hAnsi="宋体" w:eastAsia="宋体"/>
          <w:color w:val="000000"/>
          <w:sz w:val="24"/>
        </w:rPr>
        <w:t xml:space="preserve">数据要素市场化配置中的政府监管研究[J].</w:t>
      </w:r>
      <w:r>
        <w:rPr>
          <w:rFonts w:ascii="宋体" w:hAnsi="宋体" w:eastAsia="宋体"/>
          <w:color w:val="000000"/>
          <w:sz w:val="24"/>
        </w:rPr>
        <w:t xml:space="preserve"> </w:t>
      </w:r>
      <w:r>
        <w:rPr>
          <w:rFonts w:hint="eastAsia" w:ascii="宋体" w:hAnsi="宋体" w:eastAsia="宋体"/>
          <w:color w:val="000000"/>
          <w:sz w:val="24"/>
        </w:rPr>
        <w:t xml:space="preserve">中国行政管理,</w:t>
      </w:r>
      <w:r>
        <w:rPr>
          <w:rFonts w:ascii="宋体" w:hAnsi="宋体" w:eastAsia="宋体"/>
          <w:color w:val="000000"/>
          <w:sz w:val="24"/>
        </w:rPr>
        <w:t xml:space="preserve"> 2023, (11): 34-45.</w:t>
      </w:r>
    </w:p>
    <w:p>
      <w:pPr>
        <w:pStyle w:val="BodyText"/>
        <w:spacing w:line="360" w:lineRule="auto"/>
      </w:pPr>
      <w:r>
        <w:rPr>
          <w:rFonts w:ascii="宋体" w:hAnsi="宋体" w:eastAsia="宋体"/>
          <w:color w:val="000000"/>
          <w:sz w:val="24"/>
        </w:rPr>
        <w:t xml:space="preserve">[61] </w:t>
      </w:r>
      <w:r>
        <w:rPr>
          <w:rFonts w:hint="eastAsia" w:ascii="宋体" w:hAnsi="宋体" w:eastAsia="宋体"/>
          <w:color w:val="000000"/>
          <w:sz w:val="24"/>
        </w:rPr>
        <w:t xml:space="preserve">新华网.</w:t>
      </w:r>
      <w:r>
        <w:rPr>
          <w:rFonts w:ascii="宋体" w:hAnsi="宋体" w:eastAsia="宋体"/>
          <w:color w:val="000000"/>
          <w:sz w:val="24"/>
        </w:rPr>
        <w:t xml:space="preserve"> </w:t>
      </w:r>
      <w:r>
        <w:rPr>
          <w:rFonts w:hint="eastAsia" w:ascii="宋体" w:hAnsi="宋体" w:eastAsia="宋体"/>
          <w:color w:val="000000"/>
          <w:sz w:val="24"/>
        </w:rPr>
        <w:t xml:space="preserve">国家信息化发展战略纲要[EB/OL].</w:t>
      </w:r>
      <w:r>
        <w:rPr>
          <w:rFonts w:ascii="宋体" w:hAnsi="宋体" w:eastAsia="宋体"/>
          <w:color w:val="000000"/>
          <w:sz w:val="24"/>
        </w:rPr>
        <w:t xml:space="preserve"> (2016-07-27). http://www.xinhuanet.com/politics/2016-07/27/c_1119294943.htm.</w:t>
      </w:r>
    </w:p>
    <w:p>
      <w:pPr>
        <w:pStyle w:val="BodyText"/>
        <w:spacing w:line="360" w:lineRule="auto"/>
      </w:pPr>
      <w:r>
        <w:rPr>
          <w:rFonts w:ascii="宋体" w:hAnsi="宋体" w:eastAsia="宋体"/>
          <w:color w:val="000000"/>
          <w:sz w:val="24"/>
        </w:rPr>
        <w:t xml:space="preserve">[62] </w:t>
      </w:r>
      <w:r>
        <w:rPr>
          <w:rFonts w:hint="eastAsia" w:ascii="宋体" w:hAnsi="宋体" w:eastAsia="宋体"/>
          <w:color w:val="000000"/>
          <w:sz w:val="24"/>
        </w:rPr>
        <w:t xml:space="preserve">人民网.</w:t>
      </w:r>
      <w:r>
        <w:rPr>
          <w:rFonts w:ascii="宋体" w:hAnsi="宋体" w:eastAsia="宋体"/>
          <w:color w:val="000000"/>
          <w:sz w:val="24"/>
        </w:rPr>
        <w:t xml:space="preserve"> </w:t>
      </w:r>
      <w:r>
        <w:rPr>
          <w:rFonts w:hint="eastAsia" w:ascii="宋体" w:hAnsi="宋体" w:eastAsia="宋体"/>
          <w:color w:val="000000"/>
          <w:sz w:val="24"/>
        </w:rPr>
        <w:t xml:space="preserve">数字中国建设整体布局规划[EB/OL].</w:t>
      </w:r>
      <w:r>
        <w:rPr>
          <w:rFonts w:ascii="宋体" w:hAnsi="宋体" w:eastAsia="宋体"/>
          <w:color w:val="000000"/>
          <w:sz w:val="24"/>
        </w:rPr>
        <w:t xml:space="preserve"> (2023-02-27). http://politics.people.com.cn/n1/2023/0227/c1001-32633085.html.</w:t>
      </w:r>
    </w:p>
    <w:p>
      <w:pPr>
        <w:pStyle w:val="BodyText"/>
        <w:spacing w:line="360" w:lineRule="auto"/>
      </w:pPr>
      <w:r>
        <w:rPr>
          <w:rFonts w:ascii="宋体" w:hAnsi="宋体" w:eastAsia="宋体"/>
          <w:color w:val="000000"/>
          <w:sz w:val="24"/>
        </w:rPr>
        <w:t xml:space="preserve">[63] </w:t>
      </w:r>
      <w:r>
        <w:rPr>
          <w:rFonts w:hint="eastAsia" w:ascii="宋体" w:hAnsi="宋体" w:eastAsia="宋体"/>
          <w:color w:val="000000"/>
          <w:sz w:val="24"/>
        </w:rPr>
        <w:t xml:space="preserve">复旦大学数字与移动治理实验室.</w:t>
      </w:r>
      <w:r>
        <w:rPr>
          <w:rFonts w:ascii="宋体" w:hAnsi="宋体" w:eastAsia="宋体"/>
          <w:color w:val="000000"/>
          <w:sz w:val="24"/>
        </w:rPr>
        <w:t xml:space="preserve"> </w:t>
      </w:r>
      <w:r>
        <w:rPr>
          <w:rFonts w:hint="eastAsia" w:ascii="宋体" w:hAnsi="宋体" w:eastAsia="宋体"/>
          <w:color w:val="000000"/>
          <w:sz w:val="24"/>
        </w:rPr>
        <w:t xml:space="preserve">2024中国开放数林指数报告[R].</w:t>
      </w:r>
      <w:r>
        <w:rPr>
          <w:rFonts w:ascii="宋体" w:hAnsi="宋体" w:eastAsia="宋体"/>
          <w:color w:val="000000"/>
          <w:sz w:val="24"/>
        </w:rPr>
        <w:t xml:space="preserve"> </w:t>
      </w:r>
      <w:r>
        <w:rPr>
          <w:rFonts w:hint="eastAsia" w:ascii="宋体" w:hAnsi="宋体" w:eastAsia="宋体"/>
          <w:color w:val="000000"/>
          <w:sz w:val="24"/>
        </w:rPr>
        <w:t xml:space="preserve">上海:</w:t>
      </w:r>
      <w:r>
        <w:rPr>
          <w:rFonts w:ascii="宋体" w:hAnsi="宋体" w:eastAsia="宋体"/>
          <w:color w:val="000000"/>
          <w:sz w:val="24"/>
        </w:rPr>
        <w:t xml:space="preserve"> </w:t>
      </w:r>
      <w:r>
        <w:rPr>
          <w:rFonts w:hint="eastAsia" w:ascii="宋体" w:hAnsi="宋体" w:eastAsia="宋体"/>
          <w:color w:val="000000"/>
          <w:sz w:val="24"/>
        </w:rPr>
        <w:t xml:space="preserve">复旦大学,</w:t>
      </w:r>
      <w:r>
        <w:rPr>
          <w:rFonts w:ascii="宋体" w:hAnsi="宋体" w:eastAsia="宋体"/>
          <w:color w:val="000000"/>
          <w:sz w:val="24"/>
        </w:rPr>
        <w:t xml:space="preserve"> 2024.</w:t>
      </w:r>
    </w:p>
    <w:p>
      <w:pPr>
        <w:pStyle w:val="BodyText"/>
        <w:spacing w:line="360" w:lineRule="auto"/>
      </w:pPr>
      <w:r>
        <w:rPr>
          <w:rFonts w:ascii="宋体" w:hAnsi="宋体" w:eastAsia="宋体"/>
          <w:color w:val="000000"/>
          <w:sz w:val="24"/>
        </w:rPr>
        <w:t xml:space="preserve">[64] </w:t>
      </w:r>
      <w:r>
        <w:rPr>
          <w:rFonts w:hint="eastAsia" w:ascii="宋体" w:hAnsi="宋体" w:eastAsia="宋体"/>
          <w:color w:val="000000"/>
          <w:sz w:val="24"/>
        </w:rPr>
        <w:t xml:space="preserve">国家数据局.</w:t>
      </w:r>
      <w:r>
        <w:rPr>
          <w:rFonts w:ascii="宋体" w:hAnsi="宋体" w:eastAsia="宋体"/>
          <w:color w:val="000000"/>
          <w:sz w:val="24"/>
        </w:rPr>
        <w:t xml:space="preserve"> </w:t>
      </w:r>
      <w:r>
        <w:rPr>
          <w:rFonts w:hint="eastAsia" w:ascii="宋体" w:hAnsi="宋体" w:eastAsia="宋体"/>
          <w:color w:val="000000"/>
          <w:sz w:val="24"/>
        </w:rPr>
        <w:t xml:space="preserve">关于加强数据资产管理的指导意见[Z].</w:t>
      </w:r>
      <w:r>
        <w:rPr>
          <w:rFonts w:ascii="宋体" w:hAnsi="宋体" w:eastAsia="宋体"/>
          <w:color w:val="000000"/>
          <w:sz w:val="24"/>
        </w:rPr>
        <w:t xml:space="preserve"> 2024.</w:t>
      </w:r>
    </w:p>
    <w:p>
      <w:pPr>
        <w:pStyle w:val="BodyText"/>
        <w:spacing w:line="360" w:lineRule="auto"/>
      </w:pPr>
      <w:r>
        <w:rPr>
          <w:rFonts w:ascii="宋体" w:hAnsi="宋体" w:eastAsia="宋体"/>
          <w:color w:val="000000"/>
          <w:sz w:val="24"/>
        </w:rPr>
        <w:t xml:space="preserve">[65] </w:t>
      </w:r>
      <w:r>
        <w:rPr>
          <w:rFonts w:hint="eastAsia" w:ascii="宋体" w:hAnsi="宋体" w:eastAsia="宋体"/>
          <w:color w:val="000000"/>
          <w:sz w:val="24"/>
        </w:rPr>
        <w:t xml:space="preserve">国务院办公厅.</w:t>
      </w:r>
      <w:r>
        <w:rPr>
          <w:rFonts w:ascii="宋体" w:hAnsi="宋体" w:eastAsia="宋体"/>
          <w:color w:val="000000"/>
          <w:sz w:val="24"/>
        </w:rPr>
        <w:t xml:space="preserve"> </w:t>
      </w:r>
      <w:r>
        <w:rPr>
          <w:rFonts w:hint="eastAsia" w:ascii="宋体" w:hAnsi="宋体" w:eastAsia="宋体"/>
          <w:color w:val="000000"/>
          <w:sz w:val="24"/>
        </w:rPr>
        <w:t xml:space="preserve">政务信息系统整合共享实施方案[Z].</w:t>
      </w:r>
      <w:r>
        <w:rPr>
          <w:rFonts w:ascii="宋体" w:hAnsi="宋体" w:eastAsia="宋体"/>
          <w:color w:val="000000"/>
          <w:sz w:val="24"/>
        </w:rPr>
        <w:t xml:space="preserve"> </w:t>
      </w:r>
      <w:r>
        <w:rPr>
          <w:rFonts w:hint="eastAsia" w:ascii="宋体" w:hAnsi="宋体" w:eastAsia="宋体"/>
          <w:color w:val="000000"/>
          <w:sz w:val="24"/>
        </w:rPr>
        <w:t xml:space="preserve">国办发〔2017〕39号,</w:t>
      </w:r>
      <w:r>
        <w:rPr>
          <w:rFonts w:ascii="宋体" w:hAnsi="宋体" w:eastAsia="宋体"/>
          <w:color w:val="000000"/>
          <w:sz w:val="24"/>
        </w:rPr>
        <w:t xml:space="preserve"> 2017.</w:t>
      </w:r>
    </w:p>
    <w:p>
      <w:pPr>
        <w:pStyle w:val="BodyText"/>
        <w:spacing w:line="360" w:lineRule="auto"/>
      </w:pPr>
      <w:r>
        <w:rPr>
          <w:rFonts w:ascii="宋体" w:hAnsi="宋体" w:eastAsia="宋体"/>
          <w:color w:val="000000"/>
          <w:sz w:val="24"/>
        </w:rPr>
        <w:t xml:space="preserve">[66] </w:t>
      </w:r>
      <w:r>
        <w:rPr>
          <w:rFonts w:hint="eastAsia" w:ascii="宋体" w:hAnsi="宋体" w:eastAsia="宋体"/>
          <w:color w:val="000000"/>
          <w:sz w:val="24"/>
        </w:rPr>
        <w:t xml:space="preserve">国家发展改革委,</w:t>
      </w:r>
      <w:r>
        <w:rPr>
          <w:rFonts w:ascii="宋体" w:hAnsi="宋体" w:eastAsia="宋体"/>
          <w:color w:val="000000"/>
          <w:sz w:val="24"/>
        </w:rPr>
        <w:t xml:space="preserve"> </w:t>
      </w:r>
      <w:r>
        <w:rPr>
          <w:rFonts w:hint="eastAsia" w:ascii="宋体" w:hAnsi="宋体" w:eastAsia="宋体"/>
          <w:color w:val="000000"/>
          <w:sz w:val="24"/>
        </w:rPr>
        <w:t xml:space="preserve">中央网信办.</w:t>
      </w:r>
      <w:r>
        <w:rPr>
          <w:rFonts w:ascii="宋体" w:hAnsi="宋体" w:eastAsia="宋体"/>
          <w:color w:val="000000"/>
          <w:sz w:val="24"/>
        </w:rPr>
        <w:t xml:space="preserve"> </w:t>
      </w:r>
      <w:r>
        <w:rPr>
          <w:rFonts w:hint="eastAsia" w:ascii="宋体" w:hAnsi="宋体" w:eastAsia="宋体"/>
          <w:color w:val="000000"/>
          <w:sz w:val="24"/>
        </w:rPr>
        <w:t xml:space="preserve">国家数字经济创新发展试验区实施方案[Z].</w:t>
      </w:r>
      <w:r>
        <w:rPr>
          <w:rFonts w:ascii="宋体" w:hAnsi="宋体" w:eastAsia="宋体"/>
          <w:color w:val="000000"/>
          <w:sz w:val="24"/>
        </w:rPr>
        <w:t xml:space="preserve"> 2019.</w:t>
      </w:r>
    </w:p>
    <w:p>
      <w:pPr>
        <w:pStyle w:val="BodyText"/>
        <w:spacing w:line="360" w:lineRule="auto"/>
      </w:pPr>
      <w:r>
        <w:rPr>
          <w:rFonts w:ascii="宋体" w:hAnsi="宋体" w:eastAsia="宋体"/>
          <w:color w:val="000000"/>
          <w:sz w:val="24"/>
        </w:rPr>
        <w:t xml:space="preserve">[67] </w:t>
      </w:r>
      <w:r>
        <w:rPr>
          <w:rFonts w:hint="eastAsia" w:ascii="宋体" w:hAnsi="宋体" w:eastAsia="宋体"/>
          <w:color w:val="000000"/>
          <w:sz w:val="24"/>
        </w:rPr>
        <w:t xml:space="preserve">工业和信息化部.</w:t>
      </w:r>
      <w:r>
        <w:rPr>
          <w:rFonts w:ascii="宋体" w:hAnsi="宋体" w:eastAsia="宋体"/>
          <w:color w:val="000000"/>
          <w:sz w:val="24"/>
        </w:rPr>
        <w:t xml:space="preserve"> </w:t>
      </w:r>
      <w:r>
        <w:rPr>
          <w:rFonts w:hint="eastAsia" w:ascii="宋体" w:hAnsi="宋体" w:eastAsia="宋体"/>
          <w:color w:val="000000"/>
          <w:sz w:val="24"/>
        </w:rPr>
        <w:t xml:space="preserve">“十四五”</w:t>
      </w:r>
      <w:r>
        <w:rPr>
          <w:rFonts w:hint="eastAsia" w:ascii="宋体" w:hAnsi="宋体" w:eastAsia="宋体"/>
          <w:color w:val="000000"/>
          <w:sz w:val="24"/>
        </w:rPr>
        <w:t xml:space="preserve">大数据产业发展规划[Z].</w:t>
      </w:r>
      <w:r>
        <w:rPr>
          <w:rFonts w:ascii="宋体" w:hAnsi="宋体" w:eastAsia="宋体"/>
          <w:color w:val="000000"/>
          <w:sz w:val="24"/>
        </w:rPr>
        <w:t xml:space="preserve"> 2021.</w:t>
      </w:r>
    </w:p>
    <w:p>
      <w:pPr>
        <w:pStyle w:val="BodyText"/>
        <w:spacing w:line="360" w:lineRule="auto"/>
      </w:pPr>
      <w:r>
        <w:rPr>
          <w:rFonts w:ascii="宋体" w:hAnsi="宋体" w:eastAsia="宋体"/>
          <w:color w:val="000000"/>
          <w:sz w:val="24"/>
        </w:rPr>
        <w:t xml:space="preserve">[68] </w:t>
      </w:r>
      <w:r>
        <w:rPr>
          <w:rFonts w:hint="eastAsia" w:ascii="宋体" w:hAnsi="宋体" w:eastAsia="宋体"/>
          <w:color w:val="000000"/>
          <w:sz w:val="24"/>
        </w:rPr>
        <w:t xml:space="preserve">黄璜.</w:t>
      </w:r>
      <w:r>
        <w:rPr>
          <w:rFonts w:ascii="宋体" w:hAnsi="宋体" w:eastAsia="宋体"/>
          <w:color w:val="000000"/>
          <w:sz w:val="24"/>
        </w:rPr>
        <w:t xml:space="preserve"> </w:t>
      </w:r>
      <w:r>
        <w:rPr>
          <w:rFonts w:hint="eastAsia" w:ascii="宋体" w:hAnsi="宋体" w:eastAsia="宋体"/>
          <w:color w:val="000000"/>
          <w:sz w:val="24"/>
        </w:rPr>
        <w:t xml:space="preserve">数字政府建设的协同治理逻辑[J].</w:t>
      </w:r>
      <w:r>
        <w:rPr>
          <w:rFonts w:ascii="宋体" w:hAnsi="宋体" w:eastAsia="宋体"/>
          <w:color w:val="000000"/>
          <w:sz w:val="24"/>
        </w:rPr>
        <w:t xml:space="preserve"> </w:t>
      </w:r>
      <w:r>
        <w:rPr>
          <w:rFonts w:hint="eastAsia" w:ascii="宋体" w:hAnsi="宋体" w:eastAsia="宋体"/>
          <w:color w:val="000000"/>
          <w:sz w:val="24"/>
        </w:rPr>
        <w:t xml:space="preserve">中国行政管理,</w:t>
      </w:r>
      <w:r>
        <w:rPr>
          <w:rFonts w:ascii="宋体" w:hAnsi="宋体" w:eastAsia="宋体"/>
          <w:color w:val="000000"/>
          <w:sz w:val="24"/>
        </w:rPr>
        <w:t xml:space="preserve"> 2021, (3): 6-15.</w:t>
      </w:r>
    </w:p>
    <w:p>
      <w:pPr>
        <w:pStyle w:val="BodyText"/>
        <w:spacing w:line="360" w:lineRule="auto"/>
      </w:pPr>
      <w:r>
        <w:rPr>
          <w:rFonts w:ascii="宋体" w:hAnsi="宋体" w:eastAsia="宋体"/>
          <w:color w:val="000000"/>
          <w:sz w:val="24"/>
        </w:rPr>
        <w:t xml:space="preserve">[69] </w:t>
      </w:r>
      <w:r>
        <w:rPr>
          <w:rFonts w:hint="eastAsia" w:ascii="宋体" w:hAnsi="宋体" w:eastAsia="宋体"/>
          <w:color w:val="000000"/>
          <w:sz w:val="24"/>
        </w:rPr>
        <w:t xml:space="preserve">郑磊.</w:t>
      </w:r>
      <w:r>
        <w:rPr>
          <w:rFonts w:ascii="宋体" w:hAnsi="宋体" w:eastAsia="宋体"/>
          <w:color w:val="000000"/>
          <w:sz w:val="24"/>
        </w:rPr>
        <w:t xml:space="preserve"> </w:t>
      </w:r>
      <w:r>
        <w:rPr>
          <w:rFonts w:hint="eastAsia" w:ascii="宋体" w:hAnsi="宋体" w:eastAsia="宋体"/>
          <w:color w:val="000000"/>
          <w:sz w:val="24"/>
        </w:rPr>
        <w:t xml:space="preserve">政府数据开放的整体性治理：理论逻辑与实践路径[J].</w:t>
      </w:r>
      <w:r>
        <w:rPr>
          <w:rFonts w:ascii="宋体" w:hAnsi="宋体" w:eastAsia="宋体"/>
          <w:color w:val="000000"/>
          <w:sz w:val="24"/>
        </w:rPr>
        <w:t xml:space="preserve"> </w:t>
      </w:r>
      <w:r>
        <w:rPr>
          <w:rFonts w:hint="eastAsia" w:ascii="宋体" w:hAnsi="宋体" w:eastAsia="宋体"/>
          <w:color w:val="000000"/>
          <w:sz w:val="24"/>
        </w:rPr>
        <w:t xml:space="preserve">公共管理学报,</w:t>
      </w:r>
      <w:r>
        <w:rPr>
          <w:rFonts w:ascii="宋体" w:hAnsi="宋体" w:eastAsia="宋体"/>
          <w:color w:val="000000"/>
          <w:sz w:val="24"/>
        </w:rPr>
        <w:t xml:space="preserve"> 2021, 18(2): 1-14.</w:t>
      </w:r>
    </w:p>
    <w:p>
      <w:pPr>
        <w:pStyle w:val="BodyText"/>
        <w:spacing w:line="360" w:lineRule="auto"/>
      </w:pPr>
      <w:r>
        <w:rPr>
          <w:rFonts w:ascii="宋体" w:hAnsi="宋体" w:eastAsia="宋体"/>
          <w:color w:val="000000"/>
          <w:sz w:val="24"/>
        </w:rPr>
        <w:t xml:space="preserve">[70] </w:t>
      </w:r>
      <w:r>
        <w:rPr>
          <w:rFonts w:hint="eastAsia" w:ascii="宋体" w:hAnsi="宋体" w:eastAsia="宋体"/>
          <w:color w:val="000000"/>
          <w:sz w:val="24"/>
        </w:rPr>
        <w:t xml:space="preserve">张涛,</w:t>
      </w:r>
      <w:r>
        <w:rPr>
          <w:rFonts w:ascii="宋体" w:hAnsi="宋体" w:eastAsia="宋体"/>
          <w:color w:val="000000"/>
          <w:sz w:val="24"/>
        </w:rPr>
        <w:t xml:space="preserve"> </w:t>
      </w:r>
      <w:r>
        <w:rPr>
          <w:rFonts w:hint="eastAsia" w:ascii="宋体" w:hAnsi="宋体" w:eastAsia="宋体"/>
          <w:color w:val="000000"/>
          <w:sz w:val="24"/>
        </w:rPr>
        <w:t xml:space="preserve">刘硕,</w:t>
      </w:r>
      <w:r>
        <w:rPr>
          <w:rFonts w:ascii="宋体" w:hAnsi="宋体" w:eastAsia="宋体"/>
          <w:color w:val="000000"/>
          <w:sz w:val="24"/>
        </w:rPr>
        <w:t xml:space="preserve"> </w:t>
      </w:r>
      <w:r>
        <w:rPr>
          <w:rFonts w:hint="eastAsia" w:ascii="宋体" w:hAnsi="宋体" w:eastAsia="宋体"/>
          <w:color w:val="000000"/>
          <w:sz w:val="24"/>
        </w:rPr>
        <w:t xml:space="preserve">崔文波.</w:t>
      </w:r>
      <w:r>
        <w:rPr>
          <w:rFonts w:ascii="宋体" w:hAnsi="宋体" w:eastAsia="宋体"/>
          <w:color w:val="000000"/>
          <w:sz w:val="24"/>
        </w:rPr>
        <w:t xml:space="preserve"> </w:t>
      </w:r>
      <w:r>
        <w:rPr>
          <w:rFonts w:hint="eastAsia" w:ascii="宋体" w:hAnsi="宋体" w:eastAsia="宋体"/>
          <w:color w:val="000000"/>
          <w:sz w:val="24"/>
        </w:rPr>
        <w:t xml:space="preserve">政府数据开放绩效评估的指标体系与实证研究[J].</w:t>
      </w:r>
      <w:r>
        <w:rPr>
          <w:rFonts w:ascii="宋体" w:hAnsi="宋体" w:eastAsia="宋体"/>
          <w:color w:val="000000"/>
          <w:sz w:val="24"/>
        </w:rPr>
        <w:t xml:space="preserve"> </w:t>
      </w:r>
      <w:r>
        <w:rPr>
          <w:rFonts w:hint="eastAsia" w:ascii="宋体" w:hAnsi="宋体" w:eastAsia="宋体"/>
          <w:color w:val="000000"/>
          <w:sz w:val="24"/>
        </w:rPr>
        <w:t xml:space="preserve">情报学报,</w:t>
      </w:r>
      <w:r>
        <w:rPr>
          <w:rFonts w:ascii="宋体" w:hAnsi="宋体" w:eastAsia="宋体"/>
          <w:color w:val="000000"/>
          <w:sz w:val="24"/>
        </w:rPr>
        <w:t xml:space="preserve"> 2023, 42(2): 189-202.</w:t>
      </w:r>
    </w:p>
    <w:p>
      <w:pPr>
        <w:pStyle w:val="BodyText"/>
        <w:spacing w:line="360" w:lineRule="auto"/>
      </w:pPr>
      <w:r>
        <w:rPr>
          <w:rFonts w:ascii="宋体" w:hAnsi="宋体" w:eastAsia="宋体"/>
          <w:color w:val="000000"/>
          <w:sz w:val="24"/>
        </w:rPr>
        <w:t xml:space="preserve">[71] </w:t>
      </w:r>
      <w:r>
        <w:rPr>
          <w:rFonts w:hint="eastAsia" w:ascii="宋体" w:hAnsi="宋体" w:eastAsia="宋体"/>
          <w:color w:val="000000"/>
          <w:sz w:val="24"/>
        </w:rPr>
        <w:t xml:space="preserve">周文泓,</w:t>
      </w:r>
      <w:r>
        <w:rPr>
          <w:rFonts w:ascii="宋体" w:hAnsi="宋体" w:eastAsia="宋体"/>
          <w:color w:val="000000"/>
          <w:sz w:val="24"/>
        </w:rPr>
        <w:t xml:space="preserve"> </w:t>
      </w:r>
      <w:r>
        <w:rPr>
          <w:rFonts w:hint="eastAsia" w:ascii="宋体" w:hAnsi="宋体" w:eastAsia="宋体"/>
          <w:color w:val="000000"/>
          <w:sz w:val="24"/>
        </w:rPr>
        <w:t xml:space="preserve">贺佳秀.</w:t>
      </w:r>
      <w:r>
        <w:rPr>
          <w:rFonts w:ascii="宋体" w:hAnsi="宋体" w:eastAsia="宋体"/>
          <w:color w:val="000000"/>
          <w:sz w:val="24"/>
        </w:rPr>
        <w:t xml:space="preserve"> </w:t>
      </w:r>
      <w:r>
        <w:rPr>
          <w:rFonts w:hint="eastAsia" w:ascii="宋体" w:hAnsi="宋体" w:eastAsia="宋体"/>
          <w:color w:val="000000"/>
          <w:sz w:val="24"/>
        </w:rPr>
        <w:t xml:space="preserve">政府数据开放平台的用户体验优化研究[J].</w:t>
      </w:r>
      <w:r>
        <w:rPr>
          <w:rFonts w:ascii="宋体" w:hAnsi="宋体" w:eastAsia="宋体"/>
          <w:color w:val="000000"/>
          <w:sz w:val="24"/>
        </w:rPr>
        <w:t xml:space="preserve"> </w:t>
      </w:r>
      <w:r>
        <w:rPr>
          <w:rFonts w:hint="eastAsia" w:ascii="宋体" w:hAnsi="宋体" w:eastAsia="宋体"/>
          <w:color w:val="000000"/>
          <w:sz w:val="24"/>
        </w:rPr>
        <w:t xml:space="preserve">图书情报工作,</w:t>
      </w:r>
      <w:r>
        <w:rPr>
          <w:rFonts w:ascii="宋体" w:hAnsi="宋体" w:eastAsia="宋体"/>
          <w:color w:val="000000"/>
          <w:sz w:val="24"/>
        </w:rPr>
        <w:t xml:space="preserve"> 2023, 67(9): 112-123.</w:t>
      </w:r>
    </w:p>
    <w:p>
      <w:pPr>
        <w:pStyle w:val="BodyText"/>
        <w:spacing w:line="360" w:lineRule="auto"/>
      </w:pPr>
      <w:r>
        <w:rPr>
          <w:rFonts w:ascii="宋体" w:hAnsi="宋体" w:eastAsia="宋体"/>
          <w:color w:val="000000"/>
          <w:sz w:val="24"/>
        </w:rPr>
        <w:t xml:space="preserve">[72] </w:t>
      </w:r>
      <w:r>
        <w:rPr>
          <w:rFonts w:hint="eastAsia" w:ascii="宋体" w:hAnsi="宋体" w:eastAsia="宋体"/>
          <w:color w:val="000000"/>
          <w:sz w:val="24"/>
        </w:rPr>
        <w:t xml:space="preserve">范佳佳,</w:t>
      </w:r>
      <w:r>
        <w:rPr>
          <w:rFonts w:ascii="宋体" w:hAnsi="宋体" w:eastAsia="宋体"/>
          <w:color w:val="000000"/>
          <w:sz w:val="24"/>
        </w:rPr>
        <w:t xml:space="preserve"> </w:t>
      </w:r>
      <w:r>
        <w:rPr>
          <w:rFonts w:hint="eastAsia" w:ascii="宋体" w:hAnsi="宋体" w:eastAsia="宋体"/>
          <w:color w:val="000000"/>
          <w:sz w:val="24"/>
        </w:rPr>
        <w:t xml:space="preserve">郑磊.</w:t>
      </w:r>
      <w:r>
        <w:rPr>
          <w:rFonts w:ascii="宋体" w:hAnsi="宋体" w:eastAsia="宋体"/>
          <w:color w:val="000000"/>
          <w:sz w:val="24"/>
        </w:rPr>
        <w:t xml:space="preserve"> </w:t>
      </w:r>
      <w:r>
        <w:rPr>
          <w:rFonts w:hint="eastAsia" w:ascii="宋体" w:hAnsi="宋体" w:eastAsia="宋体"/>
          <w:color w:val="000000"/>
          <w:sz w:val="24"/>
        </w:rPr>
        <w:t xml:space="preserve">地方政府数据开放的政策扩散机制研究[J].</w:t>
      </w:r>
      <w:r>
        <w:rPr>
          <w:rFonts w:ascii="宋体" w:hAnsi="宋体" w:eastAsia="宋体"/>
          <w:color w:val="000000"/>
          <w:sz w:val="24"/>
        </w:rPr>
        <w:t xml:space="preserve"> </w:t>
      </w:r>
      <w:r>
        <w:rPr>
          <w:rFonts w:hint="eastAsia" w:ascii="宋体" w:hAnsi="宋体" w:eastAsia="宋体"/>
          <w:color w:val="000000"/>
          <w:sz w:val="24"/>
        </w:rPr>
        <w:t xml:space="preserve">公共管理学报,</w:t>
      </w:r>
      <w:r>
        <w:rPr>
          <w:rFonts w:ascii="宋体" w:hAnsi="宋体" w:eastAsia="宋体"/>
          <w:color w:val="000000"/>
          <w:sz w:val="24"/>
        </w:rPr>
        <w:t xml:space="preserve"> 2022, 19(3): 78-91.</w:t>
      </w:r>
    </w:p>
    <w:p>
      <w:pPr>
        <w:pStyle w:val="BodyText"/>
        <w:spacing w:line="360" w:lineRule="auto"/>
      </w:pPr>
      <w:r>
        <w:rPr>
          <w:rFonts w:ascii="宋体" w:hAnsi="宋体" w:eastAsia="宋体"/>
          <w:color w:val="000000"/>
          <w:sz w:val="24"/>
        </w:rPr>
        <w:t xml:space="preserve">[73] </w:t>
      </w:r>
      <w:r>
        <w:rPr>
          <w:rFonts w:hint="eastAsia" w:ascii="宋体" w:hAnsi="宋体" w:eastAsia="宋体"/>
          <w:color w:val="000000"/>
          <w:sz w:val="24"/>
        </w:rPr>
        <w:t xml:space="preserve">赵莹,</w:t>
      </w:r>
      <w:r>
        <w:rPr>
          <w:rFonts w:ascii="宋体" w:hAnsi="宋体" w:eastAsia="宋体"/>
          <w:color w:val="000000"/>
          <w:sz w:val="24"/>
        </w:rPr>
        <w:t xml:space="preserve"> </w:t>
      </w:r>
      <w:r>
        <w:rPr>
          <w:rFonts w:hint="eastAsia" w:ascii="宋体" w:hAnsi="宋体" w:eastAsia="宋体"/>
          <w:color w:val="000000"/>
          <w:sz w:val="24"/>
        </w:rPr>
        <w:t xml:space="preserve">张会平.</w:t>
      </w:r>
      <w:r>
        <w:rPr>
          <w:rFonts w:ascii="宋体" w:hAnsi="宋体" w:eastAsia="宋体"/>
          <w:color w:val="000000"/>
          <w:sz w:val="24"/>
        </w:rPr>
        <w:t xml:space="preserve"> </w:t>
      </w:r>
      <w:r>
        <w:rPr>
          <w:rFonts w:hint="eastAsia" w:ascii="宋体" w:hAnsi="宋体" w:eastAsia="宋体"/>
          <w:color w:val="000000"/>
          <w:sz w:val="24"/>
        </w:rPr>
        <w:t xml:space="preserve">公共数据授权运营的模式创新与制度保障[J].</w:t>
      </w:r>
      <w:r>
        <w:rPr>
          <w:rFonts w:ascii="宋体" w:hAnsi="宋体" w:eastAsia="宋体"/>
          <w:color w:val="000000"/>
          <w:sz w:val="24"/>
        </w:rPr>
        <w:t xml:space="preserve"> </w:t>
      </w:r>
      <w:r>
        <w:rPr>
          <w:rFonts w:hint="eastAsia" w:ascii="宋体" w:hAnsi="宋体" w:eastAsia="宋体"/>
          <w:color w:val="000000"/>
          <w:sz w:val="24"/>
        </w:rPr>
        <w:t xml:space="preserve">中国行政管理,</w:t>
      </w:r>
      <w:r>
        <w:rPr>
          <w:rFonts w:ascii="宋体" w:hAnsi="宋体" w:eastAsia="宋体"/>
          <w:color w:val="000000"/>
          <w:sz w:val="24"/>
        </w:rPr>
        <w:t xml:space="preserve"> 2023, (8): 56-65.</w:t>
      </w:r>
    </w:p>
    <w:p>
      <w:pPr>
        <w:pStyle w:val="BodyText"/>
        <w:spacing w:line="360" w:lineRule="auto"/>
      </w:pPr>
      <w:r>
        <w:rPr>
          <w:rFonts w:ascii="宋体" w:hAnsi="宋体" w:eastAsia="宋体"/>
          <w:color w:val="000000"/>
          <w:sz w:val="24"/>
        </w:rPr>
        <w:t xml:space="preserve">[74] </w:t>
      </w:r>
      <w:r>
        <w:rPr>
          <w:rFonts w:hint="eastAsia" w:ascii="宋体" w:hAnsi="宋体" w:eastAsia="宋体"/>
          <w:color w:val="000000"/>
          <w:sz w:val="24"/>
        </w:rPr>
        <w:t xml:space="preserve">田欣,</w:t>
      </w:r>
      <w:r>
        <w:rPr>
          <w:rFonts w:ascii="宋体" w:hAnsi="宋体" w:eastAsia="宋体"/>
          <w:color w:val="000000"/>
          <w:sz w:val="24"/>
        </w:rPr>
        <w:t xml:space="preserve"> </w:t>
      </w:r>
      <w:r>
        <w:rPr>
          <w:rFonts w:hint="eastAsia" w:ascii="宋体" w:hAnsi="宋体" w:eastAsia="宋体"/>
          <w:color w:val="000000"/>
          <w:sz w:val="24"/>
        </w:rPr>
        <w:t xml:space="preserve">吴琼.</w:t>
      </w:r>
      <w:r>
        <w:rPr>
          <w:rFonts w:ascii="宋体" w:hAnsi="宋体" w:eastAsia="宋体"/>
          <w:color w:val="000000"/>
          <w:sz w:val="24"/>
        </w:rPr>
        <w:t xml:space="preserve"> </w:t>
      </w:r>
      <w:r>
        <w:rPr>
          <w:rFonts w:hint="eastAsia" w:ascii="宋体" w:hAnsi="宋体" w:eastAsia="宋体"/>
          <w:color w:val="000000"/>
          <w:sz w:val="24"/>
        </w:rPr>
        <w:t xml:space="preserve">政府数据开放平台的数据质量保障机制研究[J].</w:t>
      </w:r>
      <w:r>
        <w:rPr>
          <w:rFonts w:ascii="宋体" w:hAnsi="宋体" w:eastAsia="宋体"/>
          <w:color w:val="000000"/>
          <w:sz w:val="24"/>
        </w:rPr>
        <w:t xml:space="preserve"> </w:t>
      </w:r>
      <w:r>
        <w:rPr>
          <w:rFonts w:hint="eastAsia" w:ascii="宋体" w:hAnsi="宋体" w:eastAsia="宋体"/>
          <w:color w:val="000000"/>
          <w:sz w:val="24"/>
        </w:rPr>
        <w:t xml:space="preserve">情报杂志,</w:t>
      </w:r>
      <w:r>
        <w:rPr>
          <w:rFonts w:ascii="宋体" w:hAnsi="宋体" w:eastAsia="宋体"/>
          <w:color w:val="000000"/>
          <w:sz w:val="24"/>
        </w:rPr>
        <w:t xml:space="preserve"> 2023, 42(6): 145-156.</w:t>
      </w:r>
    </w:p>
    <w:p>
      <w:pPr>
        <w:pStyle w:val="BodyText"/>
        <w:spacing w:line="360" w:lineRule="auto"/>
      </w:pPr>
      <w:r>
        <w:rPr>
          <w:rFonts w:ascii="宋体" w:hAnsi="宋体" w:eastAsia="宋体"/>
          <w:color w:val="000000"/>
          <w:sz w:val="24"/>
        </w:rPr>
        <w:t xml:space="preserve">[75] </w:t>
      </w:r>
      <w:r>
        <w:rPr>
          <w:rFonts w:hint="eastAsia" w:ascii="宋体" w:hAnsi="宋体" w:eastAsia="宋体"/>
          <w:color w:val="000000"/>
          <w:sz w:val="24"/>
        </w:rPr>
        <w:t xml:space="preserve">刘硕.</w:t>
      </w:r>
      <w:r>
        <w:rPr>
          <w:rFonts w:ascii="宋体" w:hAnsi="宋体" w:eastAsia="宋体"/>
          <w:color w:val="000000"/>
          <w:sz w:val="24"/>
        </w:rPr>
        <w:t xml:space="preserve"> </w:t>
      </w:r>
      <w:r>
        <w:rPr>
          <w:rFonts w:hint="eastAsia" w:ascii="宋体" w:hAnsi="宋体" w:eastAsia="宋体"/>
          <w:color w:val="000000"/>
          <w:sz w:val="24"/>
        </w:rPr>
        <w:t xml:space="preserve">基于fsQCA的政府数据开放高绩效组态路径研究[J].</w:t>
      </w:r>
      <w:r>
        <w:rPr>
          <w:rFonts w:ascii="宋体" w:hAnsi="宋体" w:eastAsia="宋体"/>
          <w:color w:val="000000"/>
          <w:sz w:val="24"/>
        </w:rPr>
        <w:t xml:space="preserve"> </w:t>
      </w:r>
      <w:r>
        <w:rPr>
          <w:rFonts w:hint="eastAsia" w:ascii="宋体" w:hAnsi="宋体" w:eastAsia="宋体"/>
          <w:color w:val="000000"/>
          <w:sz w:val="24"/>
        </w:rPr>
        <w:t xml:space="preserve">情报科学,</w:t>
      </w:r>
      <w:r>
        <w:rPr>
          <w:rFonts w:ascii="宋体" w:hAnsi="宋体" w:eastAsia="宋体"/>
          <w:color w:val="000000"/>
          <w:sz w:val="24"/>
        </w:rPr>
        <w:t xml:space="preserve"> 2023, 41(7): 178-189.</w:t>
      </w:r>
    </w:p>
    <w:p>
      <w:pPr>
        <w:pStyle w:val="BodyText"/>
        <w:spacing w:line="360" w:lineRule="auto"/>
      </w:pPr>
      <w:r>
        <w:rPr>
          <w:rFonts w:ascii="宋体" w:hAnsi="宋体" w:eastAsia="宋体"/>
          <w:color w:val="000000"/>
          <w:sz w:val="24"/>
        </w:rPr>
        <w:t xml:space="preserve">[76] </w:t>
      </w:r>
      <w:r>
        <w:rPr>
          <w:rFonts w:hint="eastAsia" w:ascii="宋体" w:hAnsi="宋体" w:eastAsia="宋体"/>
          <w:color w:val="000000"/>
          <w:sz w:val="24"/>
        </w:rPr>
        <w:t xml:space="preserve">黄思颖.</w:t>
      </w:r>
      <w:r>
        <w:rPr>
          <w:rFonts w:ascii="宋体" w:hAnsi="宋体" w:eastAsia="宋体"/>
          <w:color w:val="000000"/>
          <w:sz w:val="24"/>
        </w:rPr>
        <w:t xml:space="preserve"> </w:t>
      </w:r>
      <w:r>
        <w:rPr>
          <w:rFonts w:hint="eastAsia" w:ascii="宋体" w:hAnsi="宋体" w:eastAsia="宋体"/>
          <w:color w:val="000000"/>
          <w:sz w:val="24"/>
        </w:rPr>
        <w:t xml:space="preserve">政府数据开放的区域差异与影响因素研究[J].</w:t>
      </w:r>
      <w:r>
        <w:rPr>
          <w:rFonts w:ascii="宋体" w:hAnsi="宋体" w:eastAsia="宋体"/>
          <w:color w:val="000000"/>
          <w:sz w:val="24"/>
        </w:rPr>
        <w:t xml:space="preserve"> </w:t>
      </w:r>
      <w:r>
        <w:rPr>
          <w:rFonts w:hint="eastAsia" w:ascii="宋体" w:hAnsi="宋体" w:eastAsia="宋体"/>
          <w:color w:val="000000"/>
          <w:sz w:val="24"/>
        </w:rPr>
        <w:t xml:space="preserve">中国行政管理,</w:t>
      </w:r>
      <w:r>
        <w:rPr>
          <w:rFonts w:ascii="宋体" w:hAnsi="宋体" w:eastAsia="宋体"/>
          <w:color w:val="000000"/>
          <w:sz w:val="24"/>
        </w:rPr>
        <w:t xml:space="preserve"> 2022, (9): 89-98.</w:t>
      </w:r>
    </w:p>
    <w:p>
      <w:pPr>
        <w:pStyle w:val="BodyText"/>
        <w:spacing w:line="360" w:lineRule="auto"/>
      </w:pPr>
      <w:r>
        <w:rPr>
          <w:rFonts w:ascii="宋体" w:hAnsi="宋体" w:eastAsia="宋体"/>
          <w:color w:val="000000"/>
          <w:sz w:val="24"/>
        </w:rPr>
        <w:t xml:space="preserve">[77] </w:t>
      </w:r>
      <w:r>
        <w:rPr>
          <w:rFonts w:hint="eastAsia" w:ascii="宋体" w:hAnsi="宋体" w:eastAsia="宋体"/>
          <w:color w:val="000000"/>
          <w:sz w:val="24"/>
        </w:rPr>
        <w:t xml:space="preserve">徐慧娜,</w:t>
      </w:r>
      <w:r>
        <w:rPr>
          <w:rFonts w:ascii="宋体" w:hAnsi="宋体" w:eastAsia="宋体"/>
          <w:color w:val="000000"/>
          <w:sz w:val="24"/>
        </w:rPr>
        <w:t xml:space="preserve"> </w:t>
      </w:r>
      <w:r>
        <w:rPr>
          <w:rFonts w:hint="eastAsia" w:ascii="宋体" w:hAnsi="宋体" w:eastAsia="宋体"/>
          <w:color w:val="000000"/>
          <w:sz w:val="24"/>
        </w:rPr>
        <w:t xml:space="preserve">郑磊.</w:t>
      </w:r>
      <w:r>
        <w:rPr>
          <w:rFonts w:ascii="宋体" w:hAnsi="宋体" w:eastAsia="宋体"/>
          <w:color w:val="000000"/>
          <w:sz w:val="24"/>
        </w:rPr>
        <w:t xml:space="preserve"> </w:t>
      </w:r>
      <w:r>
        <w:rPr>
          <w:rFonts w:hint="eastAsia" w:ascii="宋体" w:hAnsi="宋体" w:eastAsia="宋体"/>
          <w:color w:val="000000"/>
          <w:sz w:val="24"/>
        </w:rPr>
        <w:t xml:space="preserve">中国地方政府数据开放的水平测度与空间分析[J].</w:t>
      </w:r>
      <w:r>
        <w:rPr>
          <w:rFonts w:ascii="宋体" w:hAnsi="宋体" w:eastAsia="宋体"/>
          <w:color w:val="000000"/>
          <w:sz w:val="24"/>
        </w:rPr>
        <w:t xml:space="preserve"> </w:t>
      </w:r>
      <w:r>
        <w:rPr>
          <w:rFonts w:hint="eastAsia" w:ascii="宋体" w:hAnsi="宋体" w:eastAsia="宋体"/>
          <w:color w:val="000000"/>
          <w:sz w:val="24"/>
        </w:rPr>
        <w:t xml:space="preserve">情报学报,</w:t>
      </w:r>
      <w:r>
        <w:rPr>
          <w:rFonts w:ascii="宋体" w:hAnsi="宋体" w:eastAsia="宋体"/>
          <w:color w:val="000000"/>
          <w:sz w:val="24"/>
        </w:rPr>
        <w:t xml:space="preserve"> 2021, 40(8): 912-925.</w:t>
      </w:r>
    </w:p>
    <w:p>
      <w:pPr>
        <w:pStyle w:val="BodyText"/>
        <w:spacing w:line="360" w:lineRule="auto"/>
      </w:pPr>
      <w:r>
        <w:rPr>
          <w:rFonts w:ascii="宋体" w:hAnsi="宋体" w:eastAsia="宋体"/>
          <w:color w:val="000000"/>
          <w:sz w:val="24"/>
        </w:rPr>
        <w:t xml:space="preserve">[78] </w:t>
      </w:r>
      <w:r>
        <w:rPr>
          <w:rFonts w:hint="eastAsia" w:ascii="宋体" w:hAnsi="宋体" w:eastAsia="宋体"/>
          <w:color w:val="000000"/>
          <w:sz w:val="24"/>
        </w:rPr>
        <w:t xml:space="preserve">顾勤,</w:t>
      </w:r>
      <w:r>
        <w:rPr>
          <w:rFonts w:ascii="宋体" w:hAnsi="宋体" w:eastAsia="宋体"/>
          <w:color w:val="000000"/>
          <w:sz w:val="24"/>
        </w:rPr>
        <w:t xml:space="preserve"> </w:t>
      </w:r>
      <w:r>
        <w:rPr>
          <w:rFonts w:hint="eastAsia" w:ascii="宋体" w:hAnsi="宋体" w:eastAsia="宋体"/>
          <w:color w:val="000000"/>
          <w:sz w:val="24"/>
        </w:rPr>
        <w:t xml:space="preserve">赵莹.</w:t>
      </w:r>
      <w:r>
        <w:rPr>
          <w:rFonts w:ascii="宋体" w:hAnsi="宋体" w:eastAsia="宋体"/>
          <w:color w:val="000000"/>
          <w:sz w:val="24"/>
        </w:rPr>
        <w:t xml:space="preserve"> </w:t>
      </w:r>
      <w:r>
        <w:rPr>
          <w:rFonts w:hint="eastAsia" w:ascii="宋体" w:hAnsi="宋体" w:eastAsia="宋体"/>
          <w:color w:val="000000"/>
          <w:sz w:val="24"/>
        </w:rPr>
        <w:t xml:space="preserve">公共数据授权运营的风险治理与制度完善[J].</w:t>
      </w:r>
      <w:r>
        <w:rPr>
          <w:rFonts w:ascii="宋体" w:hAnsi="宋体" w:eastAsia="宋体"/>
          <w:color w:val="000000"/>
          <w:sz w:val="24"/>
        </w:rPr>
        <w:t xml:space="preserve"> </w:t>
      </w:r>
      <w:r>
        <w:rPr>
          <w:rFonts w:hint="eastAsia" w:ascii="宋体" w:hAnsi="宋体" w:eastAsia="宋体"/>
          <w:color w:val="000000"/>
          <w:sz w:val="24"/>
        </w:rPr>
        <w:t xml:space="preserve">图书情报知识,</w:t>
      </w:r>
      <w:r>
        <w:rPr>
          <w:rFonts w:ascii="宋体" w:hAnsi="宋体" w:eastAsia="宋体"/>
          <w:color w:val="000000"/>
          <w:sz w:val="24"/>
        </w:rPr>
        <w:t xml:space="preserve"> 2023, (4): 89-102.</w:t>
      </w:r>
    </w:p>
    <w:p>
      <w:pPr>
        <w:pStyle w:val="BodyText"/>
        <w:spacing w:line="360" w:lineRule="auto"/>
      </w:pPr>
      <w:r>
        <w:rPr>
          <w:rFonts w:ascii="宋体" w:hAnsi="宋体" w:eastAsia="宋体"/>
          <w:color w:val="000000"/>
          <w:sz w:val="24"/>
        </w:rPr>
        <w:t xml:space="preserve">[79] </w:t>
      </w:r>
      <w:r>
        <w:rPr>
          <w:rFonts w:hint="eastAsia" w:ascii="宋体" w:hAnsi="宋体" w:eastAsia="宋体"/>
          <w:color w:val="000000"/>
          <w:sz w:val="24"/>
        </w:rPr>
        <w:t xml:space="preserve">崔文波.</w:t>
      </w:r>
      <w:r>
        <w:rPr>
          <w:rFonts w:ascii="宋体" w:hAnsi="宋体" w:eastAsia="宋体"/>
          <w:color w:val="000000"/>
          <w:sz w:val="24"/>
        </w:rPr>
        <w:t xml:space="preserve"> </w:t>
      </w:r>
      <w:r>
        <w:rPr>
          <w:rFonts w:hint="eastAsia" w:ascii="宋体" w:hAnsi="宋体" w:eastAsia="宋体"/>
          <w:color w:val="000000"/>
          <w:sz w:val="24"/>
        </w:rPr>
        <w:t xml:space="preserve">政府数据开放平台的API生态建设研究[J].</w:t>
      </w:r>
      <w:r>
        <w:rPr>
          <w:rFonts w:ascii="宋体" w:hAnsi="宋体" w:eastAsia="宋体"/>
          <w:color w:val="000000"/>
          <w:sz w:val="24"/>
        </w:rPr>
        <w:t xml:space="preserve"> </w:t>
      </w:r>
      <w:r>
        <w:rPr>
          <w:rFonts w:hint="eastAsia" w:ascii="宋体" w:hAnsi="宋体" w:eastAsia="宋体"/>
          <w:color w:val="000000"/>
          <w:sz w:val="24"/>
        </w:rPr>
        <w:t xml:space="preserve">情报理论与实践,</w:t>
      </w:r>
      <w:r>
        <w:rPr>
          <w:rFonts w:ascii="宋体" w:hAnsi="宋体" w:eastAsia="宋体"/>
          <w:color w:val="000000"/>
          <w:sz w:val="24"/>
        </w:rPr>
        <w:t xml:space="preserve"> 2023, 46(3): 123-134.</w:t>
      </w:r>
    </w:p>
    <w:p>
      <w:pPr>
        <w:pStyle w:val="BodyText"/>
        <w:spacing w:line="360" w:lineRule="auto"/>
      </w:pPr>
      <w:r>
        <w:rPr>
          <w:rFonts w:ascii="宋体" w:hAnsi="宋体" w:eastAsia="宋体"/>
          <w:color w:val="000000"/>
          <w:sz w:val="24"/>
        </w:rPr>
        <w:t xml:space="preserve">[80] </w:t>
      </w:r>
      <w:r>
        <w:rPr>
          <w:rFonts w:hint="eastAsia" w:ascii="宋体" w:hAnsi="宋体" w:eastAsia="宋体"/>
          <w:color w:val="000000"/>
          <w:sz w:val="24"/>
        </w:rPr>
        <w:t xml:space="preserve">陈涛.</w:t>
      </w:r>
      <w:r>
        <w:rPr>
          <w:rFonts w:ascii="宋体" w:hAnsi="宋体" w:eastAsia="宋体"/>
          <w:color w:val="000000"/>
          <w:sz w:val="24"/>
        </w:rPr>
        <w:t xml:space="preserve"> </w:t>
      </w:r>
      <w:r>
        <w:rPr>
          <w:rFonts w:hint="eastAsia" w:ascii="宋体" w:hAnsi="宋体" w:eastAsia="宋体"/>
          <w:color w:val="000000"/>
          <w:sz w:val="24"/>
        </w:rPr>
        <w:t xml:space="preserve">数据要素市场化配置中的产权制度研究[J].</w:t>
      </w:r>
      <w:r>
        <w:rPr>
          <w:rFonts w:ascii="宋体" w:hAnsi="宋体" w:eastAsia="宋体"/>
          <w:color w:val="000000"/>
          <w:sz w:val="24"/>
        </w:rPr>
        <w:t xml:space="preserve"> </w:t>
      </w:r>
      <w:r>
        <w:rPr>
          <w:rFonts w:hint="eastAsia" w:ascii="宋体" w:hAnsi="宋体" w:eastAsia="宋体"/>
          <w:color w:val="000000"/>
          <w:sz w:val="24"/>
        </w:rPr>
        <w:t xml:space="preserve">经济学动态,</w:t>
      </w:r>
      <w:r>
        <w:rPr>
          <w:rFonts w:ascii="宋体" w:hAnsi="宋体" w:eastAsia="宋体"/>
          <w:color w:val="000000"/>
          <w:sz w:val="24"/>
        </w:rPr>
        <w:t xml:space="preserve"> 2023, (6): 112-125.</w:t>
      </w:r>
    </w:p>
    <w:p>
      <w:pPr>
        <w:pStyle w:val="BodyText"/>
        <w:spacing w:line="360" w:lineRule="auto"/>
      </w:pPr>
      <w:r>
        <w:rPr>
          <w:rFonts w:ascii="宋体" w:hAnsi="宋体" w:eastAsia="宋体"/>
          <w:color w:val="000000"/>
          <w:sz w:val="24"/>
        </w:rPr>
        <w:t xml:space="preserve">[81] </w:t>
      </w:r>
      <w:r>
        <w:rPr>
          <w:rFonts w:hint="eastAsia" w:ascii="宋体" w:hAnsi="宋体" w:eastAsia="宋体"/>
          <w:color w:val="000000"/>
          <w:sz w:val="24"/>
        </w:rPr>
        <w:t xml:space="preserve">贺佳秀.</w:t>
      </w:r>
      <w:r>
        <w:rPr>
          <w:rFonts w:ascii="宋体" w:hAnsi="宋体" w:eastAsia="宋体"/>
          <w:color w:val="000000"/>
          <w:sz w:val="24"/>
        </w:rPr>
        <w:t xml:space="preserve"> </w:t>
      </w:r>
      <w:r>
        <w:rPr>
          <w:rFonts w:hint="eastAsia" w:ascii="宋体" w:hAnsi="宋体" w:eastAsia="宋体"/>
          <w:color w:val="000000"/>
          <w:sz w:val="24"/>
        </w:rPr>
        <w:t xml:space="preserve">政府数据开放的用户参与行为研究[J].</w:t>
      </w:r>
      <w:r>
        <w:rPr>
          <w:rFonts w:ascii="宋体" w:hAnsi="宋体" w:eastAsia="宋体"/>
          <w:color w:val="000000"/>
          <w:sz w:val="24"/>
        </w:rPr>
        <w:t xml:space="preserve"> </w:t>
      </w:r>
      <w:r>
        <w:rPr>
          <w:rFonts w:hint="eastAsia" w:ascii="宋体" w:hAnsi="宋体" w:eastAsia="宋体"/>
          <w:color w:val="000000"/>
          <w:sz w:val="24"/>
        </w:rPr>
        <w:t xml:space="preserve">现代情报,</w:t>
      </w:r>
      <w:r>
        <w:rPr>
          <w:rFonts w:ascii="宋体" w:hAnsi="宋体" w:eastAsia="宋体"/>
          <w:color w:val="000000"/>
          <w:sz w:val="24"/>
        </w:rPr>
        <w:t xml:space="preserve"> 2023, 43(5): 167-178.</w:t>
      </w:r>
    </w:p>
    <w:p>
      <w:pPr>
        <w:pStyle w:val="BodyText"/>
        <w:spacing w:line="360" w:lineRule="auto"/>
      </w:pPr>
      <w:r>
        <w:rPr>
          <w:rFonts w:ascii="宋体" w:hAnsi="宋体" w:eastAsia="宋体"/>
          <w:color w:val="000000"/>
          <w:sz w:val="24"/>
        </w:rPr>
        <w:t xml:space="preserve">[82] </w:t>
      </w:r>
      <w:r>
        <w:rPr>
          <w:rFonts w:hint="eastAsia" w:ascii="宋体" w:hAnsi="宋体" w:eastAsia="宋体"/>
          <w:color w:val="000000"/>
          <w:sz w:val="24"/>
        </w:rPr>
        <w:t xml:space="preserve">吴琼,</w:t>
      </w:r>
      <w:r>
        <w:rPr>
          <w:rFonts w:ascii="宋体" w:hAnsi="宋体" w:eastAsia="宋体"/>
          <w:color w:val="000000"/>
          <w:sz w:val="24"/>
        </w:rPr>
        <w:t xml:space="preserve"> </w:t>
      </w:r>
      <w:r>
        <w:rPr>
          <w:rFonts w:hint="eastAsia" w:ascii="宋体" w:hAnsi="宋体" w:eastAsia="宋体"/>
          <w:color w:val="000000"/>
          <w:sz w:val="24"/>
        </w:rPr>
        <w:t xml:space="preserve">田欣.</w:t>
      </w:r>
      <w:r>
        <w:rPr>
          <w:rFonts w:ascii="宋体" w:hAnsi="宋体" w:eastAsia="宋体"/>
          <w:color w:val="000000"/>
          <w:sz w:val="24"/>
        </w:rPr>
        <w:t xml:space="preserve"> </w:t>
      </w:r>
      <w:r>
        <w:rPr>
          <w:rFonts w:hint="eastAsia" w:ascii="宋体" w:hAnsi="宋体" w:eastAsia="宋体"/>
          <w:color w:val="000000"/>
          <w:sz w:val="24"/>
        </w:rPr>
        <w:t xml:space="preserve">政府数据开放与区域创新能力的关联研究[J].</w:t>
      </w:r>
      <w:r>
        <w:rPr>
          <w:rFonts w:ascii="宋体" w:hAnsi="宋体" w:eastAsia="宋体"/>
          <w:color w:val="000000"/>
          <w:sz w:val="24"/>
        </w:rPr>
        <w:t xml:space="preserve"> </w:t>
      </w:r>
      <w:r>
        <w:rPr>
          <w:rFonts w:hint="eastAsia" w:ascii="宋体" w:hAnsi="宋体" w:eastAsia="宋体"/>
          <w:color w:val="000000"/>
          <w:sz w:val="24"/>
        </w:rPr>
        <w:t xml:space="preserve">经济与管理研究,</w:t>
      </w:r>
      <w:r>
        <w:rPr>
          <w:rFonts w:ascii="宋体" w:hAnsi="宋体" w:eastAsia="宋体"/>
          <w:color w:val="000000"/>
          <w:sz w:val="24"/>
        </w:rPr>
        <w:t xml:space="preserve"> 2023, 44(8): 78-91.</w:t>
      </w:r>
    </w:p>
    <w:p>
      <w:pPr>
        <w:pStyle w:val="BodyText"/>
        <w:spacing w:line="360" w:lineRule="auto"/>
      </w:pPr>
      <w:r>
        <w:rPr>
          <w:rFonts w:ascii="宋体" w:hAnsi="宋体" w:eastAsia="宋体"/>
          <w:color w:val="000000"/>
          <w:sz w:val="24"/>
        </w:rPr>
        <w:t xml:space="preserve">[83] </w:t>
      </w:r>
      <w:r>
        <w:rPr>
          <w:rFonts w:hint="eastAsia" w:ascii="宋体" w:hAnsi="宋体" w:eastAsia="宋体"/>
          <w:color w:val="000000"/>
          <w:sz w:val="24"/>
        </w:rPr>
        <w:t xml:space="preserve">刘新萍.</w:t>
      </w:r>
      <w:r>
        <w:rPr>
          <w:rFonts w:ascii="宋体" w:hAnsi="宋体" w:eastAsia="宋体"/>
          <w:color w:val="000000"/>
          <w:sz w:val="24"/>
        </w:rPr>
        <w:t xml:space="preserve"> </w:t>
      </w:r>
      <w:r>
        <w:rPr>
          <w:rFonts w:hint="eastAsia" w:ascii="宋体" w:hAnsi="宋体" w:eastAsia="宋体"/>
          <w:color w:val="000000"/>
          <w:sz w:val="24"/>
        </w:rPr>
        <w:t xml:space="preserve">政府数据开放的制度演进与路径选择[J].</w:t>
      </w:r>
      <w:r>
        <w:rPr>
          <w:rFonts w:ascii="宋体" w:hAnsi="宋体" w:eastAsia="宋体"/>
          <w:color w:val="000000"/>
          <w:sz w:val="24"/>
        </w:rPr>
        <w:t xml:space="preserve"> </w:t>
      </w:r>
      <w:r>
        <w:rPr>
          <w:rFonts w:hint="eastAsia" w:ascii="宋体" w:hAnsi="宋体" w:eastAsia="宋体"/>
          <w:color w:val="000000"/>
          <w:sz w:val="24"/>
        </w:rPr>
        <w:t xml:space="preserve">中国行政管理,</w:t>
      </w:r>
      <w:r>
        <w:rPr>
          <w:rFonts w:ascii="宋体" w:hAnsi="宋体" w:eastAsia="宋体"/>
          <w:color w:val="000000"/>
          <w:sz w:val="24"/>
        </w:rPr>
        <w:t xml:space="preserve"> 2021, (7): 45-53.</w:t>
      </w:r>
    </w:p>
    <w:p>
      <w:pPr>
        <w:pStyle w:val="BodyText"/>
        <w:spacing w:line="360" w:lineRule="auto"/>
      </w:pPr>
      <w:r>
        <w:rPr>
          <w:rFonts w:ascii="宋体" w:hAnsi="宋体" w:eastAsia="宋体"/>
          <w:color w:val="000000"/>
          <w:sz w:val="24"/>
        </w:rPr>
        <w:t xml:space="preserve">[84] </w:t>
      </w:r>
      <w:r>
        <w:rPr>
          <w:rFonts w:hint="eastAsia" w:ascii="宋体" w:hAnsi="宋体" w:eastAsia="宋体"/>
          <w:color w:val="000000"/>
          <w:sz w:val="24"/>
        </w:rPr>
        <w:t xml:space="preserve">赵需要,</w:t>
      </w:r>
      <w:r>
        <w:rPr>
          <w:rFonts w:ascii="宋体" w:hAnsi="宋体" w:eastAsia="宋体"/>
          <w:color w:val="000000"/>
          <w:sz w:val="24"/>
        </w:rPr>
        <w:t xml:space="preserve"> </w:t>
      </w:r>
      <w:r>
        <w:rPr>
          <w:rFonts w:hint="eastAsia" w:ascii="宋体" w:hAnsi="宋体" w:eastAsia="宋体"/>
          <w:color w:val="000000"/>
          <w:sz w:val="24"/>
        </w:rPr>
        <w:t xml:space="preserve">张涛.</w:t>
      </w:r>
      <w:r>
        <w:rPr>
          <w:rFonts w:ascii="宋体" w:hAnsi="宋体" w:eastAsia="宋体"/>
          <w:color w:val="000000"/>
          <w:sz w:val="24"/>
        </w:rPr>
        <w:t xml:space="preserve"> </w:t>
      </w:r>
      <w:r>
        <w:rPr>
          <w:rFonts w:hint="eastAsia" w:ascii="宋体" w:hAnsi="宋体" w:eastAsia="宋体"/>
          <w:color w:val="000000"/>
          <w:sz w:val="24"/>
        </w:rPr>
        <w:t xml:space="preserve">政府数据开放评估方法比较研究[J].</w:t>
      </w:r>
      <w:r>
        <w:rPr>
          <w:rFonts w:ascii="宋体" w:hAnsi="宋体" w:eastAsia="宋体"/>
          <w:color w:val="000000"/>
          <w:sz w:val="24"/>
        </w:rPr>
        <w:t xml:space="preserve"> </w:t>
      </w:r>
      <w:r>
        <w:rPr>
          <w:rFonts w:hint="eastAsia" w:ascii="宋体" w:hAnsi="宋体" w:eastAsia="宋体"/>
          <w:color w:val="000000"/>
          <w:sz w:val="24"/>
        </w:rPr>
        <w:t xml:space="preserve">情报杂志,</w:t>
      </w:r>
      <w:r>
        <w:rPr>
          <w:rFonts w:ascii="宋体" w:hAnsi="宋体" w:eastAsia="宋体"/>
          <w:color w:val="000000"/>
          <w:sz w:val="24"/>
        </w:rPr>
        <w:t xml:space="preserve"> 2022, 41(11): 189-198.</w:t>
      </w:r>
    </w:p>
    <w:p>
      <w:pPr>
        <w:pStyle w:val="BodyText"/>
        <w:spacing w:line="360" w:lineRule="auto"/>
      </w:pPr>
      <w:r>
        <w:rPr>
          <w:rFonts w:ascii="宋体" w:hAnsi="宋体" w:eastAsia="宋体"/>
          <w:color w:val="000000"/>
          <w:sz w:val="24"/>
        </w:rPr>
        <w:t xml:space="preserve">[85] </w:t>
      </w:r>
      <w:r>
        <w:rPr>
          <w:rFonts w:hint="eastAsia" w:ascii="宋体" w:hAnsi="宋体" w:eastAsia="宋体"/>
          <w:color w:val="000000"/>
          <w:sz w:val="24"/>
        </w:rPr>
        <w:t xml:space="preserve">丁晓强,</w:t>
      </w:r>
      <w:r>
        <w:rPr>
          <w:rFonts w:ascii="宋体" w:hAnsi="宋体" w:eastAsia="宋体"/>
          <w:color w:val="000000"/>
          <w:sz w:val="24"/>
        </w:rPr>
        <w:t xml:space="preserve"> </w:t>
      </w:r>
      <w:r>
        <w:rPr>
          <w:rFonts w:hint="eastAsia" w:ascii="宋体" w:hAnsi="宋体" w:eastAsia="宋体"/>
          <w:color w:val="000000"/>
          <w:sz w:val="24"/>
        </w:rPr>
        <w:t xml:space="preserve">陈涛.</w:t>
      </w:r>
      <w:r>
        <w:rPr>
          <w:rFonts w:ascii="宋体" w:hAnsi="宋体" w:eastAsia="宋体"/>
          <w:color w:val="000000"/>
          <w:sz w:val="24"/>
        </w:rPr>
        <w:t xml:space="preserve"> </w:t>
      </w:r>
      <w:r>
        <w:rPr>
          <w:rFonts w:hint="eastAsia" w:ascii="宋体" w:hAnsi="宋体" w:eastAsia="宋体"/>
          <w:color w:val="000000"/>
          <w:sz w:val="24"/>
        </w:rPr>
        <w:t xml:space="preserve">数据要素定价的理论基础与实现路径[J].</w:t>
      </w:r>
      <w:r>
        <w:rPr>
          <w:rFonts w:ascii="宋体" w:hAnsi="宋体" w:eastAsia="宋体"/>
          <w:color w:val="000000"/>
          <w:sz w:val="24"/>
        </w:rPr>
        <w:t xml:space="preserve"> </w:t>
      </w:r>
      <w:r>
        <w:rPr>
          <w:rFonts w:hint="eastAsia" w:ascii="宋体" w:hAnsi="宋体" w:eastAsia="宋体"/>
          <w:color w:val="000000"/>
          <w:sz w:val="24"/>
        </w:rPr>
        <w:t xml:space="preserve">价格理论与实践,</w:t>
      </w:r>
      <w:r>
        <w:rPr>
          <w:rFonts w:ascii="宋体" w:hAnsi="宋体" w:eastAsia="宋体"/>
          <w:color w:val="000000"/>
          <w:sz w:val="24"/>
        </w:rPr>
        <w:t xml:space="preserve"> 2023, (8): 45-56.</w:t>
      </w:r>
    </w:p>
    <w:p>
      <w:pPr>
        <w:pStyle w:val="BodyText"/>
        <w:spacing w:line="360" w:lineRule="auto"/>
      </w:pPr>
      <w:r>
        <w:rPr>
          <w:rFonts w:ascii="宋体" w:hAnsi="宋体" w:eastAsia="宋体"/>
          <w:color w:val="000000"/>
          <w:sz w:val="24"/>
        </w:rPr>
        <w:t xml:space="preserve">[86] </w:t>
      </w:r>
      <w:r>
        <w:rPr>
          <w:rFonts w:hint="eastAsia" w:ascii="宋体" w:hAnsi="宋体" w:eastAsia="宋体"/>
          <w:color w:val="000000"/>
          <w:sz w:val="24"/>
        </w:rPr>
        <w:t xml:space="preserve">黄璜.</w:t>
      </w:r>
      <w:r>
        <w:rPr>
          <w:rFonts w:ascii="宋体" w:hAnsi="宋体" w:eastAsia="宋体"/>
          <w:color w:val="000000"/>
          <w:sz w:val="24"/>
        </w:rPr>
        <w:t xml:space="preserve"> </w:t>
      </w:r>
      <w:r>
        <w:rPr>
          <w:rFonts w:hint="eastAsia" w:ascii="宋体" w:hAnsi="宋体" w:eastAsia="宋体"/>
          <w:color w:val="000000"/>
          <w:sz w:val="24"/>
        </w:rPr>
        <w:t xml:space="preserve">数字政府建设的价值导向与绩效评估[J].</w:t>
      </w:r>
      <w:r>
        <w:rPr>
          <w:rFonts w:ascii="宋体" w:hAnsi="宋体" w:eastAsia="宋体"/>
          <w:color w:val="000000"/>
          <w:sz w:val="24"/>
        </w:rPr>
        <w:t xml:space="preserve"> </w:t>
      </w:r>
      <w:r>
        <w:rPr>
          <w:rFonts w:hint="eastAsia" w:ascii="宋体" w:hAnsi="宋体" w:eastAsia="宋体"/>
          <w:color w:val="000000"/>
          <w:sz w:val="24"/>
        </w:rPr>
        <w:t xml:space="preserve">中国行政管理,</w:t>
      </w:r>
      <w:r>
        <w:rPr>
          <w:rFonts w:ascii="宋体" w:hAnsi="宋体" w:eastAsia="宋体"/>
          <w:color w:val="000000"/>
          <w:sz w:val="24"/>
        </w:rPr>
        <w:t xml:space="preserve"> 2023, (4): 6-15.</w:t>
      </w:r>
    </w:p>
    <w:p>
      <w:pPr>
        <w:pStyle w:val="BodyText"/>
        <w:spacing w:line="360" w:lineRule="auto"/>
      </w:pPr>
      <w:r>
        <w:rPr>
          <w:rFonts w:ascii="宋体" w:hAnsi="宋体" w:eastAsia="宋体"/>
          <w:color w:val="000000"/>
          <w:sz w:val="24"/>
        </w:rPr>
        <w:t xml:space="preserve">[87] </w:t>
      </w:r>
      <w:r>
        <w:rPr>
          <w:rFonts w:hint="eastAsia" w:ascii="宋体" w:hAnsi="宋体" w:eastAsia="宋体"/>
          <w:color w:val="000000"/>
          <w:sz w:val="24"/>
        </w:rPr>
        <w:t xml:space="preserve">张会平,</w:t>
      </w:r>
      <w:r>
        <w:rPr>
          <w:rFonts w:ascii="宋体" w:hAnsi="宋体" w:eastAsia="宋体"/>
          <w:color w:val="000000"/>
          <w:sz w:val="24"/>
        </w:rPr>
        <w:t xml:space="preserve"> </w:t>
      </w:r>
      <w:r>
        <w:rPr>
          <w:rFonts w:hint="eastAsia" w:ascii="宋体" w:hAnsi="宋体" w:eastAsia="宋体"/>
          <w:color w:val="000000"/>
          <w:sz w:val="24"/>
        </w:rPr>
        <w:t xml:space="preserve">顾勤.</w:t>
      </w:r>
      <w:r>
        <w:rPr>
          <w:rFonts w:ascii="宋体" w:hAnsi="宋体" w:eastAsia="宋体"/>
          <w:color w:val="000000"/>
          <w:sz w:val="24"/>
        </w:rPr>
        <w:t xml:space="preserve"> </w:t>
      </w:r>
      <w:r>
        <w:rPr>
          <w:rFonts w:hint="eastAsia" w:ascii="宋体" w:hAnsi="宋体" w:eastAsia="宋体"/>
          <w:color w:val="000000"/>
          <w:sz w:val="24"/>
        </w:rPr>
        <w:t xml:space="preserve">公共数据治理的体系框架与实现机制[J].</w:t>
      </w:r>
      <w:r>
        <w:rPr>
          <w:rFonts w:ascii="宋体" w:hAnsi="宋体" w:eastAsia="宋体"/>
          <w:color w:val="000000"/>
          <w:sz w:val="24"/>
        </w:rPr>
        <w:t xml:space="preserve"> </w:t>
      </w:r>
      <w:r>
        <w:rPr>
          <w:rFonts w:hint="eastAsia" w:ascii="宋体" w:hAnsi="宋体" w:eastAsia="宋体"/>
          <w:color w:val="000000"/>
          <w:sz w:val="24"/>
        </w:rPr>
        <w:t xml:space="preserve">电子政务,</w:t>
      </w:r>
      <w:r>
        <w:rPr>
          <w:rFonts w:ascii="宋体" w:hAnsi="宋体" w:eastAsia="宋体"/>
          <w:color w:val="000000"/>
          <w:sz w:val="24"/>
        </w:rPr>
        <w:t xml:space="preserve"> 2023, (5): 2-14.</w:t>
      </w:r>
    </w:p>
    <w:p>
      <w:pPr>
        <w:pStyle w:val="BodyText"/>
        <w:spacing w:line="360" w:lineRule="auto"/>
      </w:pPr>
      <w:r>
        <w:rPr>
          <w:rFonts w:ascii="宋体" w:hAnsi="宋体" w:eastAsia="宋体"/>
          <w:color w:val="000000"/>
          <w:sz w:val="24"/>
        </w:rPr>
        <w:t xml:space="preserve">[88] </w:t>
      </w:r>
      <w:r>
        <w:rPr>
          <w:rFonts w:hint="eastAsia" w:ascii="宋体" w:hAnsi="宋体" w:eastAsia="宋体"/>
          <w:color w:val="000000"/>
          <w:sz w:val="24"/>
        </w:rPr>
        <w:t xml:space="preserve">郑磊,</w:t>
      </w:r>
      <w:r>
        <w:rPr>
          <w:rFonts w:ascii="宋体" w:hAnsi="宋体" w:eastAsia="宋体"/>
          <w:color w:val="000000"/>
          <w:sz w:val="24"/>
        </w:rPr>
        <w:t xml:space="preserve"> </w:t>
      </w:r>
      <w:r>
        <w:rPr>
          <w:rFonts w:hint="eastAsia" w:ascii="宋体" w:hAnsi="宋体" w:eastAsia="宋体"/>
          <w:color w:val="000000"/>
          <w:sz w:val="24"/>
        </w:rPr>
        <w:t xml:space="preserve">黄思颖.</w:t>
      </w:r>
      <w:r>
        <w:rPr>
          <w:rFonts w:ascii="宋体" w:hAnsi="宋体" w:eastAsia="宋体"/>
          <w:color w:val="000000"/>
          <w:sz w:val="24"/>
        </w:rPr>
        <w:t xml:space="preserve"> </w:t>
      </w:r>
      <w:r>
        <w:rPr>
          <w:rFonts w:hint="eastAsia" w:ascii="宋体" w:hAnsi="宋体" w:eastAsia="宋体"/>
          <w:color w:val="000000"/>
          <w:sz w:val="24"/>
        </w:rPr>
        <w:t xml:space="preserve">政府数据开放的国际经验与中国实践[J].</w:t>
      </w:r>
      <w:r>
        <w:rPr>
          <w:rFonts w:ascii="宋体" w:hAnsi="宋体" w:eastAsia="宋体"/>
          <w:color w:val="000000"/>
          <w:sz w:val="24"/>
        </w:rPr>
        <w:t xml:space="preserve"> </w:t>
      </w:r>
      <w:r>
        <w:rPr>
          <w:rFonts w:hint="eastAsia" w:ascii="宋体" w:hAnsi="宋体" w:eastAsia="宋体"/>
          <w:color w:val="000000"/>
          <w:sz w:val="24"/>
        </w:rPr>
        <w:t xml:space="preserve">情报科学,</w:t>
      </w:r>
      <w:r>
        <w:rPr>
          <w:rFonts w:ascii="宋体" w:hAnsi="宋体" w:eastAsia="宋体"/>
          <w:color w:val="000000"/>
          <w:sz w:val="24"/>
        </w:rPr>
        <w:t xml:space="preserve"> 2020, 38(12): 3-15.</w:t>
      </w:r>
    </w:p>
    <w:p>
      <w:pPr>
        <w:pStyle w:val="BodyText"/>
        <w:spacing w:line="360" w:lineRule="auto"/>
      </w:pPr>
      <w:r>
        <w:rPr>
          <w:rFonts w:ascii="宋体" w:hAnsi="宋体" w:eastAsia="宋体"/>
          <w:color w:val="000000"/>
          <w:sz w:val="24"/>
        </w:rPr>
        <w:t xml:space="preserve">[89] </w:t>
      </w:r>
      <w:r>
        <w:rPr>
          <w:rFonts w:hint="eastAsia" w:ascii="宋体" w:hAnsi="宋体" w:eastAsia="宋体"/>
          <w:color w:val="000000"/>
          <w:sz w:val="24"/>
        </w:rPr>
        <w:t xml:space="preserve">周文泓.</w:t>
      </w:r>
      <w:r>
        <w:rPr>
          <w:rFonts w:ascii="宋体" w:hAnsi="宋体" w:eastAsia="宋体"/>
          <w:color w:val="000000"/>
          <w:sz w:val="24"/>
        </w:rPr>
        <w:t xml:space="preserve"> </w:t>
      </w:r>
      <w:r>
        <w:rPr>
          <w:rFonts w:hint="eastAsia" w:ascii="宋体" w:hAnsi="宋体" w:eastAsia="宋体"/>
          <w:color w:val="000000"/>
          <w:sz w:val="24"/>
        </w:rPr>
        <w:t xml:space="preserve">数字政府建设中的数据共享与开放[J].</w:t>
      </w:r>
      <w:r>
        <w:rPr>
          <w:rFonts w:ascii="宋体" w:hAnsi="宋体" w:eastAsia="宋体"/>
          <w:color w:val="000000"/>
          <w:sz w:val="24"/>
        </w:rPr>
        <w:t xml:space="preserve"> </w:t>
      </w:r>
      <w:r>
        <w:rPr>
          <w:rFonts w:hint="eastAsia" w:ascii="宋体" w:hAnsi="宋体" w:eastAsia="宋体"/>
          <w:color w:val="000000"/>
          <w:sz w:val="24"/>
        </w:rPr>
        <w:t xml:space="preserve">中国行政管理,</w:t>
      </w:r>
      <w:r>
        <w:rPr>
          <w:rFonts w:ascii="宋体" w:hAnsi="宋体" w:eastAsia="宋体"/>
          <w:color w:val="000000"/>
          <w:sz w:val="24"/>
        </w:rPr>
        <w:t xml:space="preserve"> 2022, (11): 34-43.</w:t>
      </w:r>
    </w:p>
    <w:p>
      <w:pPr>
        <w:pStyle w:val="BodyText"/>
        <w:spacing w:line="360" w:lineRule="auto"/>
      </w:pPr>
      <w:r>
        <w:rPr>
          <w:rFonts w:ascii="宋体" w:hAnsi="宋体" w:eastAsia="宋体"/>
          <w:color w:val="000000"/>
          <w:sz w:val="24"/>
        </w:rPr>
        <w:t xml:space="preserve">[90] </w:t>
      </w:r>
      <w:r>
        <w:rPr>
          <w:rFonts w:hint="eastAsia" w:ascii="宋体" w:hAnsi="宋体" w:eastAsia="宋体"/>
          <w:color w:val="000000"/>
          <w:sz w:val="24"/>
        </w:rPr>
        <w:t xml:space="preserve">范佳佳.</w:t>
      </w:r>
      <w:r>
        <w:rPr>
          <w:rFonts w:ascii="宋体" w:hAnsi="宋体" w:eastAsia="宋体"/>
          <w:color w:val="000000"/>
          <w:sz w:val="24"/>
        </w:rPr>
        <w:t xml:space="preserve"> </w:t>
      </w:r>
      <w:r>
        <w:rPr>
          <w:rFonts w:hint="eastAsia" w:ascii="宋体" w:hAnsi="宋体" w:eastAsia="宋体"/>
          <w:color w:val="000000"/>
          <w:sz w:val="24"/>
        </w:rPr>
        <w:t xml:space="preserve">政府数据开放的政策评估与优化建议[J].</w:t>
      </w:r>
      <w:r>
        <w:rPr>
          <w:rFonts w:ascii="宋体" w:hAnsi="宋体" w:eastAsia="宋体"/>
          <w:color w:val="000000"/>
          <w:sz w:val="24"/>
        </w:rPr>
        <w:t xml:space="preserve"> </w:t>
      </w:r>
      <w:r>
        <w:rPr>
          <w:rFonts w:hint="eastAsia" w:ascii="宋体" w:hAnsi="宋体" w:eastAsia="宋体"/>
          <w:color w:val="000000"/>
          <w:sz w:val="24"/>
        </w:rPr>
        <w:t xml:space="preserve">公共管理学报,</w:t>
      </w:r>
      <w:r>
        <w:rPr>
          <w:rFonts w:ascii="宋体" w:hAnsi="宋体" w:eastAsia="宋体"/>
          <w:color w:val="000000"/>
          <w:sz w:val="24"/>
        </w:rPr>
        <w:t xml:space="preserve"> 2023, 20(2): 112-125.</w:t>
      </w:r>
    </w:p>
    <w:bookmarkEnd w:id="220"/>
    <w:bookmarkStart w:id="221" w:name="英文文献"/>
    <w:p>
      <w:pPr>
        <w:pStyle w:val="Heading2"/>
        <w:spacing w:line="360" w:lineRule="auto"/>
      </w:pPr>
      <w:r>
        <w:rPr>
          <w:rFonts w:hint="eastAsia" w:ascii="黑体" w:hAnsi="黑体" w:eastAsia="黑体"/>
          <w:b/>
          <w:color w:val="000000"/>
          <w:sz w:val="28"/>
        </w:rPr>
        <w:t xml:space="preserve">英文文献</w:t>
      </w:r>
    </w:p>
    <w:p>
      <w:pPr>
        <w:pStyle w:val="FirstParagraph"/>
        <w:spacing w:line="360" w:lineRule="auto"/>
      </w:pPr>
      <w:r>
        <w:rPr>
          <w:rFonts w:ascii="宋体" w:hAnsi="宋体" w:eastAsia="宋体"/>
          <w:color w:val="000000"/>
          <w:sz w:val="24"/>
        </w:rPr>
        <w:t xml:space="preserve">[91] Janssen, M., Charalabidis, Y., &amp; Zuiderwijk, A. (2012). Benefits, adoption barriers and myths of open data and open government.</w:t>
      </w:r>
      <w:r>
        <w:rPr>
          <w:rFonts w:ascii="宋体" w:hAnsi="宋体" w:eastAsia="宋体"/>
          <w:color w:val="000000"/>
          <w:sz w:val="24"/>
        </w:rPr>
        <w:t xml:space="preserve"> </w:t>
      </w:r>
      <w:r>
        <w:rPr>
          <w:rFonts w:ascii="宋体" w:hAnsi="宋体" w:eastAsia="宋体"/>
          <w:i/>
          <w:iCs/>
          <w:color w:val="000000"/>
          <w:sz w:val="24"/>
        </w:rPr>
        <w:t xml:space="preserve">Information Systems Management</w:t>
      </w:r>
      <w:r>
        <w:rPr>
          <w:rFonts w:ascii="宋体" w:hAnsi="宋体" w:eastAsia="宋体"/>
          <w:color w:val="000000"/>
          <w:sz w:val="24"/>
        </w:rPr>
        <w:t xml:space="preserve">, 29(4), 258-268.</w:t>
      </w:r>
    </w:p>
    <w:p>
      <w:pPr>
        <w:pStyle w:val="BodyText"/>
        <w:spacing w:line="360" w:lineRule="auto"/>
      </w:pPr>
      <w:r>
        <w:rPr>
          <w:rFonts w:ascii="宋体" w:hAnsi="宋体" w:eastAsia="宋体"/>
          <w:color w:val="000000"/>
          <w:sz w:val="24"/>
        </w:rPr>
        <w:t xml:space="preserve">[92] Ubaldi, B. (2013). Open government data: Towards empirical analysis of open government data initiatives.</w:t>
      </w:r>
      <w:r>
        <w:rPr>
          <w:rFonts w:ascii="宋体" w:hAnsi="宋体" w:eastAsia="宋体"/>
          <w:color w:val="000000"/>
          <w:sz w:val="24"/>
        </w:rPr>
        <w:t xml:space="preserve"> </w:t>
      </w:r>
      <w:r>
        <w:rPr>
          <w:rFonts w:ascii="宋体" w:hAnsi="宋体" w:eastAsia="宋体"/>
          <w:i/>
          <w:iCs/>
          <w:color w:val="000000"/>
          <w:sz w:val="24"/>
        </w:rPr>
        <w:t xml:space="preserve">OECD Working Papers on Public Governance</w:t>
      </w:r>
      <w:r>
        <w:rPr>
          <w:rFonts w:ascii="宋体" w:hAnsi="宋体" w:eastAsia="宋体"/>
          <w:color w:val="000000"/>
          <w:sz w:val="24"/>
        </w:rPr>
        <w:t xml:space="preserve">, (22), 1-60.</w:t>
      </w:r>
    </w:p>
    <w:p>
      <w:pPr>
        <w:pStyle w:val="BodyText"/>
        <w:spacing w:line="360" w:lineRule="auto"/>
      </w:pPr>
      <w:r>
        <w:rPr>
          <w:rFonts w:ascii="宋体" w:hAnsi="宋体" w:eastAsia="宋体"/>
          <w:color w:val="000000"/>
          <w:sz w:val="24"/>
        </w:rPr>
        <w:t xml:space="preserve">[93] Zuiderwijk, A., Janssen, M., Choenni, S., Meijer, R., &amp; Sheikh Alibaks, R. (2012). Socio-technical impediments of open data.</w:t>
      </w:r>
      <w:r>
        <w:rPr>
          <w:rFonts w:ascii="宋体" w:hAnsi="宋体" w:eastAsia="宋体"/>
          <w:color w:val="000000"/>
          <w:sz w:val="24"/>
        </w:rPr>
        <w:t xml:space="preserve"> </w:t>
      </w:r>
      <w:r>
        <w:rPr>
          <w:rFonts w:ascii="宋体" w:hAnsi="宋体" w:eastAsia="宋体"/>
          <w:i/>
          <w:iCs/>
          <w:color w:val="000000"/>
          <w:sz w:val="24"/>
        </w:rPr>
        <w:t xml:space="preserve">Electronic Journal of e-Government</w:t>
      </w:r>
      <w:r>
        <w:rPr>
          <w:rFonts w:ascii="宋体" w:hAnsi="宋体" w:eastAsia="宋体"/>
          <w:color w:val="000000"/>
          <w:sz w:val="24"/>
        </w:rPr>
        <w:t xml:space="preserve">, 10(2), 156-172.</w:t>
      </w:r>
    </w:p>
    <w:p>
      <w:pPr>
        <w:pStyle w:val="BodyText"/>
        <w:spacing w:line="360" w:lineRule="auto"/>
      </w:pPr>
      <w:r>
        <w:rPr>
          <w:rFonts w:ascii="宋体" w:hAnsi="宋体" w:eastAsia="宋体"/>
          <w:color w:val="000000"/>
          <w:sz w:val="24"/>
        </w:rPr>
        <w:t xml:space="preserve">[94] Safarov, I., Meijer, A., &amp; Grimmelikhuijsen, S. (2017). Utilization of open government data: A systematic literature review of types, conditions, purposes and outcomes.</w:t>
      </w:r>
      <w:r>
        <w:rPr>
          <w:rFonts w:ascii="宋体" w:hAnsi="宋体" w:eastAsia="宋体"/>
          <w:color w:val="000000"/>
          <w:sz w:val="24"/>
        </w:rPr>
        <w:t xml:space="preserve"> </w:t>
      </w:r>
      <w:r>
        <w:rPr>
          <w:rFonts w:ascii="宋体" w:hAnsi="宋体" w:eastAsia="宋体"/>
          <w:i/>
          <w:iCs/>
          <w:color w:val="000000"/>
          <w:sz w:val="24"/>
        </w:rPr>
        <w:t xml:space="preserve">Government Information Quarterly</w:t>
      </w:r>
      <w:r>
        <w:rPr>
          <w:rFonts w:ascii="宋体" w:hAnsi="宋体" w:eastAsia="宋体"/>
          <w:color w:val="000000"/>
          <w:sz w:val="24"/>
        </w:rPr>
        <w:t xml:space="preserve">, 34(4), 495-507.</w:t>
      </w:r>
    </w:p>
    <w:p>
      <w:pPr>
        <w:pStyle w:val="BodyText"/>
        <w:spacing w:line="360" w:lineRule="auto"/>
      </w:pPr>
      <w:r>
        <w:rPr>
          <w:rFonts w:ascii="宋体" w:hAnsi="宋体" w:eastAsia="宋体"/>
          <w:color w:val="000000"/>
          <w:sz w:val="24"/>
        </w:rPr>
        <w:t xml:space="preserve">[95] Wang, R. Y., &amp; Strong, D. M. (1996). Beyond accuracy: What data quality means to data consumers.</w:t>
      </w:r>
      <w:r>
        <w:rPr>
          <w:rFonts w:ascii="宋体" w:hAnsi="宋体" w:eastAsia="宋体"/>
          <w:color w:val="000000"/>
          <w:sz w:val="24"/>
        </w:rPr>
        <w:t xml:space="preserve"> </w:t>
      </w:r>
      <w:r>
        <w:rPr>
          <w:rFonts w:ascii="宋体" w:hAnsi="宋体" w:eastAsia="宋体"/>
          <w:i/>
          <w:iCs/>
          <w:color w:val="000000"/>
          <w:sz w:val="24"/>
        </w:rPr>
        <w:t xml:space="preserve">Journal of Management Information Systems</w:t>
      </w:r>
      <w:r>
        <w:rPr>
          <w:rFonts w:ascii="宋体" w:hAnsi="宋体" w:eastAsia="宋体"/>
          <w:color w:val="000000"/>
          <w:sz w:val="24"/>
        </w:rPr>
        <w:t xml:space="preserve">, 12(4), 5-33.</w:t>
      </w:r>
    </w:p>
    <w:p>
      <w:pPr>
        <w:pStyle w:val="BodyText"/>
        <w:spacing w:line="360" w:lineRule="auto"/>
      </w:pPr>
      <w:r>
        <w:rPr>
          <w:rFonts w:ascii="宋体" w:hAnsi="宋体" w:eastAsia="宋体"/>
          <w:color w:val="000000"/>
          <w:sz w:val="24"/>
        </w:rPr>
        <w:t xml:space="preserve">[96] Moore, M. H. (1995).</w:t>
      </w:r>
      <w:r>
        <w:rPr>
          <w:rFonts w:ascii="宋体" w:hAnsi="宋体" w:eastAsia="宋体"/>
          <w:color w:val="000000"/>
          <w:sz w:val="24"/>
        </w:rPr>
        <w:t xml:space="preserve"> </w:t>
      </w:r>
      <w:r>
        <w:rPr>
          <w:rFonts w:ascii="宋体" w:hAnsi="宋体" w:eastAsia="宋体"/>
          <w:i/>
          <w:iCs/>
          <w:color w:val="000000"/>
          <w:sz w:val="24"/>
        </w:rPr>
        <w:t xml:space="preserve">Creating public value: Strategic management in government</w:t>
      </w:r>
      <w:r>
        <w:rPr>
          <w:rFonts w:ascii="宋体" w:hAnsi="宋体" w:eastAsia="宋体"/>
          <w:color w:val="000000"/>
          <w:sz w:val="24"/>
        </w:rPr>
        <w:t xml:space="preserve">. Cambridge, MA: Harvard University Press.</w:t>
      </w:r>
    </w:p>
    <w:p>
      <w:pPr>
        <w:pStyle w:val="BodyText"/>
        <w:spacing w:line="360" w:lineRule="auto"/>
      </w:pPr>
      <w:r>
        <w:rPr>
          <w:rFonts w:ascii="宋体" w:hAnsi="宋体" w:eastAsia="宋体"/>
          <w:color w:val="000000"/>
          <w:sz w:val="24"/>
        </w:rPr>
        <w:t xml:space="preserve">[97] Bryson, J. M., Crosby, B. C., &amp; Bloomberg, L. (2014). Public value governance: Moving beyond traditional public administration and the new public management.</w:t>
      </w:r>
      <w:r>
        <w:rPr>
          <w:rFonts w:ascii="宋体" w:hAnsi="宋体" w:eastAsia="宋体"/>
          <w:color w:val="000000"/>
          <w:sz w:val="24"/>
        </w:rPr>
        <w:t xml:space="preserve"> </w:t>
      </w:r>
      <w:r>
        <w:rPr>
          <w:rFonts w:ascii="宋体" w:hAnsi="宋体" w:eastAsia="宋体"/>
          <w:i/>
          <w:iCs/>
          <w:color w:val="000000"/>
          <w:sz w:val="24"/>
        </w:rPr>
        <w:t xml:space="preserve">Public Administration Review</w:t>
      </w:r>
      <w:r>
        <w:rPr>
          <w:rFonts w:ascii="宋体" w:hAnsi="宋体" w:eastAsia="宋体"/>
          <w:color w:val="000000"/>
          <w:sz w:val="24"/>
        </w:rPr>
        <w:t xml:space="preserve">, 74(4), 445-456.</w:t>
      </w:r>
    </w:p>
    <w:p>
      <w:pPr>
        <w:pStyle w:val="BodyText"/>
        <w:spacing w:line="360" w:lineRule="auto"/>
      </w:pPr>
      <w:r>
        <w:rPr>
          <w:rFonts w:ascii="宋体" w:hAnsi="宋体" w:eastAsia="宋体"/>
          <w:color w:val="000000"/>
          <w:sz w:val="24"/>
        </w:rPr>
        <w:t xml:space="preserve">[98] O’Flynn, J. (2007). From new public management to public value: Paradigmatic change and managerial implications.</w:t>
      </w:r>
      <w:r>
        <w:rPr>
          <w:rFonts w:ascii="宋体" w:hAnsi="宋体" w:eastAsia="宋体"/>
          <w:color w:val="000000"/>
          <w:sz w:val="24"/>
        </w:rPr>
        <w:t xml:space="preserve"> </w:t>
      </w:r>
      <w:r>
        <w:rPr>
          <w:rFonts w:ascii="宋体" w:hAnsi="宋体" w:eastAsia="宋体"/>
          <w:i/>
          <w:iCs/>
          <w:color w:val="000000"/>
          <w:sz w:val="24"/>
        </w:rPr>
        <w:t xml:space="preserve">Australian Journal of Public Administration</w:t>
      </w:r>
      <w:r>
        <w:rPr>
          <w:rFonts w:ascii="宋体" w:hAnsi="宋体" w:eastAsia="宋体"/>
          <w:color w:val="000000"/>
          <w:sz w:val="24"/>
        </w:rPr>
        <w:t xml:space="preserve">, 66(3), 353-366.</w:t>
      </w:r>
    </w:p>
    <w:p>
      <w:pPr>
        <w:pStyle w:val="BodyText"/>
        <w:spacing w:line="360" w:lineRule="auto"/>
      </w:pPr>
      <w:r>
        <w:rPr>
          <w:rFonts w:ascii="宋体" w:hAnsi="宋体" w:eastAsia="宋体"/>
          <w:color w:val="000000"/>
          <w:sz w:val="24"/>
        </w:rPr>
        <w:t xml:space="preserve">[99] Jetzek, T., Avital, M., &amp; Bjørn-Andersen, N. (2014). Data-driven innovation through open government data.</w:t>
      </w:r>
      <w:r>
        <w:rPr>
          <w:rFonts w:ascii="宋体" w:hAnsi="宋体" w:eastAsia="宋体"/>
          <w:color w:val="000000"/>
          <w:sz w:val="24"/>
        </w:rPr>
        <w:t xml:space="preserve"> </w:t>
      </w:r>
      <w:r>
        <w:rPr>
          <w:rFonts w:ascii="宋体" w:hAnsi="宋体" w:eastAsia="宋体"/>
          <w:i/>
          <w:iCs/>
          <w:color w:val="000000"/>
          <w:sz w:val="24"/>
        </w:rPr>
        <w:t xml:space="preserve">Journal of Theoretical and Applied Electronic Commerce Research</w:t>
      </w:r>
      <w:r>
        <w:rPr>
          <w:rFonts w:ascii="宋体" w:hAnsi="宋体" w:eastAsia="宋体"/>
          <w:color w:val="000000"/>
          <w:sz w:val="24"/>
        </w:rPr>
        <w:t xml:space="preserve">, 9(2), 100-120.</w:t>
      </w:r>
    </w:p>
    <w:p>
      <w:pPr>
        <w:pStyle w:val="BodyText"/>
        <w:spacing w:line="360" w:lineRule="auto"/>
      </w:pPr>
      <w:r>
        <w:rPr>
          <w:rFonts w:ascii="宋体" w:hAnsi="宋体" w:eastAsia="宋体"/>
          <w:color w:val="000000"/>
          <w:sz w:val="24"/>
        </w:rPr>
        <w:t xml:space="preserve">[100] Attard, J., Orlandi, F., Scerri, S., &amp; Auer, S. (2015). A systematic review of open government data initiatives.</w:t>
      </w:r>
      <w:r>
        <w:rPr>
          <w:rFonts w:ascii="宋体" w:hAnsi="宋体" w:eastAsia="宋体"/>
          <w:color w:val="000000"/>
          <w:sz w:val="24"/>
        </w:rPr>
        <w:t xml:space="preserve"> </w:t>
      </w:r>
      <w:r>
        <w:rPr>
          <w:rFonts w:ascii="宋体" w:hAnsi="宋体" w:eastAsia="宋体"/>
          <w:i/>
          <w:iCs/>
          <w:color w:val="000000"/>
          <w:sz w:val="24"/>
        </w:rPr>
        <w:t xml:space="preserve">Government Information Quarterly</w:t>
      </w:r>
      <w:r>
        <w:rPr>
          <w:rFonts w:ascii="宋体" w:hAnsi="宋体" w:eastAsia="宋体"/>
          <w:color w:val="000000"/>
          <w:sz w:val="24"/>
        </w:rPr>
        <w:t xml:space="preserve">, 32(4), 399-418.</w:t>
      </w:r>
    </w:p>
    <w:p>
      <w:pPr>
        <w:pStyle w:val="BodyText"/>
        <w:spacing w:line="360" w:lineRule="auto"/>
      </w:pPr>
      <w:r>
        <w:rPr>
          <w:rFonts w:ascii="宋体" w:hAnsi="宋体" w:eastAsia="宋体"/>
          <w:color w:val="000000"/>
          <w:sz w:val="24"/>
        </w:rPr>
        <w:t xml:space="preserve">[101] Tornatzky, L. G., &amp; Fleischer, M. (1990).</w:t>
      </w:r>
      <w:r>
        <w:rPr>
          <w:rFonts w:ascii="宋体" w:hAnsi="宋体" w:eastAsia="宋体"/>
          <w:color w:val="000000"/>
          <w:sz w:val="24"/>
        </w:rPr>
        <w:t xml:space="preserve"> </w:t>
      </w:r>
      <w:r>
        <w:rPr>
          <w:rFonts w:ascii="宋体" w:hAnsi="宋体" w:eastAsia="宋体"/>
          <w:i/>
          <w:iCs/>
          <w:color w:val="000000"/>
          <w:sz w:val="24"/>
        </w:rPr>
        <w:t xml:space="preserve">The processes of technological innovation</w:t>
      </w:r>
      <w:r>
        <w:rPr>
          <w:rFonts w:ascii="宋体" w:hAnsi="宋体" w:eastAsia="宋体"/>
          <w:color w:val="000000"/>
          <w:sz w:val="24"/>
        </w:rPr>
        <w:t xml:space="preserve">. Lexington, MA: Lexington Books.</w:t>
      </w:r>
    </w:p>
    <w:p>
      <w:pPr>
        <w:pStyle w:val="BodyText"/>
        <w:spacing w:line="360" w:lineRule="auto"/>
      </w:pPr>
      <w:r>
        <w:rPr>
          <w:rFonts w:ascii="宋体" w:hAnsi="宋体" w:eastAsia="宋体"/>
          <w:color w:val="000000"/>
          <w:sz w:val="24"/>
        </w:rPr>
        <w:t xml:space="preserve">[102] Ruijer, E., Grimmelikhuijsen, S., &amp; Meijer, A. (2017). Open data for democracy: Developing a theoretical framework for open data use.</w:t>
      </w:r>
      <w:r>
        <w:rPr>
          <w:rFonts w:ascii="宋体" w:hAnsi="宋体" w:eastAsia="宋体"/>
          <w:color w:val="000000"/>
          <w:sz w:val="24"/>
        </w:rPr>
        <w:t xml:space="preserve"> </w:t>
      </w:r>
      <w:r>
        <w:rPr>
          <w:rFonts w:ascii="宋体" w:hAnsi="宋体" w:eastAsia="宋体"/>
          <w:i/>
          <w:iCs/>
          <w:color w:val="000000"/>
          <w:sz w:val="24"/>
        </w:rPr>
        <w:t xml:space="preserve">Government Information Quarterly</w:t>
      </w:r>
      <w:r>
        <w:rPr>
          <w:rFonts w:ascii="宋体" w:hAnsi="宋体" w:eastAsia="宋体"/>
          <w:color w:val="000000"/>
          <w:sz w:val="24"/>
        </w:rPr>
        <w:t xml:space="preserve">, 34(3), 495-505.</w:t>
      </w:r>
    </w:p>
    <w:p>
      <w:pPr>
        <w:pStyle w:val="BodyText"/>
        <w:spacing w:line="360" w:lineRule="auto"/>
      </w:pPr>
      <w:r>
        <w:rPr>
          <w:rFonts w:ascii="宋体" w:hAnsi="宋体" w:eastAsia="宋体"/>
          <w:color w:val="000000"/>
          <w:sz w:val="24"/>
        </w:rPr>
        <w:t xml:space="preserve">[103] Liu, S., Li, H., &amp; Wang, J. (2023). Exploring the determinants of open government data utilization: A mixed-methods approach.</w:t>
      </w:r>
      <w:r>
        <w:rPr>
          <w:rFonts w:ascii="宋体" w:hAnsi="宋体" w:eastAsia="宋体"/>
          <w:color w:val="000000"/>
          <w:sz w:val="24"/>
        </w:rPr>
        <w:t xml:space="preserve"> </w:t>
      </w:r>
      <w:r>
        <w:rPr>
          <w:rFonts w:ascii="宋体" w:hAnsi="宋体" w:eastAsia="宋体"/>
          <w:i/>
          <w:iCs/>
          <w:color w:val="000000"/>
          <w:sz w:val="24"/>
        </w:rPr>
        <w:t xml:space="preserve">Government Information Quarterly</w:t>
      </w:r>
      <w:r>
        <w:rPr>
          <w:rFonts w:ascii="宋体" w:hAnsi="宋体" w:eastAsia="宋体"/>
          <w:color w:val="000000"/>
          <w:sz w:val="24"/>
        </w:rPr>
        <w:t xml:space="preserve">, 40(1), 101-115.</w:t>
      </w:r>
    </w:p>
    <w:p>
      <w:pPr>
        <w:pStyle w:val="BodyText"/>
        <w:spacing w:line="360" w:lineRule="auto"/>
      </w:pPr>
      <w:r>
        <w:rPr>
          <w:rFonts w:ascii="宋体" w:hAnsi="宋体" w:eastAsia="宋体"/>
          <w:color w:val="000000"/>
          <w:sz w:val="24"/>
        </w:rPr>
        <w:t xml:space="preserve">[104] Davies, T. (2010).</w:t>
      </w:r>
      <w:r>
        <w:rPr>
          <w:rFonts w:ascii="宋体" w:hAnsi="宋体" w:eastAsia="宋体"/>
          <w:color w:val="000000"/>
          <w:sz w:val="24"/>
        </w:rPr>
        <w:t xml:space="preserve"> </w:t>
      </w:r>
      <w:r>
        <w:rPr>
          <w:rFonts w:ascii="宋体" w:hAnsi="宋体" w:eastAsia="宋体"/>
          <w:i/>
          <w:iCs/>
          <w:color w:val="000000"/>
          <w:sz w:val="24"/>
        </w:rPr>
        <w:t xml:space="preserve">Open data, democracy and public sector reform</w:t>
      </w:r>
      <w:r>
        <w:rPr>
          <w:rFonts w:ascii="宋体" w:hAnsi="宋体" w:eastAsia="宋体"/>
          <w:color w:val="000000"/>
          <w:sz w:val="24"/>
        </w:rPr>
        <w:t xml:space="preserve">. PhD Dissertation, University of Oxford.</w:t>
      </w:r>
    </w:p>
    <w:p>
      <w:pPr>
        <w:pStyle w:val="BodyText"/>
        <w:spacing w:line="360" w:lineRule="auto"/>
      </w:pPr>
      <w:r>
        <w:rPr>
          <w:rFonts w:ascii="宋体" w:hAnsi="宋体" w:eastAsia="宋体"/>
          <w:color w:val="000000"/>
          <w:sz w:val="24"/>
        </w:rPr>
        <w:t xml:space="preserve">[105] Kratz, J., &amp; Nurnberger, A. (2014). Open data and the linked data web: A glance back and ahead.</w:t>
      </w:r>
      <w:r>
        <w:rPr>
          <w:rFonts w:ascii="宋体" w:hAnsi="宋体" w:eastAsia="宋体"/>
          <w:color w:val="000000"/>
          <w:sz w:val="24"/>
        </w:rPr>
        <w:t xml:space="preserve"> </w:t>
      </w:r>
      <w:r>
        <w:rPr>
          <w:rFonts w:ascii="宋体" w:hAnsi="宋体" w:eastAsia="宋体"/>
          <w:i/>
          <w:iCs/>
          <w:color w:val="000000"/>
          <w:sz w:val="24"/>
        </w:rPr>
        <w:t xml:space="preserve">Proceedings of the ACM International Conference on Digital Libraries</w:t>
      </w:r>
      <w:r>
        <w:rPr>
          <w:rFonts w:ascii="宋体" w:hAnsi="宋体" w:eastAsia="宋体"/>
          <w:color w:val="000000"/>
          <w:sz w:val="24"/>
        </w:rPr>
        <w:t xml:space="preserve">, 1-4.</w:t>
      </w:r>
    </w:p>
    <w:p>
      <w:pPr>
        <w:pStyle w:val="BodyText"/>
        <w:spacing w:line="360" w:lineRule="auto"/>
      </w:pPr>
      <w:r>
        <w:rPr>
          <w:rFonts w:ascii="宋体" w:hAnsi="宋体" w:eastAsia="宋体"/>
          <w:color w:val="000000"/>
          <w:sz w:val="24"/>
        </w:rPr>
        <w:t xml:space="preserve">[106] Lassinantti, J., &amp; Bergvall-Kåreborn, B. (2020). Open government data: Opportunities and challenges for SMEs.</w:t>
      </w:r>
      <w:r>
        <w:rPr>
          <w:rFonts w:ascii="宋体" w:hAnsi="宋体" w:eastAsia="宋体"/>
          <w:color w:val="000000"/>
          <w:sz w:val="24"/>
        </w:rPr>
        <w:t xml:space="preserve"> </w:t>
      </w:r>
      <w:r>
        <w:rPr>
          <w:rFonts w:ascii="宋体" w:hAnsi="宋体" w:eastAsia="宋体"/>
          <w:i/>
          <w:iCs/>
          <w:color w:val="000000"/>
          <w:sz w:val="24"/>
        </w:rPr>
        <w:t xml:space="preserve">Journal of Business Research</w:t>
      </w:r>
      <w:r>
        <w:rPr>
          <w:rFonts w:ascii="宋体" w:hAnsi="宋体" w:eastAsia="宋体"/>
          <w:color w:val="000000"/>
          <w:sz w:val="24"/>
        </w:rPr>
        <w:t xml:space="preserve">, 118, 225-234.</w:t>
      </w:r>
    </w:p>
    <w:p>
      <w:pPr>
        <w:pStyle w:val="BodyText"/>
        <w:spacing w:line="360" w:lineRule="auto"/>
      </w:pPr>
      <w:r>
        <w:rPr>
          <w:rFonts w:ascii="宋体" w:hAnsi="宋体" w:eastAsia="宋体"/>
          <w:color w:val="000000"/>
          <w:sz w:val="24"/>
        </w:rPr>
        <w:t xml:space="preserve">[107] Yu, H., &amp; Robinson, D. G. (2012). The new ambiguity of</w:t>
      </w:r>
      <w:r>
        <w:rPr>
          <w:rFonts w:ascii="宋体" w:hAnsi="宋体" w:eastAsia="宋体"/>
          <w:color w:val="000000"/>
          <w:sz w:val="24"/>
        </w:rPr>
        <w:t xml:space="preserve"> </w:t>
      </w:r>
      <w:r>
        <w:rPr>
          <w:rFonts w:ascii="宋体" w:hAnsi="宋体" w:eastAsia="宋体"/>
          <w:color w:val="000000"/>
          <w:sz w:val="24"/>
        </w:rPr>
        <w:t xml:space="preserve">“open government”</w:t>
      </w:r>
      <w:r>
        <w:rPr>
          <w:rFonts w:ascii="宋体" w:hAnsi="宋体" w:eastAsia="宋体"/>
          <w:color w:val="000000"/>
          <w:sz w:val="24"/>
        </w:rPr>
        <w:t xml:space="preserve">.</w:t>
      </w:r>
      <w:r>
        <w:rPr>
          <w:rFonts w:ascii="宋体" w:hAnsi="宋体" w:eastAsia="宋体"/>
          <w:color w:val="000000"/>
          <w:sz w:val="24"/>
        </w:rPr>
        <w:t xml:space="preserve"> </w:t>
      </w:r>
      <w:r>
        <w:rPr>
          <w:rFonts w:ascii="宋体" w:hAnsi="宋体" w:eastAsia="宋体"/>
          <w:i/>
          <w:iCs/>
          <w:color w:val="000000"/>
          <w:sz w:val="24"/>
        </w:rPr>
        <w:t xml:space="preserve">UCLA Law Review Discourse</w:t>
      </w:r>
      <w:r>
        <w:rPr>
          <w:rFonts w:ascii="宋体" w:hAnsi="宋体" w:eastAsia="宋体"/>
          <w:color w:val="000000"/>
          <w:sz w:val="24"/>
        </w:rPr>
        <w:t xml:space="preserve">, 59, 178-208.</w:t>
      </w:r>
    </w:p>
    <w:p>
      <w:pPr>
        <w:pStyle w:val="BodyText"/>
        <w:spacing w:line="360" w:lineRule="auto"/>
      </w:pPr>
      <w:r>
        <w:rPr>
          <w:rFonts w:ascii="宋体" w:hAnsi="宋体" w:eastAsia="宋体"/>
          <w:color w:val="000000"/>
          <w:sz w:val="24"/>
        </w:rPr>
        <w:t xml:space="preserve">[108] Sieber, R. E., &amp; Johnson, P. A. (2015). Civic open data at a crossroads: Dominant models and current challenges.</w:t>
      </w:r>
      <w:r>
        <w:rPr>
          <w:rFonts w:ascii="宋体" w:hAnsi="宋体" w:eastAsia="宋体"/>
          <w:color w:val="000000"/>
          <w:sz w:val="24"/>
        </w:rPr>
        <w:t xml:space="preserve"> </w:t>
      </w:r>
      <w:r>
        <w:rPr>
          <w:rFonts w:ascii="宋体" w:hAnsi="宋体" w:eastAsia="宋体"/>
          <w:i/>
          <w:iCs/>
          <w:color w:val="000000"/>
          <w:sz w:val="24"/>
        </w:rPr>
        <w:t xml:space="preserve">Government Information Quarterly</w:t>
      </w:r>
      <w:r>
        <w:rPr>
          <w:rFonts w:ascii="宋体" w:hAnsi="宋体" w:eastAsia="宋体"/>
          <w:color w:val="000000"/>
          <w:sz w:val="24"/>
        </w:rPr>
        <w:t xml:space="preserve">, 32(3), 308-315.</w:t>
      </w:r>
    </w:p>
    <w:p>
      <w:pPr>
        <w:pStyle w:val="BodyText"/>
        <w:spacing w:line="360" w:lineRule="auto"/>
      </w:pPr>
      <w:r>
        <w:rPr>
          <w:rFonts w:ascii="宋体" w:hAnsi="宋体" w:eastAsia="宋体"/>
          <w:color w:val="000000"/>
          <w:sz w:val="24"/>
        </w:rPr>
        <w:t xml:space="preserve">[109] Martin, C. B., Hepworth, M., &amp; Walby, K. (2020). Open data and social value: Concepts, evidence and policy.</w:t>
      </w:r>
      <w:r>
        <w:rPr>
          <w:rFonts w:ascii="宋体" w:hAnsi="宋体" w:eastAsia="宋体"/>
          <w:color w:val="000000"/>
          <w:sz w:val="24"/>
        </w:rPr>
        <w:t xml:space="preserve"> </w:t>
      </w:r>
      <w:r>
        <w:rPr>
          <w:rFonts w:ascii="宋体" w:hAnsi="宋体" w:eastAsia="宋体"/>
          <w:i/>
          <w:iCs/>
          <w:color w:val="000000"/>
          <w:sz w:val="24"/>
        </w:rPr>
        <w:t xml:space="preserve">Policy &amp; Internet</w:t>
      </w:r>
      <w:r>
        <w:rPr>
          <w:rFonts w:ascii="宋体" w:hAnsi="宋体" w:eastAsia="宋体"/>
          <w:color w:val="000000"/>
          <w:sz w:val="24"/>
        </w:rPr>
        <w:t xml:space="preserve">, 12(1), 1-18.</w:t>
      </w:r>
    </w:p>
    <w:p>
      <w:pPr>
        <w:pStyle w:val="BodyText"/>
        <w:spacing w:line="360" w:lineRule="auto"/>
      </w:pPr>
      <w:r>
        <w:rPr>
          <w:rFonts w:ascii="宋体" w:hAnsi="宋体" w:eastAsia="宋体"/>
          <w:color w:val="000000"/>
          <w:sz w:val="24"/>
        </w:rPr>
        <w:t xml:space="preserve">[110] Stoker, G. (2006). Public value management: A new narrative for networked governance?</w:t>
      </w:r>
      <w:r>
        <w:rPr>
          <w:rFonts w:ascii="宋体" w:hAnsi="宋体" w:eastAsia="宋体"/>
          <w:color w:val="000000"/>
          <w:sz w:val="24"/>
        </w:rPr>
        <w:t xml:space="preserve"> </w:t>
      </w:r>
      <w:r>
        <w:rPr>
          <w:rFonts w:ascii="宋体" w:hAnsi="宋体" w:eastAsia="宋体"/>
          <w:i/>
          <w:iCs/>
          <w:color w:val="000000"/>
          <w:sz w:val="24"/>
        </w:rPr>
        <w:t xml:space="preserve">The American Review of Public Administration</w:t>
      </w:r>
      <w:r>
        <w:rPr>
          <w:rFonts w:ascii="宋体" w:hAnsi="宋体" w:eastAsia="宋体"/>
          <w:color w:val="000000"/>
          <w:sz w:val="24"/>
        </w:rPr>
        <w:t xml:space="preserve">, 36(1), 41-57.</w:t>
      </w:r>
    </w:p>
    <w:p>
      <w:pPr>
        <w:pStyle w:val="BodyText"/>
        <w:spacing w:line="360" w:lineRule="auto"/>
      </w:pPr>
      <w:r>
        <w:rPr>
          <w:rFonts w:ascii="宋体" w:hAnsi="宋体" w:eastAsia="宋体"/>
          <w:color w:val="000000"/>
          <w:sz w:val="24"/>
        </w:rPr>
        <w:t xml:space="preserve">[111] Flynn, N. (1986). Performance measurement in public sector organizations.</w:t>
      </w:r>
      <w:r>
        <w:rPr>
          <w:rFonts w:ascii="宋体" w:hAnsi="宋体" w:eastAsia="宋体"/>
          <w:color w:val="000000"/>
          <w:sz w:val="24"/>
        </w:rPr>
        <w:t xml:space="preserve"> </w:t>
      </w:r>
      <w:r>
        <w:rPr>
          <w:rFonts w:ascii="宋体" w:hAnsi="宋体" w:eastAsia="宋体"/>
          <w:i/>
          <w:iCs/>
          <w:color w:val="000000"/>
          <w:sz w:val="24"/>
        </w:rPr>
        <w:t xml:space="preserve">Public Money &amp; Management</w:t>
      </w:r>
      <w:r>
        <w:rPr>
          <w:rFonts w:ascii="宋体" w:hAnsi="宋体" w:eastAsia="宋体"/>
          <w:color w:val="000000"/>
          <w:sz w:val="24"/>
        </w:rPr>
        <w:t xml:space="preserve">, 6(2), 29-34.</w:t>
      </w:r>
    </w:p>
    <w:p>
      <w:pPr>
        <w:pStyle w:val="BodyText"/>
        <w:spacing w:line="360" w:lineRule="auto"/>
      </w:pPr>
      <w:r>
        <w:rPr>
          <w:rFonts w:ascii="宋体" w:hAnsi="宋体" w:eastAsia="宋体"/>
          <w:color w:val="000000"/>
          <w:sz w:val="24"/>
        </w:rPr>
        <w:t xml:space="preserve">[112] Pollitt, C. (1986).</w:t>
      </w:r>
      <w:r>
        <w:rPr>
          <w:rFonts w:ascii="宋体" w:hAnsi="宋体" w:eastAsia="宋体"/>
          <w:color w:val="000000"/>
          <w:sz w:val="24"/>
        </w:rPr>
        <w:t xml:space="preserve"> </w:t>
      </w:r>
      <w:r>
        <w:rPr>
          <w:rFonts w:ascii="宋体" w:hAnsi="宋体" w:eastAsia="宋体"/>
          <w:i/>
          <w:iCs/>
          <w:color w:val="000000"/>
          <w:sz w:val="24"/>
        </w:rPr>
        <w:t xml:space="preserve">Performance measurement in the public services: Some political implications</w:t>
      </w:r>
      <w:r>
        <w:rPr>
          <w:rFonts w:ascii="宋体" w:hAnsi="宋体" w:eastAsia="宋体"/>
          <w:color w:val="000000"/>
          <w:sz w:val="24"/>
        </w:rPr>
        <w:t xml:space="preserve">. London: National Consumer Council.</w:t>
      </w:r>
    </w:p>
    <w:p>
      <w:pPr>
        <w:pStyle w:val="BodyText"/>
        <w:spacing w:line="360" w:lineRule="auto"/>
      </w:pPr>
      <w:r>
        <w:rPr>
          <w:rFonts w:ascii="宋体" w:hAnsi="宋体" w:eastAsia="宋体"/>
          <w:color w:val="000000"/>
          <w:sz w:val="24"/>
        </w:rPr>
        <w:t xml:space="preserve">[113] Barney, J. B., &amp; Nair, A. (1984).</w:t>
      </w:r>
      <w:r>
        <w:rPr>
          <w:rFonts w:ascii="宋体" w:hAnsi="宋体" w:eastAsia="宋体"/>
          <w:color w:val="000000"/>
          <w:sz w:val="24"/>
        </w:rPr>
        <w:t xml:space="preserve"> </w:t>
      </w:r>
      <w:r>
        <w:rPr>
          <w:rFonts w:ascii="宋体" w:hAnsi="宋体" w:eastAsia="宋体"/>
          <w:i/>
          <w:iCs/>
          <w:color w:val="000000"/>
          <w:sz w:val="24"/>
        </w:rPr>
        <w:t xml:space="preserve">Performance evaluation in the public sector: A conceptual framework</w:t>
      </w:r>
      <w:r>
        <w:rPr>
          <w:rFonts w:ascii="宋体" w:hAnsi="宋体" w:eastAsia="宋体"/>
          <w:color w:val="000000"/>
          <w:sz w:val="24"/>
        </w:rPr>
        <w:t xml:space="preserve">. Washington, DC: Urban Institute Press.</w:t>
      </w:r>
    </w:p>
    <w:p>
      <w:pPr>
        <w:pStyle w:val="BodyText"/>
        <w:spacing w:line="360" w:lineRule="auto"/>
      </w:pPr>
      <w:r>
        <w:rPr>
          <w:rFonts w:ascii="宋体" w:hAnsi="宋体" w:eastAsia="宋体"/>
          <w:color w:val="000000"/>
          <w:sz w:val="24"/>
        </w:rPr>
        <w:t xml:space="preserve">[114] Kalampokis, E., Tambouris, E., &amp; Tarabanis, K. (2011). A classification scheme for open government data: Towards linking decentralized data.</w:t>
      </w:r>
      <w:r>
        <w:rPr>
          <w:rFonts w:ascii="宋体" w:hAnsi="宋体" w:eastAsia="宋体"/>
          <w:color w:val="000000"/>
          <w:sz w:val="24"/>
        </w:rPr>
        <w:t xml:space="preserve"> </w:t>
      </w:r>
      <w:r>
        <w:rPr>
          <w:rFonts w:ascii="宋体" w:hAnsi="宋体" w:eastAsia="宋体"/>
          <w:i/>
          <w:iCs/>
          <w:color w:val="000000"/>
          <w:sz w:val="24"/>
        </w:rPr>
        <w:t xml:space="preserve">International Journal of Web Engineering and Technology</w:t>
      </w:r>
      <w:r>
        <w:rPr>
          <w:rFonts w:ascii="宋体" w:hAnsi="宋体" w:eastAsia="宋体"/>
          <w:color w:val="000000"/>
          <w:sz w:val="24"/>
        </w:rPr>
        <w:t xml:space="preserve">, 6(3), 266-285.</w:t>
      </w:r>
    </w:p>
    <w:p>
      <w:pPr>
        <w:pStyle w:val="BodyText"/>
        <w:spacing w:line="360" w:lineRule="auto"/>
      </w:pPr>
      <w:r>
        <w:rPr>
          <w:rFonts w:ascii="宋体" w:hAnsi="宋体" w:eastAsia="宋体"/>
          <w:color w:val="000000"/>
          <w:sz w:val="24"/>
        </w:rPr>
        <w:t xml:space="preserve">[115] Zuiderwijk, A., &amp; Janssen, M. (2014). Open data policies, their implementation and impact: A framework for comparison.</w:t>
      </w:r>
      <w:r>
        <w:rPr>
          <w:rFonts w:ascii="宋体" w:hAnsi="宋体" w:eastAsia="宋体"/>
          <w:color w:val="000000"/>
          <w:sz w:val="24"/>
        </w:rPr>
        <w:t xml:space="preserve"> </w:t>
      </w:r>
      <w:r>
        <w:rPr>
          <w:rFonts w:ascii="宋体" w:hAnsi="宋体" w:eastAsia="宋体"/>
          <w:i/>
          <w:iCs/>
          <w:color w:val="000000"/>
          <w:sz w:val="24"/>
        </w:rPr>
        <w:t xml:space="preserve">Government Information Quarterly</w:t>
      </w:r>
      <w:r>
        <w:rPr>
          <w:rFonts w:ascii="宋体" w:hAnsi="宋体" w:eastAsia="宋体"/>
          <w:color w:val="000000"/>
          <w:sz w:val="24"/>
        </w:rPr>
        <w:t xml:space="preserve">, 31(1), 17-29.</w:t>
      </w:r>
    </w:p>
    <w:p>
      <w:pPr>
        <w:pStyle w:val="BodyText"/>
        <w:spacing w:line="360" w:lineRule="auto"/>
      </w:pPr>
      <w:r>
        <w:rPr>
          <w:rFonts w:ascii="宋体" w:hAnsi="宋体" w:eastAsia="宋体"/>
          <w:color w:val="000000"/>
          <w:sz w:val="24"/>
        </w:rPr>
        <w:t xml:space="preserve">[116] Kitchin, R. (2014).</w:t>
      </w:r>
      <w:r>
        <w:rPr>
          <w:rFonts w:ascii="宋体" w:hAnsi="宋体" w:eastAsia="宋体"/>
          <w:color w:val="000000"/>
          <w:sz w:val="24"/>
        </w:rPr>
        <w:t xml:space="preserve"> </w:t>
      </w:r>
      <w:r>
        <w:rPr>
          <w:rFonts w:ascii="宋体" w:hAnsi="宋体" w:eastAsia="宋体"/>
          <w:i/>
          <w:iCs/>
          <w:color w:val="000000"/>
          <w:sz w:val="24"/>
        </w:rPr>
        <w:t xml:space="preserve">The data revolution: Big data, open data, data infrastructures and their consequences</w:t>
      </w:r>
      <w:r>
        <w:rPr>
          <w:rFonts w:ascii="宋体" w:hAnsi="宋体" w:eastAsia="宋体"/>
          <w:color w:val="000000"/>
          <w:sz w:val="24"/>
        </w:rPr>
        <w:t xml:space="preserve">. London: Sage Publications.</w:t>
      </w:r>
    </w:p>
    <w:p>
      <w:pPr>
        <w:pStyle w:val="BodyText"/>
        <w:spacing w:line="360" w:lineRule="auto"/>
      </w:pPr>
      <w:r>
        <w:rPr>
          <w:rFonts w:ascii="宋体" w:hAnsi="宋体" w:eastAsia="宋体"/>
          <w:color w:val="000000"/>
          <w:sz w:val="24"/>
        </w:rPr>
        <w:t xml:space="preserve">[117] Davies, T. G., &amp; Bawa, Z. A. (2012).</w:t>
      </w:r>
      <w:r>
        <w:rPr>
          <w:rFonts w:ascii="宋体" w:hAnsi="宋体" w:eastAsia="宋体"/>
          <w:color w:val="000000"/>
          <w:sz w:val="24"/>
        </w:rPr>
        <w:t xml:space="preserve"> </w:t>
      </w:r>
      <w:r>
        <w:rPr>
          <w:rFonts w:ascii="宋体" w:hAnsi="宋体" w:eastAsia="宋体"/>
          <w:i/>
          <w:iCs/>
          <w:color w:val="000000"/>
          <w:sz w:val="24"/>
        </w:rPr>
        <w:t xml:space="preserve">The promises and perils of open government data (OGD)</w:t>
      </w:r>
      <w:r>
        <w:rPr>
          <w:rFonts w:ascii="宋体" w:hAnsi="宋体" w:eastAsia="宋体"/>
          <w:color w:val="000000"/>
          <w:sz w:val="24"/>
        </w:rPr>
        <w:t xml:space="preserve">.</w:t>
      </w:r>
      <w:r>
        <w:rPr>
          <w:rFonts w:ascii="宋体" w:hAnsi="宋体" w:eastAsia="宋体"/>
          <w:color w:val="000000"/>
          <w:sz w:val="24"/>
        </w:rPr>
        <w:t xml:space="preserve"> </w:t>
      </w:r>
      <w:r>
        <w:rPr>
          <w:rFonts w:ascii="宋体" w:hAnsi="宋体" w:eastAsia="宋体"/>
          <w:i/>
          <w:iCs/>
          <w:color w:val="000000"/>
          <w:sz w:val="24"/>
        </w:rPr>
        <w:t xml:space="preserve">Journal of Community Informatics</w:t>
      </w:r>
      <w:r>
        <w:rPr>
          <w:rFonts w:ascii="宋体" w:hAnsi="宋体" w:eastAsia="宋体"/>
          <w:color w:val="000000"/>
          <w:sz w:val="24"/>
        </w:rPr>
        <w:t xml:space="preserve">, 8(2), 1-10.</w:t>
      </w:r>
    </w:p>
    <w:p>
      <w:pPr>
        <w:pStyle w:val="BodyText"/>
        <w:spacing w:line="360" w:lineRule="auto"/>
      </w:pPr>
      <w:r>
        <w:rPr>
          <w:rFonts w:ascii="宋体" w:hAnsi="宋体" w:eastAsia="宋体"/>
          <w:color w:val="000000"/>
          <w:sz w:val="24"/>
        </w:rPr>
        <w:t xml:space="preserve">[118] Veljkovic, N., Bogdanovic-Dinic, S., &amp; Stoimenov, L. (2014). Benchmarking open government: An open data perspective.</w:t>
      </w:r>
      <w:r>
        <w:rPr>
          <w:rFonts w:ascii="宋体" w:hAnsi="宋体" w:eastAsia="宋体"/>
          <w:color w:val="000000"/>
          <w:sz w:val="24"/>
        </w:rPr>
        <w:t xml:space="preserve"> </w:t>
      </w:r>
      <w:r>
        <w:rPr>
          <w:rFonts w:ascii="宋体" w:hAnsi="宋体" w:eastAsia="宋体"/>
          <w:i/>
          <w:iCs/>
          <w:color w:val="000000"/>
          <w:sz w:val="24"/>
        </w:rPr>
        <w:t xml:space="preserve">Government Information Quarterly</w:t>
      </w:r>
      <w:r>
        <w:rPr>
          <w:rFonts w:ascii="宋体" w:hAnsi="宋体" w:eastAsia="宋体"/>
          <w:color w:val="000000"/>
          <w:sz w:val="24"/>
        </w:rPr>
        <w:t xml:space="preserve">, 31(2), 278-290.</w:t>
      </w:r>
    </w:p>
    <w:p>
      <w:pPr>
        <w:pStyle w:val="BodyText"/>
        <w:spacing w:line="360" w:lineRule="auto"/>
      </w:pPr>
      <w:r>
        <w:rPr>
          <w:rFonts w:ascii="宋体" w:hAnsi="宋体" w:eastAsia="宋体"/>
          <w:color w:val="000000"/>
          <w:sz w:val="24"/>
        </w:rPr>
        <w:t xml:space="preserve">[119] Martin, S., Foulonneau, M., Turki, S., &amp; Ihadjadene, M. (2013). Risk analysis to overcome barriers to open data.</w:t>
      </w:r>
      <w:r>
        <w:rPr>
          <w:rFonts w:ascii="宋体" w:hAnsi="宋体" w:eastAsia="宋体"/>
          <w:color w:val="000000"/>
          <w:sz w:val="24"/>
        </w:rPr>
        <w:t xml:space="preserve"> </w:t>
      </w:r>
      <w:r>
        <w:rPr>
          <w:rFonts w:ascii="宋体" w:hAnsi="宋体" w:eastAsia="宋体"/>
          <w:i/>
          <w:iCs/>
          <w:color w:val="000000"/>
          <w:sz w:val="24"/>
        </w:rPr>
        <w:t xml:space="preserve">Electronic Journal of e-Government</w:t>
      </w:r>
      <w:r>
        <w:rPr>
          <w:rFonts w:ascii="宋体" w:hAnsi="宋体" w:eastAsia="宋体"/>
          <w:color w:val="000000"/>
          <w:sz w:val="24"/>
        </w:rPr>
        <w:t xml:space="preserve">, 11(1), 1-15.</w:t>
      </w:r>
    </w:p>
    <w:p>
      <w:pPr>
        <w:pStyle w:val="BodyText"/>
        <w:spacing w:line="360" w:lineRule="auto"/>
      </w:pPr>
      <w:r>
        <w:rPr>
          <w:rFonts w:ascii="宋体" w:hAnsi="宋体" w:eastAsia="宋体"/>
          <w:color w:val="000000"/>
          <w:sz w:val="24"/>
        </w:rPr>
        <w:t xml:space="preserve">[120] Dawes, S. S., Vidiasova, L., &amp; Parkhimovich, O. (2016). Planning and designing open government data programs: An ecosystem approach.</w:t>
      </w:r>
      <w:r>
        <w:rPr>
          <w:rFonts w:ascii="宋体" w:hAnsi="宋体" w:eastAsia="宋体"/>
          <w:color w:val="000000"/>
          <w:sz w:val="24"/>
        </w:rPr>
        <w:t xml:space="preserve"> </w:t>
      </w:r>
      <w:r>
        <w:rPr>
          <w:rFonts w:ascii="宋体" w:hAnsi="宋体" w:eastAsia="宋体"/>
          <w:i/>
          <w:iCs/>
          <w:color w:val="000000"/>
          <w:sz w:val="24"/>
        </w:rPr>
        <w:t xml:space="preserve">Government Information Quarterly</w:t>
      </w:r>
      <w:r>
        <w:rPr>
          <w:rFonts w:ascii="宋体" w:hAnsi="宋体" w:eastAsia="宋体"/>
          <w:color w:val="000000"/>
          <w:sz w:val="24"/>
        </w:rPr>
        <w:t xml:space="preserve">, 33(1), 15-27.</w:t>
      </w:r>
    </w:p>
    <w:p>
      <w:pPr>
        <w:pStyle w:val="BodyText"/>
        <w:spacing w:line="360" w:lineRule="auto"/>
      </w:pPr>
      <w:r>
        <w:rPr>
          <w:rFonts w:ascii="宋体" w:hAnsi="宋体" w:eastAsia="宋体"/>
          <w:color w:val="000000"/>
          <w:sz w:val="24"/>
        </w:rPr>
        <w:t xml:space="preserve">[121] Hossain, M. A., Dwivedi, Y. K., &amp; Rana, N. P. (2016). State-of-the-art of open data research: A systematic literature review.</w:t>
      </w:r>
      <w:r>
        <w:rPr>
          <w:rFonts w:ascii="宋体" w:hAnsi="宋体" w:eastAsia="宋体"/>
          <w:color w:val="000000"/>
          <w:sz w:val="24"/>
        </w:rPr>
        <w:t xml:space="preserve"> </w:t>
      </w:r>
      <w:r>
        <w:rPr>
          <w:rFonts w:ascii="宋体" w:hAnsi="宋体" w:eastAsia="宋体"/>
          <w:i/>
          <w:iCs/>
          <w:color w:val="000000"/>
          <w:sz w:val="24"/>
        </w:rPr>
        <w:t xml:space="preserve">Proceedings of the 25th European Conference on Information Systems</w:t>
      </w:r>
      <w:r>
        <w:rPr>
          <w:rFonts w:ascii="宋体" w:hAnsi="宋体" w:eastAsia="宋体"/>
          <w:color w:val="000000"/>
          <w:sz w:val="24"/>
        </w:rPr>
        <w:t xml:space="preserve">, 1-16.</w:t>
      </w:r>
    </w:p>
    <w:p>
      <w:pPr>
        <w:pStyle w:val="BodyText"/>
        <w:spacing w:line="360" w:lineRule="auto"/>
      </w:pPr>
      <w:r>
        <w:rPr>
          <w:rFonts w:ascii="宋体" w:hAnsi="宋体" w:eastAsia="宋体"/>
          <w:color w:val="000000"/>
          <w:sz w:val="24"/>
        </w:rPr>
        <w:t xml:space="preserve">[122] Concha, G., &amp; Naser, A. (2012).</w:t>
      </w:r>
      <w:r>
        <w:rPr>
          <w:rFonts w:ascii="宋体" w:hAnsi="宋体" w:eastAsia="宋体"/>
          <w:color w:val="000000"/>
          <w:sz w:val="24"/>
        </w:rPr>
        <w:t xml:space="preserve"> </w:t>
      </w:r>
      <w:r>
        <w:rPr>
          <w:rFonts w:ascii="宋体" w:hAnsi="宋体" w:eastAsia="宋体"/>
          <w:i/>
          <w:iCs/>
          <w:color w:val="000000"/>
          <w:sz w:val="24"/>
        </w:rPr>
        <w:t xml:space="preserve">Government open data initiatives in Latin America</w:t>
      </w:r>
      <w:r>
        <w:rPr>
          <w:rFonts w:ascii="宋体" w:hAnsi="宋体" w:eastAsia="宋体"/>
          <w:color w:val="000000"/>
          <w:sz w:val="24"/>
        </w:rPr>
        <w:t xml:space="preserve">. Washington, DC: Inter-American Development Bank.</w:t>
      </w:r>
    </w:p>
    <w:p>
      <w:pPr>
        <w:pStyle w:val="BodyText"/>
        <w:spacing w:line="360" w:lineRule="auto"/>
      </w:pPr>
      <w:r>
        <w:rPr>
          <w:rFonts w:ascii="宋体" w:hAnsi="宋体" w:eastAsia="宋体"/>
          <w:color w:val="000000"/>
          <w:sz w:val="24"/>
        </w:rPr>
        <w:t xml:space="preserve">[123] Mergel, I., Schweik, C. M., &amp; Fountain, J. E. (2014). The transformational effect of Web 2.0 technologies on government.</w:t>
      </w:r>
      <w:r>
        <w:rPr>
          <w:rFonts w:ascii="宋体" w:hAnsi="宋体" w:eastAsia="宋体"/>
          <w:color w:val="000000"/>
          <w:sz w:val="24"/>
        </w:rPr>
        <w:t xml:space="preserve"> </w:t>
      </w:r>
      <w:r>
        <w:rPr>
          <w:rFonts w:ascii="宋体" w:hAnsi="宋体" w:eastAsia="宋体"/>
          <w:i/>
          <w:iCs/>
          <w:color w:val="000000"/>
          <w:sz w:val="24"/>
        </w:rPr>
        <w:t xml:space="preserve">Public Administration Review</w:t>
      </w:r>
      <w:r>
        <w:rPr>
          <w:rFonts w:ascii="宋体" w:hAnsi="宋体" w:eastAsia="宋体"/>
          <w:color w:val="000000"/>
          <w:sz w:val="24"/>
        </w:rPr>
        <w:t xml:space="preserve">, 74(2), 191-199.</w:t>
      </w:r>
    </w:p>
    <w:p>
      <w:pPr>
        <w:pStyle w:val="BodyText"/>
        <w:spacing w:line="360" w:lineRule="auto"/>
      </w:pPr>
      <w:r>
        <w:rPr>
          <w:rFonts w:ascii="宋体" w:hAnsi="宋体" w:eastAsia="宋体"/>
          <w:color w:val="000000"/>
          <w:sz w:val="24"/>
        </w:rPr>
        <w:t xml:space="preserve">[124] Susha, I., Zuiderwijk, A., Janssen, M., &amp; Grönlund, Å. (2015). Benchmarking open government: An open data perspective.</w:t>
      </w:r>
      <w:r>
        <w:rPr>
          <w:rFonts w:ascii="宋体" w:hAnsi="宋体" w:eastAsia="宋体"/>
          <w:color w:val="000000"/>
          <w:sz w:val="24"/>
        </w:rPr>
        <w:t xml:space="preserve"> </w:t>
      </w:r>
      <w:r>
        <w:rPr>
          <w:rFonts w:ascii="宋体" w:hAnsi="宋体" w:eastAsia="宋体"/>
          <w:i/>
          <w:iCs/>
          <w:color w:val="000000"/>
          <w:sz w:val="24"/>
        </w:rPr>
        <w:t xml:space="preserve">Government Information Quarterly</w:t>
      </w:r>
      <w:r>
        <w:rPr>
          <w:rFonts w:ascii="宋体" w:hAnsi="宋体" w:eastAsia="宋体"/>
          <w:color w:val="000000"/>
          <w:sz w:val="24"/>
        </w:rPr>
        <w:t xml:space="preserve">, 32(4), 473-483.</w:t>
      </w:r>
    </w:p>
    <w:p>
      <w:pPr>
        <w:pStyle w:val="BodyText"/>
        <w:spacing w:line="360" w:lineRule="auto"/>
      </w:pPr>
      <w:r>
        <w:rPr>
          <w:rFonts w:ascii="宋体" w:hAnsi="宋体" w:eastAsia="宋体"/>
          <w:color w:val="000000"/>
          <w:sz w:val="24"/>
        </w:rPr>
        <w:t xml:space="preserve">[125] Dawes, S. S., &amp; Helbig, N. (2015). Information strategies for open government: Challenges and prospects for deriving public value from government transparency.</w:t>
      </w:r>
      <w:r>
        <w:rPr>
          <w:rFonts w:ascii="宋体" w:hAnsi="宋体" w:eastAsia="宋体"/>
          <w:color w:val="000000"/>
          <w:sz w:val="24"/>
        </w:rPr>
        <w:t xml:space="preserve"> </w:t>
      </w:r>
      <w:r>
        <w:rPr>
          <w:rFonts w:ascii="宋体" w:hAnsi="宋体" w:eastAsia="宋体"/>
          <w:i/>
          <w:iCs/>
          <w:color w:val="000000"/>
          <w:sz w:val="24"/>
        </w:rPr>
        <w:t xml:space="preserve">Proceedings of the 16th Annual International Conference on Digital Government Research</w:t>
      </w:r>
      <w:r>
        <w:rPr>
          <w:rFonts w:ascii="宋体" w:hAnsi="宋体" w:eastAsia="宋体"/>
          <w:color w:val="000000"/>
          <w:sz w:val="24"/>
        </w:rPr>
        <w:t xml:space="preserve">, 1-10.</w:t>
      </w:r>
    </w:p>
    <w:p>
      <w:pPr>
        <w:pStyle w:val="BodyText"/>
        <w:spacing w:line="360" w:lineRule="auto"/>
      </w:pPr>
      <w:r>
        <w:rPr>
          <w:rFonts w:ascii="宋体" w:hAnsi="宋体" w:eastAsia="宋体"/>
          <w:color w:val="000000"/>
          <w:sz w:val="24"/>
        </w:rPr>
        <w:t xml:space="preserve">[126] Huijboom, N., &amp; Van den Broek, T. (2011). Open data: An international comparison of strategies.</w:t>
      </w:r>
      <w:r>
        <w:rPr>
          <w:rFonts w:ascii="宋体" w:hAnsi="宋体" w:eastAsia="宋体"/>
          <w:color w:val="000000"/>
          <w:sz w:val="24"/>
        </w:rPr>
        <w:t xml:space="preserve"> </w:t>
      </w:r>
      <w:r>
        <w:rPr>
          <w:rFonts w:ascii="宋体" w:hAnsi="宋体" w:eastAsia="宋体"/>
          <w:i/>
          <w:iCs/>
          <w:color w:val="000000"/>
          <w:sz w:val="24"/>
        </w:rPr>
        <w:t xml:space="preserve">European Journal of ePractice</w:t>
      </w:r>
      <w:r>
        <w:rPr>
          <w:rFonts w:ascii="宋体" w:hAnsi="宋体" w:eastAsia="宋体"/>
          <w:color w:val="000000"/>
          <w:sz w:val="24"/>
        </w:rPr>
        <w:t xml:space="preserve">, 12(1), 1-13.</w:t>
      </w:r>
    </w:p>
    <w:p>
      <w:pPr>
        <w:pStyle w:val="BodyText"/>
        <w:spacing w:line="360" w:lineRule="auto"/>
      </w:pPr>
      <w:r>
        <w:rPr>
          <w:rFonts w:ascii="宋体" w:hAnsi="宋体" w:eastAsia="宋体"/>
          <w:color w:val="000000"/>
          <w:sz w:val="24"/>
        </w:rPr>
        <w:t xml:space="preserve">[127] Janssen, K. (2011). The influence of the PSI directive on open government data: An overview of recent developments.</w:t>
      </w:r>
      <w:r>
        <w:rPr>
          <w:rFonts w:ascii="宋体" w:hAnsi="宋体" w:eastAsia="宋体"/>
          <w:color w:val="000000"/>
          <w:sz w:val="24"/>
        </w:rPr>
        <w:t xml:space="preserve"> </w:t>
      </w:r>
      <w:r>
        <w:rPr>
          <w:rFonts w:ascii="宋体" w:hAnsi="宋体" w:eastAsia="宋体"/>
          <w:i/>
          <w:iCs/>
          <w:color w:val="000000"/>
          <w:sz w:val="24"/>
        </w:rPr>
        <w:t xml:space="preserve">Government Information Quarterly</w:t>
      </w:r>
      <w:r>
        <w:rPr>
          <w:rFonts w:ascii="宋体" w:hAnsi="宋体" w:eastAsia="宋体"/>
          <w:color w:val="000000"/>
          <w:sz w:val="24"/>
        </w:rPr>
        <w:t xml:space="preserve">, 28(4), 446-456.</w:t>
      </w:r>
    </w:p>
    <w:p>
      <w:pPr>
        <w:pStyle w:val="BodyText"/>
        <w:spacing w:line="360" w:lineRule="auto"/>
      </w:pPr>
      <w:r>
        <w:rPr>
          <w:rFonts w:ascii="宋体" w:hAnsi="宋体" w:eastAsia="宋体"/>
          <w:color w:val="000000"/>
          <w:sz w:val="24"/>
        </w:rPr>
        <w:t xml:space="preserve">[128] Veljković, N., Bogdanović-Dinić, S., &amp; Stoimenov, L. (2014). Benchmarking open government: An open data perspective.</w:t>
      </w:r>
      <w:r>
        <w:rPr>
          <w:rFonts w:ascii="宋体" w:hAnsi="宋体" w:eastAsia="宋体"/>
          <w:color w:val="000000"/>
          <w:sz w:val="24"/>
        </w:rPr>
        <w:t xml:space="preserve"> </w:t>
      </w:r>
      <w:r>
        <w:rPr>
          <w:rFonts w:ascii="宋体" w:hAnsi="宋体" w:eastAsia="宋体"/>
          <w:i/>
          <w:iCs/>
          <w:color w:val="000000"/>
          <w:sz w:val="24"/>
        </w:rPr>
        <w:t xml:space="preserve">Government Information Quarterly</w:t>
      </w:r>
      <w:r>
        <w:rPr>
          <w:rFonts w:ascii="宋体" w:hAnsi="宋体" w:eastAsia="宋体"/>
          <w:color w:val="000000"/>
          <w:sz w:val="24"/>
        </w:rPr>
        <w:t xml:space="preserve">, 31(2), 278-290.</w:t>
      </w:r>
    </w:p>
    <w:p>
      <w:pPr>
        <w:pStyle w:val="BodyText"/>
        <w:spacing w:line="360" w:lineRule="auto"/>
      </w:pPr>
      <w:r>
        <w:rPr>
          <w:rFonts w:ascii="宋体" w:hAnsi="宋体" w:eastAsia="宋体"/>
          <w:color w:val="000000"/>
          <w:sz w:val="24"/>
        </w:rPr>
        <w:t xml:space="preserve">[129] Attard, J., Orlandi, F., Scerri, S., &amp; Auer, S. (2015). A systematic review of open government data initiatives.</w:t>
      </w:r>
      <w:r>
        <w:rPr>
          <w:rFonts w:ascii="宋体" w:hAnsi="宋体" w:eastAsia="宋体"/>
          <w:color w:val="000000"/>
          <w:sz w:val="24"/>
        </w:rPr>
        <w:t xml:space="preserve"> </w:t>
      </w:r>
      <w:r>
        <w:rPr>
          <w:rFonts w:ascii="宋体" w:hAnsi="宋体" w:eastAsia="宋体"/>
          <w:i/>
          <w:iCs/>
          <w:color w:val="000000"/>
          <w:sz w:val="24"/>
        </w:rPr>
        <w:t xml:space="preserve">Government Information Quarterly</w:t>
      </w:r>
      <w:r>
        <w:rPr>
          <w:rFonts w:ascii="宋体" w:hAnsi="宋体" w:eastAsia="宋体"/>
          <w:color w:val="000000"/>
          <w:sz w:val="24"/>
        </w:rPr>
        <w:t xml:space="preserve">, 32(4), 399-418.</w:t>
      </w:r>
    </w:p>
    <w:p>
      <w:pPr>
        <w:pStyle w:val="BodyText"/>
        <w:spacing w:line="360" w:lineRule="auto"/>
      </w:pPr>
      <w:r>
        <w:rPr>
          <w:rFonts w:ascii="宋体" w:hAnsi="宋体" w:eastAsia="宋体"/>
          <w:color w:val="000000"/>
          <w:sz w:val="24"/>
        </w:rPr>
        <w:t xml:space="preserve">[130] Wirtz, B. W., &amp; Birkmeyer, S. (2015). Open government: Origin, development, and conceptual perspectives.</w:t>
      </w:r>
      <w:r>
        <w:rPr>
          <w:rFonts w:ascii="宋体" w:hAnsi="宋体" w:eastAsia="宋体"/>
          <w:color w:val="000000"/>
          <w:sz w:val="24"/>
        </w:rPr>
        <w:t xml:space="preserve"> </w:t>
      </w:r>
      <w:r>
        <w:rPr>
          <w:rFonts w:ascii="宋体" w:hAnsi="宋体" w:eastAsia="宋体"/>
          <w:i/>
          <w:iCs/>
          <w:color w:val="000000"/>
          <w:sz w:val="24"/>
        </w:rPr>
        <w:t xml:space="preserve">International Journal of Public Administration</w:t>
      </w:r>
      <w:r>
        <w:rPr>
          <w:rFonts w:ascii="宋体" w:hAnsi="宋体" w:eastAsia="宋体"/>
          <w:color w:val="000000"/>
          <w:sz w:val="24"/>
        </w:rPr>
        <w:t xml:space="preserve">, 38(5), 381-396.</w:t>
      </w:r>
    </w:p>
    <w:p>
      <w:pPr>
        <w:pStyle w:val="BodyText"/>
        <w:spacing w:line="360" w:lineRule="auto"/>
      </w:pPr>
      <w:r>
        <w:rPr>
          <w:rFonts w:ascii="宋体" w:hAnsi="宋体" w:eastAsia="宋体"/>
          <w:color w:val="000000"/>
          <w:sz w:val="24"/>
        </w:rPr>
        <w:t xml:space="preserve">[131] Conradie, P., &amp; Choenni, S. (2014). On the barriers for local government releasing open data.</w:t>
      </w:r>
      <w:r>
        <w:rPr>
          <w:rFonts w:ascii="宋体" w:hAnsi="宋体" w:eastAsia="宋体"/>
          <w:color w:val="000000"/>
          <w:sz w:val="24"/>
        </w:rPr>
        <w:t xml:space="preserve"> </w:t>
      </w:r>
      <w:r>
        <w:rPr>
          <w:rFonts w:ascii="宋体" w:hAnsi="宋体" w:eastAsia="宋体"/>
          <w:i/>
          <w:iCs/>
          <w:color w:val="000000"/>
          <w:sz w:val="24"/>
        </w:rPr>
        <w:t xml:space="preserve">Government Information Quarterly</w:t>
      </w:r>
      <w:r>
        <w:rPr>
          <w:rFonts w:ascii="宋体" w:hAnsi="宋体" w:eastAsia="宋体"/>
          <w:color w:val="000000"/>
          <w:sz w:val="24"/>
        </w:rPr>
        <w:t xml:space="preserve">, 31(Suppl 1), S10-S17.</w:t>
      </w:r>
    </w:p>
    <w:p>
      <w:pPr>
        <w:pStyle w:val="BodyText"/>
        <w:spacing w:line="360" w:lineRule="auto"/>
      </w:pPr>
      <w:r>
        <w:rPr>
          <w:rFonts w:ascii="宋体" w:hAnsi="宋体" w:eastAsia="宋体"/>
          <w:color w:val="000000"/>
          <w:sz w:val="24"/>
        </w:rPr>
        <w:t xml:space="preserve">[132] Zuiderwijk, A., Janssen, M., &amp; Davis, C. (2014). Innovation with open data: Essential elements of open data ecosystems.</w:t>
      </w:r>
      <w:r>
        <w:rPr>
          <w:rFonts w:ascii="宋体" w:hAnsi="宋体" w:eastAsia="宋体"/>
          <w:color w:val="000000"/>
          <w:sz w:val="24"/>
        </w:rPr>
        <w:t xml:space="preserve"> </w:t>
      </w:r>
      <w:r>
        <w:rPr>
          <w:rFonts w:ascii="宋体" w:hAnsi="宋体" w:eastAsia="宋体"/>
          <w:i/>
          <w:iCs/>
          <w:color w:val="000000"/>
          <w:sz w:val="24"/>
        </w:rPr>
        <w:t xml:space="preserve">Information Polity</w:t>
      </w:r>
      <w:r>
        <w:rPr>
          <w:rFonts w:ascii="宋体" w:hAnsi="宋体" w:eastAsia="宋体"/>
          <w:color w:val="000000"/>
          <w:sz w:val="24"/>
        </w:rPr>
        <w:t xml:space="preserve">, 19(1-2), 17-33.</w:t>
      </w:r>
    </w:p>
    <w:p>
      <w:pPr>
        <w:pStyle w:val="BodyText"/>
        <w:spacing w:line="360" w:lineRule="auto"/>
      </w:pPr>
      <w:r>
        <w:rPr>
          <w:rFonts w:ascii="宋体" w:hAnsi="宋体" w:eastAsia="宋体"/>
          <w:color w:val="000000"/>
          <w:sz w:val="24"/>
        </w:rPr>
        <w:t xml:space="preserve">[133] Charalabidis, Y., Zuiderwijk, A., Alexopoulos, C., Janssen, M., Lampoltshammer, T., &amp; Ferro, E. (2018). The multiple life cycles of open data creation and use.</w:t>
      </w:r>
      <w:r>
        <w:rPr>
          <w:rFonts w:ascii="宋体" w:hAnsi="宋体" w:eastAsia="宋体"/>
          <w:color w:val="000000"/>
          <w:sz w:val="24"/>
        </w:rPr>
        <w:t xml:space="preserve"> </w:t>
      </w:r>
      <w:r>
        <w:rPr>
          <w:rFonts w:ascii="宋体" w:hAnsi="宋体" w:eastAsia="宋体"/>
          <w:i/>
          <w:iCs/>
          <w:color w:val="000000"/>
          <w:sz w:val="24"/>
        </w:rPr>
        <w:t xml:space="preserve">Computer</w:t>
      </w:r>
      <w:r>
        <w:rPr>
          <w:rFonts w:ascii="宋体" w:hAnsi="宋体" w:eastAsia="宋体"/>
          <w:color w:val="000000"/>
          <w:sz w:val="24"/>
        </w:rPr>
        <w:t xml:space="preserve">, 51(2), 78-81.</w:t>
      </w:r>
    </w:p>
    <w:p>
      <w:pPr>
        <w:pStyle w:val="BodyText"/>
        <w:spacing w:line="360" w:lineRule="auto"/>
      </w:pPr>
      <w:r>
        <w:rPr>
          <w:rFonts w:ascii="宋体" w:hAnsi="宋体" w:eastAsia="宋体"/>
          <w:color w:val="000000"/>
          <w:sz w:val="24"/>
        </w:rPr>
        <w:t xml:space="preserve">[134] Alexopoulos, C., Zuiderwijk, A., Charalabidis, Y., Loukis, E., &amp; Janssen, M. (2021). How COVID-19 changed the open data landscape: Evidence from the Open Data ecosystem.</w:t>
      </w:r>
      <w:r>
        <w:rPr>
          <w:rFonts w:ascii="宋体" w:hAnsi="宋体" w:eastAsia="宋体"/>
          <w:color w:val="000000"/>
          <w:sz w:val="24"/>
        </w:rPr>
        <w:t xml:space="preserve"> </w:t>
      </w:r>
      <w:r>
        <w:rPr>
          <w:rFonts w:ascii="宋体" w:hAnsi="宋体" w:eastAsia="宋体"/>
          <w:i/>
          <w:iCs/>
          <w:color w:val="000000"/>
          <w:sz w:val="24"/>
        </w:rPr>
        <w:t xml:space="preserve">Government Information Quarterly</w:t>
      </w:r>
      <w:r>
        <w:rPr>
          <w:rFonts w:ascii="宋体" w:hAnsi="宋体" w:eastAsia="宋体"/>
          <w:color w:val="000000"/>
          <w:sz w:val="24"/>
        </w:rPr>
        <w:t xml:space="preserve">, 38(1), 101-115.</w:t>
      </w:r>
    </w:p>
    <w:p>
      <w:pPr>
        <w:pStyle w:val="BodyText"/>
        <w:spacing w:line="360" w:lineRule="auto"/>
      </w:pPr>
      <w:r>
        <w:rPr>
          <w:rFonts w:ascii="宋体" w:hAnsi="宋体" w:eastAsia="宋体"/>
          <w:color w:val="000000"/>
          <w:sz w:val="24"/>
        </w:rPr>
        <w:t xml:space="preserve">[135] Ranerup, A., &amp; Henriksson, A. (2021). Value creation through open data: A systematic literature review.</w:t>
      </w:r>
      <w:r>
        <w:rPr>
          <w:rFonts w:ascii="宋体" w:hAnsi="宋体" w:eastAsia="宋体"/>
          <w:color w:val="000000"/>
          <w:sz w:val="24"/>
        </w:rPr>
        <w:t xml:space="preserve"> </w:t>
      </w:r>
      <w:r>
        <w:rPr>
          <w:rFonts w:ascii="宋体" w:hAnsi="宋体" w:eastAsia="宋体"/>
          <w:i/>
          <w:iCs/>
          <w:color w:val="000000"/>
          <w:sz w:val="24"/>
        </w:rPr>
        <w:t xml:space="preserve">Government Information Quarterly</w:t>
      </w:r>
      <w:r>
        <w:rPr>
          <w:rFonts w:ascii="宋体" w:hAnsi="宋体" w:eastAsia="宋体"/>
          <w:color w:val="000000"/>
          <w:sz w:val="24"/>
        </w:rPr>
        <w:t xml:space="preserve">, 38(1), 101-116.</w:t>
      </w:r>
    </w:p>
    <w:p>
      <w:pPr>
        <w:pStyle w:val="BodyText"/>
        <w:spacing w:line="360" w:lineRule="auto"/>
      </w:pPr>
      <w:r>
        <w:rPr>
          <w:rFonts w:ascii="宋体" w:hAnsi="宋体" w:eastAsia="宋体"/>
          <w:color w:val="000000"/>
          <w:sz w:val="24"/>
        </w:rPr>
        <w:t xml:space="preserve">[136] McBride, K., Aavik, G., Kalvet, T., &amp; Krimmer, R. (2019). How does open government data driven co-creation occur?</w:t>
      </w:r>
      <w:r>
        <w:rPr>
          <w:rFonts w:ascii="宋体" w:hAnsi="宋体" w:eastAsia="宋体"/>
          <w:color w:val="000000"/>
          <w:sz w:val="24"/>
        </w:rPr>
        <w:t xml:space="preserve"> </w:t>
      </w:r>
      <w:r>
        <w:rPr>
          <w:rFonts w:ascii="宋体" w:hAnsi="宋体" w:eastAsia="宋体"/>
          <w:i/>
          <w:iCs/>
          <w:color w:val="000000"/>
          <w:sz w:val="24"/>
        </w:rPr>
        <w:t xml:space="preserve">Government Information Quarterly</w:t>
      </w:r>
      <w:r>
        <w:rPr>
          <w:rFonts w:ascii="宋体" w:hAnsi="宋体" w:eastAsia="宋体"/>
          <w:color w:val="000000"/>
          <w:sz w:val="24"/>
        </w:rPr>
        <w:t xml:space="preserve">, 36(4), 101-112.</w:t>
      </w:r>
    </w:p>
    <w:p>
      <w:pPr>
        <w:pStyle w:val="BodyText"/>
        <w:spacing w:line="360" w:lineRule="auto"/>
      </w:pPr>
      <w:r>
        <w:rPr>
          <w:rFonts w:ascii="宋体" w:hAnsi="宋体" w:eastAsia="宋体"/>
          <w:color w:val="000000"/>
          <w:sz w:val="24"/>
        </w:rPr>
        <w:t xml:space="preserve">[137] Jetzek, T. (2016). Sustainable value creation through open government data.</w:t>
      </w:r>
      <w:r>
        <w:rPr>
          <w:rFonts w:ascii="宋体" w:hAnsi="宋体" w:eastAsia="宋体"/>
          <w:color w:val="000000"/>
          <w:sz w:val="24"/>
        </w:rPr>
        <w:t xml:space="preserve"> </w:t>
      </w:r>
      <w:r>
        <w:rPr>
          <w:rFonts w:ascii="宋体" w:hAnsi="宋体" w:eastAsia="宋体"/>
          <w:i/>
          <w:iCs/>
          <w:color w:val="000000"/>
          <w:sz w:val="24"/>
        </w:rPr>
        <w:t xml:space="preserve">International Journal of Public Sector Management</w:t>
      </w:r>
      <w:r>
        <w:rPr>
          <w:rFonts w:ascii="宋体" w:hAnsi="宋体" w:eastAsia="宋体"/>
          <w:color w:val="000000"/>
          <w:sz w:val="24"/>
        </w:rPr>
        <w:t xml:space="preserve">, 29(7), 689-705.</w:t>
      </w:r>
    </w:p>
    <w:p>
      <w:pPr>
        <w:pStyle w:val="BodyText"/>
        <w:spacing w:line="360" w:lineRule="auto"/>
      </w:pPr>
      <w:r>
        <w:rPr>
          <w:rFonts w:ascii="宋体" w:hAnsi="宋体" w:eastAsia="宋体"/>
          <w:color w:val="000000"/>
          <w:sz w:val="24"/>
        </w:rPr>
        <w:t xml:space="preserve">[138] Clarke, A., &amp; Margetts, H. (2014). Governments and citizens getting to know each other? Open, closed, and big data in public management reform.</w:t>
      </w:r>
      <w:r>
        <w:rPr>
          <w:rFonts w:ascii="宋体" w:hAnsi="宋体" w:eastAsia="宋体"/>
          <w:color w:val="000000"/>
          <w:sz w:val="24"/>
        </w:rPr>
        <w:t xml:space="preserve"> </w:t>
      </w:r>
      <w:r>
        <w:rPr>
          <w:rFonts w:ascii="宋体" w:hAnsi="宋体" w:eastAsia="宋体"/>
          <w:i/>
          <w:iCs/>
          <w:color w:val="000000"/>
          <w:sz w:val="24"/>
        </w:rPr>
        <w:t xml:space="preserve">Policy &amp; Internet</w:t>
      </w:r>
      <w:r>
        <w:rPr>
          <w:rFonts w:ascii="宋体" w:hAnsi="宋体" w:eastAsia="宋体"/>
          <w:color w:val="000000"/>
          <w:sz w:val="24"/>
        </w:rPr>
        <w:t xml:space="preserve">, 6(4), 393-406.</w:t>
      </w:r>
    </w:p>
    <w:p>
      <w:pPr>
        <w:pStyle w:val="BodyText"/>
        <w:spacing w:line="360" w:lineRule="auto"/>
      </w:pPr>
      <w:r>
        <w:rPr>
          <w:rFonts w:ascii="宋体" w:hAnsi="宋体" w:eastAsia="宋体"/>
          <w:color w:val="000000"/>
          <w:sz w:val="24"/>
        </w:rPr>
        <w:t xml:space="preserve">[139] Larsson, A. O. (2015). Open data: A study on how Swedish government agencies interpret the concept.</w:t>
      </w:r>
      <w:r>
        <w:rPr>
          <w:rFonts w:ascii="宋体" w:hAnsi="宋体" w:eastAsia="宋体"/>
          <w:color w:val="000000"/>
          <w:sz w:val="24"/>
        </w:rPr>
        <w:t xml:space="preserve"> </w:t>
      </w:r>
      <w:r>
        <w:rPr>
          <w:rFonts w:ascii="宋体" w:hAnsi="宋体" w:eastAsia="宋体"/>
          <w:i/>
          <w:iCs/>
          <w:color w:val="000000"/>
          <w:sz w:val="24"/>
        </w:rPr>
        <w:t xml:space="preserve">Journal of Information Science</w:t>
      </w:r>
      <w:r>
        <w:rPr>
          <w:rFonts w:ascii="宋体" w:hAnsi="宋体" w:eastAsia="宋体"/>
          <w:color w:val="000000"/>
          <w:sz w:val="24"/>
        </w:rPr>
        <w:t xml:space="preserve">, 41(6), 777-785.</w:t>
      </w:r>
    </w:p>
    <w:p>
      <w:pPr>
        <w:pStyle w:val="BodyText"/>
        <w:spacing w:line="360" w:lineRule="auto"/>
      </w:pPr>
      <w:r>
        <w:rPr>
          <w:rFonts w:ascii="宋体" w:hAnsi="宋体" w:eastAsia="宋体"/>
          <w:color w:val="000000"/>
          <w:sz w:val="24"/>
        </w:rPr>
        <w:t xml:space="preserve">[140] Grimmelikhuijsen, S. G., &amp; Feeney, M. K. (2017). Developing and testing an integrative framework for open government adoption.</w:t>
      </w:r>
      <w:r>
        <w:rPr>
          <w:rFonts w:ascii="宋体" w:hAnsi="宋体" w:eastAsia="宋体"/>
          <w:color w:val="000000"/>
          <w:sz w:val="24"/>
        </w:rPr>
        <w:t xml:space="preserve"> </w:t>
      </w:r>
      <w:r>
        <w:rPr>
          <w:rFonts w:ascii="宋体" w:hAnsi="宋体" w:eastAsia="宋体"/>
          <w:i/>
          <w:iCs/>
          <w:color w:val="000000"/>
          <w:sz w:val="24"/>
        </w:rPr>
        <w:t xml:space="preserve">Public Administration Review</w:t>
      </w:r>
      <w:r>
        <w:rPr>
          <w:rFonts w:ascii="宋体" w:hAnsi="宋体" w:eastAsia="宋体"/>
          <w:color w:val="000000"/>
          <w:sz w:val="24"/>
        </w:rPr>
        <w:t xml:space="preserve">, 77(4), 579-590.</w:t>
      </w:r>
    </w:p>
    <w:p>
      <w:pPr>
        <w:pStyle w:val="BodyText"/>
        <w:spacing w:line="360" w:lineRule="auto"/>
      </w:pPr>
      <w:r>
        <w:rPr>
          <w:rFonts w:ascii="宋体" w:hAnsi="宋体" w:eastAsia="宋体"/>
          <w:color w:val="000000"/>
          <w:sz w:val="24"/>
        </w:rPr>
        <w:t xml:space="preserve">[141] Yang, T. M., &amp; Wu, Y. J. (2016). Exploring the determinants of cross-boundary data sharing in the public sector: An e-government case study in Taiwan.</w:t>
      </w:r>
      <w:r>
        <w:rPr>
          <w:rFonts w:ascii="宋体" w:hAnsi="宋体" w:eastAsia="宋体"/>
          <w:color w:val="000000"/>
          <w:sz w:val="24"/>
        </w:rPr>
        <w:t xml:space="preserve"> </w:t>
      </w:r>
      <w:r>
        <w:rPr>
          <w:rFonts w:ascii="宋体" w:hAnsi="宋体" w:eastAsia="宋体"/>
          <w:i/>
          <w:iCs/>
          <w:color w:val="000000"/>
          <w:sz w:val="24"/>
        </w:rPr>
        <w:t xml:space="preserve">Government Information Quarterly</w:t>
      </w:r>
      <w:r>
        <w:rPr>
          <w:rFonts w:ascii="宋体" w:hAnsi="宋体" w:eastAsia="宋体"/>
          <w:color w:val="000000"/>
          <w:sz w:val="24"/>
        </w:rPr>
        <w:t xml:space="preserve">, 33(3), 489-502.</w:t>
      </w:r>
    </w:p>
    <w:p>
      <w:pPr>
        <w:pStyle w:val="BodyText"/>
        <w:spacing w:line="360" w:lineRule="auto"/>
      </w:pPr>
      <w:r>
        <w:rPr>
          <w:rFonts w:ascii="宋体" w:hAnsi="宋体" w:eastAsia="宋体"/>
          <w:color w:val="000000"/>
          <w:sz w:val="24"/>
        </w:rPr>
        <w:t xml:space="preserve">[142] Parycek, P., Sachs, M., &amp; Sedy, F. (2014). Open government data implementation evaluation.</w:t>
      </w:r>
      <w:r>
        <w:rPr>
          <w:rFonts w:ascii="宋体" w:hAnsi="宋体" w:eastAsia="宋体"/>
          <w:color w:val="000000"/>
          <w:sz w:val="24"/>
        </w:rPr>
        <w:t xml:space="preserve"> </w:t>
      </w:r>
      <w:r>
        <w:rPr>
          <w:rFonts w:ascii="宋体" w:hAnsi="宋体" w:eastAsia="宋体"/>
          <w:i/>
          <w:iCs/>
          <w:color w:val="000000"/>
          <w:sz w:val="24"/>
        </w:rPr>
        <w:t xml:space="preserve">Journal of theoretical and applied electronic commerce research</w:t>
      </w:r>
      <w:r>
        <w:rPr>
          <w:rFonts w:ascii="宋体" w:hAnsi="宋体" w:eastAsia="宋体"/>
          <w:color w:val="000000"/>
          <w:sz w:val="24"/>
        </w:rPr>
        <w:t xml:space="preserve">, 9(2), 121-135.</w:t>
      </w:r>
    </w:p>
    <w:p>
      <w:pPr>
        <w:pStyle w:val="BodyText"/>
        <w:spacing w:line="360" w:lineRule="auto"/>
      </w:pPr>
      <w:r>
        <w:rPr>
          <w:rFonts w:ascii="宋体" w:hAnsi="宋体" w:eastAsia="宋体"/>
          <w:color w:val="000000"/>
          <w:sz w:val="24"/>
        </w:rPr>
        <w:t xml:space="preserve">[143] Kassen, M. (2013). A promising phenomenon of open data: A case study of the Chicago open data project.</w:t>
      </w:r>
      <w:r>
        <w:rPr>
          <w:rFonts w:ascii="宋体" w:hAnsi="宋体" w:eastAsia="宋体"/>
          <w:color w:val="000000"/>
          <w:sz w:val="24"/>
        </w:rPr>
        <w:t xml:space="preserve"> </w:t>
      </w:r>
      <w:r>
        <w:rPr>
          <w:rFonts w:ascii="宋体" w:hAnsi="宋体" w:eastAsia="宋体"/>
          <w:i/>
          <w:iCs/>
          <w:color w:val="000000"/>
          <w:sz w:val="24"/>
        </w:rPr>
        <w:t xml:space="preserve">Government Information Quarterly</w:t>
      </w:r>
      <w:r>
        <w:rPr>
          <w:rFonts w:ascii="宋体" w:hAnsi="宋体" w:eastAsia="宋体"/>
          <w:color w:val="000000"/>
          <w:sz w:val="24"/>
        </w:rPr>
        <w:t xml:space="preserve">, 30(4), 508-513.</w:t>
      </w:r>
    </w:p>
    <w:p>
      <w:pPr>
        <w:pStyle w:val="BodyText"/>
        <w:spacing w:line="360" w:lineRule="auto"/>
      </w:pPr>
      <w:r>
        <w:rPr>
          <w:rFonts w:ascii="宋体" w:hAnsi="宋体" w:eastAsia="宋体"/>
          <w:color w:val="000000"/>
          <w:sz w:val="24"/>
        </w:rPr>
        <w:t xml:space="preserve">[144] Robinson, D. G., Yu, H., Zellman, A., &amp; Felipe, V. (2009).</w:t>
      </w:r>
      <w:r>
        <w:rPr>
          <w:rFonts w:ascii="宋体" w:hAnsi="宋体" w:eastAsia="宋体"/>
          <w:color w:val="000000"/>
          <w:sz w:val="24"/>
        </w:rPr>
        <w:t xml:space="preserve"> </w:t>
      </w:r>
      <w:r>
        <w:rPr>
          <w:rFonts w:ascii="宋体" w:hAnsi="宋体" w:eastAsia="宋体"/>
          <w:i/>
          <w:iCs/>
          <w:color w:val="000000"/>
          <w:sz w:val="24"/>
        </w:rPr>
        <w:t xml:space="preserve">Government data and the invisible hand</w:t>
      </w:r>
      <w:r>
        <w:rPr>
          <w:rFonts w:ascii="宋体" w:hAnsi="宋体" w:eastAsia="宋体"/>
          <w:color w:val="000000"/>
          <w:sz w:val="24"/>
        </w:rPr>
        <w:t xml:space="preserve">. Yale Journal of Law and Technology, 11, 160-175.</w:t>
      </w:r>
    </w:p>
    <w:p>
      <w:pPr>
        <w:pStyle w:val="BodyText"/>
        <w:spacing w:line="360" w:lineRule="auto"/>
      </w:pPr>
      <w:r>
        <w:rPr>
          <w:rFonts w:ascii="宋体" w:hAnsi="宋体" w:eastAsia="宋体"/>
          <w:color w:val="000000"/>
          <w:sz w:val="24"/>
        </w:rPr>
        <w:t xml:space="preserve">[145] Shadbolt, N., O’Hara, K., Berners-Lee, T., Gibbins, N., Glaser, H., Hall, W., &amp; schraefel, m. c. (2012). Linked open government data: Lessons from data.gov.uk.</w:t>
      </w:r>
      <w:r>
        <w:rPr>
          <w:rFonts w:ascii="宋体" w:hAnsi="宋体" w:eastAsia="宋体"/>
          <w:color w:val="000000"/>
          <w:sz w:val="24"/>
        </w:rPr>
        <w:t xml:space="preserve"> </w:t>
      </w:r>
      <w:r>
        <w:rPr>
          <w:rFonts w:ascii="宋体" w:hAnsi="宋体" w:eastAsia="宋体"/>
          <w:i/>
          <w:iCs/>
          <w:color w:val="000000"/>
          <w:sz w:val="24"/>
        </w:rPr>
        <w:t xml:space="preserve">IEEE Intelligent Systems</w:t>
      </w:r>
      <w:r>
        <w:rPr>
          <w:rFonts w:ascii="宋体" w:hAnsi="宋体" w:eastAsia="宋体"/>
          <w:color w:val="000000"/>
          <w:sz w:val="24"/>
        </w:rPr>
        <w:t xml:space="preserve">, 27(3), 16-24.</w:t>
      </w:r>
    </w:p>
    <w:p>
      <w:pPr>
        <w:pStyle w:val="BodyText"/>
        <w:spacing w:line="360" w:lineRule="auto"/>
      </w:pPr>
      <w:r>
        <w:rPr>
          <w:rFonts w:ascii="宋体" w:hAnsi="宋体" w:eastAsia="宋体"/>
          <w:color w:val="000000"/>
          <w:sz w:val="24"/>
        </w:rPr>
        <w:t xml:space="preserve">[146] Bertot, J. C., McClure, C. R., &amp; Owens, K. A. (2010).</w:t>
      </w:r>
      <w:r>
        <w:rPr>
          <w:rFonts w:ascii="宋体" w:hAnsi="宋体" w:eastAsia="宋体"/>
          <w:color w:val="000000"/>
          <w:sz w:val="24"/>
        </w:rPr>
        <w:t xml:space="preserve"> </w:t>
      </w:r>
      <w:r>
        <w:rPr>
          <w:rFonts w:ascii="宋体" w:hAnsi="宋体" w:eastAsia="宋体"/>
          <w:i/>
          <w:iCs/>
          <w:color w:val="000000"/>
          <w:sz w:val="24"/>
        </w:rPr>
        <w:t xml:space="preserve">Annual report: The state of federal information technology resources management</w:t>
      </w:r>
      <w:r>
        <w:rPr>
          <w:rFonts w:ascii="宋体" w:hAnsi="宋体" w:eastAsia="宋体"/>
          <w:color w:val="000000"/>
          <w:sz w:val="24"/>
        </w:rPr>
        <w:t xml:space="preserve">. Washington, DC: National Commission on Libraries and Information Science.</w:t>
      </w:r>
    </w:p>
    <w:p>
      <w:pPr>
        <w:pStyle w:val="BodyText"/>
        <w:spacing w:line="360" w:lineRule="auto"/>
      </w:pPr>
      <w:r>
        <w:rPr>
          <w:rFonts w:ascii="宋体" w:hAnsi="宋体" w:eastAsia="宋体"/>
          <w:color w:val="000000"/>
          <w:sz w:val="24"/>
        </w:rPr>
        <w:t xml:space="preserve">[147] Sayogo, D. S., &amp; Pardo, T. A. (2013). Exploring the determinants of scientific data sharing: Understanding the motivation to publish research data.</w:t>
      </w:r>
      <w:r>
        <w:rPr>
          <w:rFonts w:ascii="宋体" w:hAnsi="宋体" w:eastAsia="宋体"/>
          <w:color w:val="000000"/>
          <w:sz w:val="24"/>
        </w:rPr>
        <w:t xml:space="preserve"> </w:t>
      </w:r>
      <w:r>
        <w:rPr>
          <w:rFonts w:ascii="宋体" w:hAnsi="宋体" w:eastAsia="宋体"/>
          <w:i/>
          <w:iCs/>
          <w:color w:val="000000"/>
          <w:sz w:val="24"/>
        </w:rPr>
        <w:t xml:space="preserve">Government Information Quarterly</w:t>
      </w:r>
      <w:r>
        <w:rPr>
          <w:rFonts w:ascii="宋体" w:hAnsi="宋体" w:eastAsia="宋体"/>
          <w:color w:val="000000"/>
          <w:sz w:val="24"/>
        </w:rPr>
        <w:t xml:space="preserve">, 30(Suppl 1), S19-S31.</w:t>
      </w:r>
    </w:p>
    <w:p>
      <w:pPr>
        <w:pStyle w:val="BodyText"/>
        <w:spacing w:line="360" w:lineRule="auto"/>
      </w:pPr>
      <w:r>
        <w:rPr>
          <w:rFonts w:ascii="宋体" w:hAnsi="宋体" w:eastAsia="宋体"/>
          <w:color w:val="000000"/>
          <w:sz w:val="24"/>
        </w:rPr>
        <w:t xml:space="preserve">[148] Kucera, J., Chlapek, D., &amp; Klímek, J. (2013). Benefits and risks of open government data.</w:t>
      </w:r>
      <w:r>
        <w:rPr>
          <w:rFonts w:ascii="宋体" w:hAnsi="宋体" w:eastAsia="宋体"/>
          <w:color w:val="000000"/>
          <w:sz w:val="24"/>
        </w:rPr>
        <w:t xml:space="preserve"> </w:t>
      </w:r>
      <w:r>
        <w:rPr>
          <w:rFonts w:ascii="宋体" w:hAnsi="宋体" w:eastAsia="宋体"/>
          <w:i/>
          <w:iCs/>
          <w:color w:val="000000"/>
          <w:sz w:val="24"/>
        </w:rPr>
        <w:t xml:space="preserve">Journal of Systems Integration</w:t>
      </w:r>
      <w:r>
        <w:rPr>
          <w:rFonts w:ascii="宋体" w:hAnsi="宋体" w:eastAsia="宋体"/>
          <w:color w:val="000000"/>
          <w:sz w:val="24"/>
        </w:rPr>
        <w:t xml:space="preserve">, 4(1), 30-41.</w:t>
      </w:r>
    </w:p>
    <w:p>
      <w:pPr>
        <w:pStyle w:val="BodyText"/>
        <w:spacing w:line="360" w:lineRule="auto"/>
      </w:pPr>
      <w:r>
        <w:rPr>
          <w:rFonts w:ascii="宋体" w:hAnsi="宋体" w:eastAsia="宋体"/>
          <w:color w:val="000000"/>
          <w:sz w:val="24"/>
        </w:rPr>
        <w:t xml:space="preserve">[149] Linders, D., Liao, S. P., &amp; Wang, C. M. (2012). Proactive e-government: Civic engagement and social media as a feedback loop.</w:t>
      </w:r>
      <w:r>
        <w:rPr>
          <w:rFonts w:ascii="宋体" w:hAnsi="宋体" w:eastAsia="宋体"/>
          <w:color w:val="000000"/>
          <w:sz w:val="24"/>
        </w:rPr>
        <w:t xml:space="preserve"> </w:t>
      </w:r>
      <w:r>
        <w:rPr>
          <w:rFonts w:ascii="宋体" w:hAnsi="宋体" w:eastAsia="宋体"/>
          <w:i/>
          <w:iCs/>
          <w:color w:val="000000"/>
          <w:sz w:val="24"/>
        </w:rPr>
        <w:t xml:space="preserve">Proceedings of the 13th Annual International Conference on Digital Government Research</w:t>
      </w:r>
      <w:r>
        <w:rPr>
          <w:rFonts w:ascii="宋体" w:hAnsi="宋体" w:eastAsia="宋体"/>
          <w:color w:val="000000"/>
          <w:sz w:val="24"/>
        </w:rPr>
        <w:t xml:space="preserve">, 163-171.</w:t>
      </w:r>
    </w:p>
    <w:p>
      <w:pPr>
        <w:pStyle w:val="BodyText"/>
        <w:spacing w:line="360" w:lineRule="auto"/>
      </w:pPr>
      <w:r>
        <w:rPr>
          <w:rFonts w:ascii="宋体" w:hAnsi="宋体" w:eastAsia="宋体"/>
          <w:color w:val="000000"/>
          <w:sz w:val="24"/>
        </w:rPr>
        <w:t xml:space="preserve">[150] Feeney, M. K., &amp; Welch, E. W. (2014).</w:t>
      </w:r>
      <w:r>
        <w:rPr>
          <w:rFonts w:ascii="宋体" w:hAnsi="宋体" w:eastAsia="宋体"/>
          <w:color w:val="000000"/>
          <w:sz w:val="24"/>
        </w:rPr>
        <w:t xml:space="preserve"> </w:t>
      </w:r>
      <w:r>
        <w:rPr>
          <w:rFonts w:ascii="宋体" w:hAnsi="宋体" w:eastAsia="宋体"/>
          <w:i/>
          <w:iCs/>
          <w:color w:val="000000"/>
          <w:sz w:val="24"/>
        </w:rPr>
        <w:t xml:space="preserve">What’s governance got to do with it? Examining the role of state open data portals</w:t>
      </w:r>
      <w:r>
        <w:rPr>
          <w:rFonts w:ascii="宋体" w:hAnsi="宋体" w:eastAsia="宋体"/>
          <w:color w:val="000000"/>
          <w:sz w:val="24"/>
        </w:rPr>
        <w:t xml:space="preserve">. Washington, DC: IBM Center for The Business of Government.</w:t>
      </w:r>
    </w:p>
    <w:p>
      <w:pPr>
        <w:pStyle w:val="BodyText"/>
        <w:spacing w:line="360" w:lineRule="auto"/>
      </w:pPr>
      <w:r>
        <w:rPr>
          <w:rFonts w:ascii="宋体" w:hAnsi="宋体" w:eastAsia="宋体"/>
          <w:color w:val="000000"/>
          <w:sz w:val="24"/>
        </w:rPr>
        <w:t xml:space="preserve">[151] Nam, T. (2012). Suggesting frameworks of citizen-sourcing via Government 2.0.</w:t>
      </w:r>
      <w:r>
        <w:rPr>
          <w:rFonts w:ascii="宋体" w:hAnsi="宋体" w:eastAsia="宋体"/>
          <w:color w:val="000000"/>
          <w:sz w:val="24"/>
        </w:rPr>
        <w:t xml:space="preserve"> </w:t>
      </w:r>
      <w:r>
        <w:rPr>
          <w:rFonts w:ascii="宋体" w:hAnsi="宋体" w:eastAsia="宋体"/>
          <w:i/>
          <w:iCs/>
          <w:color w:val="000000"/>
          <w:sz w:val="24"/>
        </w:rPr>
        <w:t xml:space="preserve">Government Information Quarterly</w:t>
      </w:r>
      <w:r>
        <w:rPr>
          <w:rFonts w:ascii="宋体" w:hAnsi="宋体" w:eastAsia="宋体"/>
          <w:color w:val="000000"/>
          <w:sz w:val="24"/>
        </w:rPr>
        <w:t xml:space="preserve">, 29(1), 12-20.</w:t>
      </w:r>
    </w:p>
    <w:p>
      <w:pPr>
        <w:pStyle w:val="BodyText"/>
        <w:spacing w:line="360" w:lineRule="auto"/>
      </w:pPr>
      <w:r>
        <w:rPr>
          <w:rFonts w:ascii="宋体" w:hAnsi="宋体" w:eastAsia="宋体"/>
          <w:color w:val="000000"/>
          <w:sz w:val="24"/>
        </w:rPr>
        <w:t xml:space="preserve">[152] Helbig, N., Cresswell, A. M., Burke, G. B., &amp; Luna-Reyes, L. F. (2012). The dynamics of opening government data.</w:t>
      </w:r>
      <w:r>
        <w:rPr>
          <w:rFonts w:ascii="宋体" w:hAnsi="宋体" w:eastAsia="宋体"/>
          <w:color w:val="000000"/>
          <w:sz w:val="24"/>
        </w:rPr>
        <w:t xml:space="preserve"> </w:t>
      </w:r>
      <w:r>
        <w:rPr>
          <w:rFonts w:ascii="宋体" w:hAnsi="宋体" w:eastAsia="宋体"/>
          <w:i/>
          <w:iCs/>
          <w:color w:val="000000"/>
          <w:sz w:val="24"/>
        </w:rPr>
        <w:t xml:space="preserve">Center for Technology in Government</w:t>
      </w:r>
      <w:r>
        <w:rPr>
          <w:rFonts w:ascii="宋体" w:hAnsi="宋体" w:eastAsia="宋体"/>
          <w:color w:val="000000"/>
          <w:sz w:val="24"/>
        </w:rPr>
        <w:t xml:space="preserve">, 1-60.</w:t>
      </w:r>
    </w:p>
    <w:p>
      <w:pPr>
        <w:pStyle w:val="BodyText"/>
        <w:spacing w:line="360" w:lineRule="auto"/>
      </w:pPr>
      <w:r>
        <w:rPr>
          <w:rFonts w:ascii="宋体" w:hAnsi="宋体" w:eastAsia="宋体"/>
          <w:color w:val="000000"/>
          <w:sz w:val="24"/>
        </w:rPr>
        <w:t xml:space="preserve">[153] Safarov, I. (2019).</w:t>
      </w:r>
      <w:r>
        <w:rPr>
          <w:rFonts w:ascii="宋体" w:hAnsi="宋体" w:eastAsia="宋体"/>
          <w:color w:val="000000"/>
          <w:sz w:val="24"/>
        </w:rPr>
        <w:t xml:space="preserve"> </w:t>
      </w:r>
      <w:r>
        <w:rPr>
          <w:rFonts w:ascii="宋体" w:hAnsi="宋体" w:eastAsia="宋体"/>
          <w:i/>
          <w:iCs/>
          <w:color w:val="000000"/>
          <w:sz w:val="24"/>
        </w:rPr>
        <w:t xml:space="preserve">Open government data: A comparative study on policy, politics, and performance</w:t>
      </w:r>
      <w:r>
        <w:rPr>
          <w:rFonts w:ascii="宋体" w:hAnsi="宋体" w:eastAsia="宋体"/>
          <w:color w:val="000000"/>
          <w:sz w:val="24"/>
        </w:rPr>
        <w:t xml:space="preserve">. PhD Dissertation, Utrecht University.</w:t>
      </w:r>
    </w:p>
    <w:p>
      <w:pPr>
        <w:pStyle w:val="BodyText"/>
        <w:spacing w:line="360" w:lineRule="auto"/>
      </w:pPr>
      <w:r>
        <w:rPr>
          <w:rFonts w:ascii="宋体" w:hAnsi="宋体" w:eastAsia="宋体"/>
          <w:color w:val="000000"/>
          <w:sz w:val="24"/>
        </w:rPr>
        <w:t xml:space="preserve">[154] Craglia, M. (2018). Artificial intelligence: A strategic perspective.</w:t>
      </w:r>
      <w:r>
        <w:rPr>
          <w:rFonts w:ascii="宋体" w:hAnsi="宋体" w:eastAsia="宋体"/>
          <w:color w:val="000000"/>
          <w:sz w:val="24"/>
        </w:rPr>
        <w:t xml:space="preserve"> </w:t>
      </w:r>
      <w:r>
        <w:rPr>
          <w:rFonts w:ascii="宋体" w:hAnsi="宋体" w:eastAsia="宋体"/>
          <w:i/>
          <w:iCs/>
          <w:color w:val="000000"/>
          <w:sz w:val="24"/>
        </w:rPr>
        <w:t xml:space="preserve">JRC Science for Policy Report</w:t>
      </w:r>
      <w:r>
        <w:rPr>
          <w:rFonts w:ascii="宋体" w:hAnsi="宋体" w:eastAsia="宋体"/>
          <w:color w:val="000000"/>
          <w:sz w:val="24"/>
        </w:rPr>
        <w:t xml:space="preserve">, 1-40.</w:t>
      </w:r>
    </w:p>
    <w:p>
      <w:pPr>
        <w:pStyle w:val="BodyText"/>
        <w:spacing w:line="360" w:lineRule="auto"/>
      </w:pPr>
      <w:r>
        <w:rPr>
          <w:rFonts w:ascii="宋体" w:hAnsi="宋体" w:eastAsia="宋体"/>
          <w:color w:val="000000"/>
          <w:sz w:val="24"/>
        </w:rPr>
        <w:t xml:space="preserve">[155] Young, A., &amp; Verhulst, S. (2016).</w:t>
      </w:r>
      <w:r>
        <w:rPr>
          <w:rFonts w:ascii="宋体" w:hAnsi="宋体" w:eastAsia="宋体"/>
          <w:color w:val="000000"/>
          <w:sz w:val="24"/>
        </w:rPr>
        <w:t xml:space="preserve"> </w:t>
      </w:r>
      <w:r>
        <w:rPr>
          <w:rFonts w:ascii="宋体" w:hAnsi="宋体" w:eastAsia="宋体"/>
          <w:i/>
          <w:iCs/>
          <w:color w:val="000000"/>
          <w:sz w:val="24"/>
        </w:rPr>
        <w:t xml:space="preserve">The global impact of open data: Key findings from detailed case studies around the world</w:t>
      </w:r>
      <w:r>
        <w:rPr>
          <w:rFonts w:ascii="宋体" w:hAnsi="宋体" w:eastAsia="宋体"/>
          <w:color w:val="000000"/>
          <w:sz w:val="24"/>
        </w:rPr>
        <w:t xml:space="preserve">. New York: O’Reilly Media.</w:t>
      </w:r>
    </w:p>
    <w:p>
      <w:pPr>
        <w:pStyle w:val="BodyText"/>
        <w:spacing w:line="360" w:lineRule="auto"/>
      </w:pPr>
      <w:r>
        <w:rPr>
          <w:rFonts w:ascii="宋体" w:hAnsi="宋体" w:eastAsia="宋体"/>
          <w:color w:val="000000"/>
          <w:sz w:val="24"/>
        </w:rPr>
        <w:t xml:space="preserve">[156] McBride, K., Aavik, G., Kalvet, T., &amp; Krimmer, R. (2019). Co-creation in open data: Exploring the role of government.</w:t>
      </w:r>
      <w:r>
        <w:rPr>
          <w:rFonts w:ascii="宋体" w:hAnsi="宋体" w:eastAsia="宋体"/>
          <w:color w:val="000000"/>
          <w:sz w:val="24"/>
        </w:rPr>
        <w:t xml:space="preserve"> </w:t>
      </w:r>
      <w:r>
        <w:rPr>
          <w:rFonts w:ascii="宋体" w:hAnsi="宋体" w:eastAsia="宋体"/>
          <w:i/>
          <w:iCs/>
          <w:color w:val="000000"/>
          <w:sz w:val="24"/>
        </w:rPr>
        <w:t xml:space="preserve">Proceedings of the 20th Annual International Conference on Digital Government Research</w:t>
      </w:r>
      <w:r>
        <w:rPr>
          <w:rFonts w:ascii="宋体" w:hAnsi="宋体" w:eastAsia="宋体"/>
          <w:color w:val="000000"/>
          <w:sz w:val="24"/>
        </w:rPr>
        <w:t xml:space="preserve">, 1-10.</w:t>
      </w:r>
    </w:p>
    <w:p>
      <w:pPr>
        <w:pStyle w:val="BodyText"/>
        <w:spacing w:line="360" w:lineRule="auto"/>
      </w:pPr>
      <w:r>
        <w:rPr>
          <w:rFonts w:ascii="宋体" w:hAnsi="宋体" w:eastAsia="宋体"/>
          <w:color w:val="000000"/>
          <w:sz w:val="24"/>
        </w:rPr>
        <w:t xml:space="preserve">[157] Foulonneau, M., Turki, S., Ihadjadene, M., &amp; Martin, S. (2014). Open data in government: How to publish open data.</w:t>
      </w:r>
      <w:r>
        <w:rPr>
          <w:rFonts w:ascii="宋体" w:hAnsi="宋体" w:eastAsia="宋体"/>
          <w:color w:val="000000"/>
          <w:sz w:val="24"/>
        </w:rPr>
        <w:t xml:space="preserve"> </w:t>
      </w:r>
      <w:r>
        <w:rPr>
          <w:rFonts w:ascii="宋体" w:hAnsi="宋体" w:eastAsia="宋体"/>
          <w:i/>
          <w:iCs/>
          <w:color w:val="000000"/>
          <w:sz w:val="24"/>
        </w:rPr>
        <w:t xml:space="preserve">CEFRIO Research Report</w:t>
      </w:r>
      <w:r>
        <w:rPr>
          <w:rFonts w:ascii="宋体" w:hAnsi="宋体" w:eastAsia="宋体"/>
          <w:color w:val="000000"/>
          <w:sz w:val="24"/>
        </w:rPr>
        <w:t xml:space="preserve">, 1-80.</w:t>
      </w:r>
    </w:p>
    <w:p>
      <w:pPr>
        <w:pStyle w:val="BodyText"/>
        <w:spacing w:line="360" w:lineRule="auto"/>
      </w:pPr>
      <w:r>
        <w:rPr>
          <w:rFonts w:ascii="宋体" w:hAnsi="宋体" w:eastAsia="宋体"/>
          <w:color w:val="000000"/>
          <w:sz w:val="24"/>
        </w:rPr>
        <w:t xml:space="preserve">[158] Susha, I., &amp; Grönlund, Å. (2014). Context clues in the open government data puzzle: A cognitive frame approach.</w:t>
      </w:r>
      <w:r>
        <w:rPr>
          <w:rFonts w:ascii="宋体" w:hAnsi="宋体" w:eastAsia="宋体"/>
          <w:color w:val="000000"/>
          <w:sz w:val="24"/>
        </w:rPr>
        <w:t xml:space="preserve"> </w:t>
      </w:r>
      <w:r>
        <w:rPr>
          <w:rFonts w:ascii="宋体" w:hAnsi="宋体" w:eastAsia="宋体"/>
          <w:i/>
          <w:iCs/>
          <w:color w:val="000000"/>
          <w:sz w:val="24"/>
        </w:rPr>
        <w:t xml:space="preserve">Proceedings of the 15th Annual International Conference on Digital Government Research</w:t>
      </w:r>
      <w:r>
        <w:rPr>
          <w:rFonts w:ascii="宋体" w:hAnsi="宋体" w:eastAsia="宋体"/>
          <w:color w:val="000000"/>
          <w:sz w:val="24"/>
        </w:rPr>
        <w:t xml:space="preserve">, 1-9.</w:t>
      </w:r>
    </w:p>
    <w:p>
      <w:pPr>
        <w:pStyle w:val="BodyText"/>
        <w:spacing w:line="360" w:lineRule="auto"/>
      </w:pPr>
      <w:r>
        <w:rPr>
          <w:rFonts w:ascii="宋体" w:hAnsi="宋体" w:eastAsia="宋体"/>
          <w:color w:val="000000"/>
          <w:sz w:val="24"/>
        </w:rPr>
        <w:t xml:space="preserve">[159] Peled, A. (2011). When transparency and collaboration collide: The USA open data program.</w:t>
      </w:r>
      <w:r>
        <w:rPr>
          <w:rFonts w:ascii="宋体" w:hAnsi="宋体" w:eastAsia="宋体"/>
          <w:color w:val="000000"/>
          <w:sz w:val="24"/>
        </w:rPr>
        <w:t xml:space="preserve"> </w:t>
      </w:r>
      <w:r>
        <w:rPr>
          <w:rFonts w:ascii="宋体" w:hAnsi="宋体" w:eastAsia="宋体"/>
          <w:i/>
          <w:iCs/>
          <w:color w:val="000000"/>
          <w:sz w:val="24"/>
        </w:rPr>
        <w:t xml:space="preserve">Journal of the American Society for Information Science and Technology</w:t>
      </w:r>
      <w:r>
        <w:rPr>
          <w:rFonts w:ascii="宋体" w:hAnsi="宋体" w:eastAsia="宋体"/>
          <w:color w:val="000000"/>
          <w:sz w:val="24"/>
        </w:rPr>
        <w:t xml:space="preserve">, 62(11), 2085-2094.</w:t>
      </w:r>
    </w:p>
    <w:p>
      <w:pPr>
        <w:pStyle w:val="BodyText"/>
        <w:spacing w:line="360" w:lineRule="auto"/>
      </w:pPr>
      <w:r>
        <w:rPr>
          <w:rFonts w:ascii="宋体" w:hAnsi="宋体" w:eastAsia="宋体"/>
          <w:color w:val="000000"/>
          <w:sz w:val="24"/>
        </w:rPr>
        <w:t xml:space="preserve">[160] Dawes, S. S. (2010).</w:t>
      </w:r>
      <w:r>
        <w:rPr>
          <w:rFonts w:ascii="宋体" w:hAnsi="宋体" w:eastAsia="宋体"/>
          <w:color w:val="000000"/>
          <w:sz w:val="24"/>
        </w:rPr>
        <w:t xml:space="preserve"> </w:t>
      </w:r>
      <w:r>
        <w:rPr>
          <w:rFonts w:ascii="宋体" w:hAnsi="宋体" w:eastAsia="宋体"/>
          <w:i/>
          <w:iCs/>
          <w:color w:val="000000"/>
          <w:sz w:val="24"/>
        </w:rPr>
        <w:t xml:space="preserve">Stewardship and usefulness: Policy principles for information-based transparency</w:t>
      </w:r>
      <w:r>
        <w:rPr>
          <w:rFonts w:ascii="宋体" w:hAnsi="宋体" w:eastAsia="宋体"/>
          <w:color w:val="000000"/>
          <w:sz w:val="24"/>
        </w:rPr>
        <w:t xml:space="preserve">. Washington, DC: IBM Center for The Business of Government.</w:t>
      </w:r>
    </w:p>
    <w:p>
      <w:pPr>
        <w:pStyle w:val="BodyText"/>
        <w:spacing w:line="360" w:lineRule="auto"/>
      </w:pPr>
      <w:r>
        <w:rPr>
          <w:rFonts w:ascii="宋体" w:hAnsi="宋体" w:eastAsia="宋体"/>
          <w:color w:val="000000"/>
          <w:sz w:val="24"/>
        </w:rPr>
        <w:t xml:space="preserve">[161] Gil-Garcia, J. R., Dawes, S. S., &amp; Pardo, T. A. (2010). Digital government and public management research: Finding the crossroads.</w:t>
      </w:r>
      <w:r>
        <w:rPr>
          <w:rFonts w:ascii="宋体" w:hAnsi="宋体" w:eastAsia="宋体"/>
          <w:color w:val="000000"/>
          <w:sz w:val="24"/>
        </w:rPr>
        <w:t xml:space="preserve"> </w:t>
      </w:r>
      <w:r>
        <w:rPr>
          <w:rFonts w:ascii="宋体" w:hAnsi="宋体" w:eastAsia="宋体"/>
          <w:i/>
          <w:iCs/>
          <w:color w:val="000000"/>
          <w:sz w:val="24"/>
        </w:rPr>
        <w:t xml:space="preserve">Proceedings of the 11th Annual International Conference on Digital Government Research</w:t>
      </w:r>
      <w:r>
        <w:rPr>
          <w:rFonts w:ascii="宋体" w:hAnsi="宋体" w:eastAsia="宋体"/>
          <w:color w:val="000000"/>
          <w:sz w:val="24"/>
        </w:rPr>
        <w:t xml:space="preserve">, 1-8.</w:t>
      </w:r>
    </w:p>
    <w:p>
      <w:pPr>
        <w:pStyle w:val="BodyText"/>
        <w:spacing w:line="360" w:lineRule="auto"/>
      </w:pPr>
      <w:r>
        <w:rPr>
          <w:rFonts w:ascii="宋体" w:hAnsi="宋体" w:eastAsia="宋体"/>
          <w:color w:val="000000"/>
          <w:sz w:val="24"/>
        </w:rPr>
        <w:t xml:space="preserve">[162] Lee, G., &amp; Kwak, Y. H. (2012). An open government maturity model for social media-based public engagement.</w:t>
      </w:r>
      <w:r>
        <w:rPr>
          <w:rFonts w:ascii="宋体" w:hAnsi="宋体" w:eastAsia="宋体"/>
          <w:color w:val="000000"/>
          <w:sz w:val="24"/>
        </w:rPr>
        <w:t xml:space="preserve"> </w:t>
      </w:r>
      <w:r>
        <w:rPr>
          <w:rFonts w:ascii="宋体" w:hAnsi="宋体" w:eastAsia="宋体"/>
          <w:i/>
          <w:iCs/>
          <w:color w:val="000000"/>
          <w:sz w:val="24"/>
        </w:rPr>
        <w:t xml:space="preserve">Government Information Quarterly</w:t>
      </w:r>
      <w:r>
        <w:rPr>
          <w:rFonts w:ascii="宋体" w:hAnsi="宋体" w:eastAsia="宋体"/>
          <w:color w:val="000000"/>
          <w:sz w:val="24"/>
        </w:rPr>
        <w:t xml:space="preserve">, 29(4), 492-503.</w:t>
      </w:r>
    </w:p>
    <w:p>
      <w:pPr>
        <w:pStyle w:val="BodyText"/>
        <w:spacing w:line="360" w:lineRule="auto"/>
      </w:pPr>
      <w:r>
        <w:rPr>
          <w:rFonts w:ascii="宋体" w:hAnsi="宋体" w:eastAsia="宋体"/>
          <w:color w:val="000000"/>
          <w:sz w:val="24"/>
        </w:rPr>
        <w:t xml:space="preserve">[163] Osimo, D. (2008).</w:t>
      </w:r>
      <w:r>
        <w:rPr>
          <w:rFonts w:ascii="宋体" w:hAnsi="宋体" w:eastAsia="宋体"/>
          <w:color w:val="000000"/>
          <w:sz w:val="24"/>
        </w:rPr>
        <w:t xml:space="preserve"> </w:t>
      </w:r>
      <w:r>
        <w:rPr>
          <w:rFonts w:ascii="宋体" w:hAnsi="宋体" w:eastAsia="宋体"/>
          <w:i/>
          <w:iCs/>
          <w:color w:val="000000"/>
          <w:sz w:val="24"/>
        </w:rPr>
        <w:t xml:space="preserve">Web 2.0 in government: Why and how?</w:t>
      </w:r>
      <w:r>
        <w:rPr>
          <w:rFonts w:ascii="宋体" w:hAnsi="宋体" w:eastAsia="宋体"/>
          <w:color w:val="000000"/>
          <w:sz w:val="24"/>
        </w:rPr>
        <w:t xml:space="preserve"> </w:t>
      </w:r>
      <w:r>
        <w:rPr>
          <w:rFonts w:ascii="宋体" w:hAnsi="宋体" w:eastAsia="宋体"/>
          <w:color w:val="000000"/>
          <w:sz w:val="24"/>
        </w:rPr>
        <w:t xml:space="preserve">JRC Scientific and Technical Reports, 1-40.</w:t>
      </w:r>
    </w:p>
    <w:p>
      <w:pPr>
        <w:pStyle w:val="BodyText"/>
        <w:spacing w:line="360" w:lineRule="auto"/>
      </w:pPr>
      <w:r>
        <w:rPr>
          <w:rFonts w:ascii="宋体" w:hAnsi="宋体" w:eastAsia="宋体"/>
          <w:color w:val="000000"/>
          <w:sz w:val="24"/>
        </w:rPr>
        <w:t xml:space="preserve">[164] Brown, G. G. (2013).</w:t>
      </w:r>
      <w:r>
        <w:rPr>
          <w:rFonts w:ascii="宋体" w:hAnsi="宋体" w:eastAsia="宋体"/>
          <w:color w:val="000000"/>
          <w:sz w:val="24"/>
        </w:rPr>
        <w:t xml:space="preserve"> </w:t>
      </w:r>
      <w:r>
        <w:rPr>
          <w:rFonts w:ascii="宋体" w:hAnsi="宋体" w:eastAsia="宋体"/>
          <w:i/>
          <w:iCs/>
          <w:color w:val="000000"/>
          <w:sz w:val="24"/>
        </w:rPr>
        <w:t xml:space="preserve">The open government directive: A social network analysis of the data.gov platform</w:t>
      </w:r>
      <w:r>
        <w:rPr>
          <w:rFonts w:ascii="宋体" w:hAnsi="宋体" w:eastAsia="宋体"/>
          <w:color w:val="000000"/>
          <w:sz w:val="24"/>
        </w:rPr>
        <w:t xml:space="preserve">. PhD Dissertation, University of Maryland.</w:t>
      </w:r>
    </w:p>
    <w:p>
      <w:pPr>
        <w:pStyle w:val="BodyText"/>
        <w:spacing w:line="360" w:lineRule="auto"/>
      </w:pPr>
      <w:r>
        <w:rPr>
          <w:rFonts w:ascii="宋体" w:hAnsi="宋体" w:eastAsia="宋体"/>
          <w:color w:val="000000"/>
          <w:sz w:val="24"/>
        </w:rPr>
        <w:t xml:space="preserve">[165] Ma, R. (2014). Open government and target-driven administration: Reinventing totalitarian control in China’s local environmental governance.</w:t>
      </w:r>
      <w:r>
        <w:rPr>
          <w:rFonts w:ascii="宋体" w:hAnsi="宋体" w:eastAsia="宋体"/>
          <w:color w:val="000000"/>
          <w:sz w:val="24"/>
        </w:rPr>
        <w:t xml:space="preserve"> </w:t>
      </w:r>
      <w:r>
        <w:rPr>
          <w:rFonts w:ascii="宋体" w:hAnsi="宋体" w:eastAsia="宋体"/>
          <w:i/>
          <w:iCs/>
          <w:color w:val="000000"/>
          <w:sz w:val="24"/>
        </w:rPr>
        <w:t xml:space="preserve">The China Journal</w:t>
      </w:r>
      <w:r>
        <w:rPr>
          <w:rFonts w:ascii="宋体" w:hAnsi="宋体" w:eastAsia="宋体"/>
          <w:color w:val="000000"/>
          <w:sz w:val="24"/>
        </w:rPr>
        <w:t xml:space="preserve">, 71, 111-139.</w:t>
      </w:r>
    </w:p>
    <w:p>
      <w:pPr>
        <w:pStyle w:val="BodyText"/>
        <w:spacing w:line="360" w:lineRule="auto"/>
      </w:pPr>
      <w:r>
        <w:rPr>
          <w:rFonts w:ascii="宋体" w:hAnsi="宋体" w:eastAsia="宋体"/>
          <w:color w:val="000000"/>
          <w:sz w:val="24"/>
        </w:rPr>
        <w:t xml:space="preserve">[166] Yang, T. M., Pardo, T. A., &amp; Wu, Y. J. (2014). How is information shared across government boundaries? Examining the governance of information integration.</w:t>
      </w:r>
      <w:r>
        <w:rPr>
          <w:rFonts w:ascii="宋体" w:hAnsi="宋体" w:eastAsia="宋体"/>
          <w:color w:val="000000"/>
          <w:sz w:val="24"/>
        </w:rPr>
        <w:t xml:space="preserve"> </w:t>
      </w:r>
      <w:r>
        <w:rPr>
          <w:rFonts w:ascii="宋体" w:hAnsi="宋体" w:eastAsia="宋体"/>
          <w:i/>
          <w:iCs/>
          <w:color w:val="000000"/>
          <w:sz w:val="24"/>
        </w:rPr>
        <w:t xml:space="preserve">Government Information Quarterly</w:t>
      </w:r>
      <w:r>
        <w:rPr>
          <w:rFonts w:ascii="宋体" w:hAnsi="宋体" w:eastAsia="宋体"/>
          <w:color w:val="000000"/>
          <w:sz w:val="24"/>
        </w:rPr>
        <w:t xml:space="preserve">, 31(3), 467-477.</w:t>
      </w:r>
    </w:p>
    <w:p>
      <w:pPr>
        <w:pStyle w:val="BodyText"/>
        <w:spacing w:line="360" w:lineRule="auto"/>
      </w:pPr>
      <w:r>
        <w:rPr>
          <w:rFonts w:ascii="宋体" w:hAnsi="宋体" w:eastAsia="宋体"/>
          <w:color w:val="000000"/>
          <w:sz w:val="24"/>
        </w:rPr>
        <w:t xml:space="preserve">[167] Carter, L., &amp; Belanger, F. (2005). The utilization of e-government services: Citizen trust, innovation and acceptance factors.</w:t>
      </w:r>
      <w:r>
        <w:rPr>
          <w:rFonts w:ascii="宋体" w:hAnsi="宋体" w:eastAsia="宋体"/>
          <w:color w:val="000000"/>
          <w:sz w:val="24"/>
        </w:rPr>
        <w:t xml:space="preserve"> </w:t>
      </w:r>
      <w:r>
        <w:rPr>
          <w:rFonts w:ascii="宋体" w:hAnsi="宋体" w:eastAsia="宋体"/>
          <w:i/>
          <w:iCs/>
          <w:color w:val="000000"/>
          <w:sz w:val="24"/>
        </w:rPr>
        <w:t xml:space="preserve">Information Systems Journal</w:t>
      </w:r>
      <w:r>
        <w:rPr>
          <w:rFonts w:ascii="宋体" w:hAnsi="宋体" w:eastAsia="宋体"/>
          <w:color w:val="000000"/>
          <w:sz w:val="24"/>
        </w:rPr>
        <w:t xml:space="preserve">, 15(1), 5-25.</w:t>
      </w:r>
    </w:p>
    <w:p>
      <w:pPr>
        <w:pStyle w:val="BodyText"/>
        <w:spacing w:line="360" w:lineRule="auto"/>
      </w:pPr>
      <w:r>
        <w:rPr>
          <w:rFonts w:ascii="宋体" w:hAnsi="宋体" w:eastAsia="宋体"/>
          <w:color w:val="000000"/>
          <w:sz w:val="24"/>
        </w:rPr>
        <w:t xml:space="preserve">[168] Linders, D. (2012). From e-government to we-government: Defining a typology for citizen coproduction in the age of social media.</w:t>
      </w:r>
      <w:r>
        <w:rPr>
          <w:rFonts w:ascii="宋体" w:hAnsi="宋体" w:eastAsia="宋体"/>
          <w:color w:val="000000"/>
          <w:sz w:val="24"/>
        </w:rPr>
        <w:t xml:space="preserve"> </w:t>
      </w:r>
      <w:r>
        <w:rPr>
          <w:rFonts w:ascii="宋体" w:hAnsi="宋体" w:eastAsia="宋体"/>
          <w:i/>
          <w:iCs/>
          <w:color w:val="000000"/>
          <w:sz w:val="24"/>
        </w:rPr>
        <w:t xml:space="preserve">Government Information Quarterly</w:t>
      </w:r>
      <w:r>
        <w:rPr>
          <w:rFonts w:ascii="宋体" w:hAnsi="宋体" w:eastAsia="宋体"/>
          <w:color w:val="000000"/>
          <w:sz w:val="24"/>
        </w:rPr>
        <w:t xml:space="preserve">, 29(4), 446-454.</w:t>
      </w:r>
    </w:p>
    <w:p>
      <w:pPr>
        <w:pStyle w:val="BodyText"/>
        <w:spacing w:line="360" w:lineRule="auto"/>
      </w:pPr>
      <w:r>
        <w:rPr>
          <w:rFonts w:ascii="宋体" w:hAnsi="宋体" w:eastAsia="宋体"/>
          <w:color w:val="000000"/>
          <w:sz w:val="24"/>
        </w:rPr>
        <w:t xml:space="preserve">[169] Lember, V., Brandsen, T., &amp; Tõnurist, P. (2019). The potential impact of digital technologies on co-production and co-creation.</w:t>
      </w:r>
      <w:r>
        <w:rPr>
          <w:rFonts w:ascii="宋体" w:hAnsi="宋体" w:eastAsia="宋体"/>
          <w:color w:val="000000"/>
          <w:sz w:val="24"/>
        </w:rPr>
        <w:t xml:space="preserve"> </w:t>
      </w:r>
      <w:r>
        <w:rPr>
          <w:rFonts w:ascii="宋体" w:hAnsi="宋体" w:eastAsia="宋体"/>
          <w:i/>
          <w:iCs/>
          <w:color w:val="000000"/>
          <w:sz w:val="24"/>
        </w:rPr>
        <w:t xml:space="preserve">Public Management Review</w:t>
      </w:r>
      <w:r>
        <w:rPr>
          <w:rFonts w:ascii="宋体" w:hAnsi="宋体" w:eastAsia="宋体"/>
          <w:color w:val="000000"/>
          <w:sz w:val="24"/>
        </w:rPr>
        <w:t xml:space="preserve">, 21(11), 1665-1686.</w:t>
      </w:r>
    </w:p>
    <w:p>
      <w:pPr>
        <w:pStyle w:val="BodyText"/>
        <w:spacing w:line="360" w:lineRule="auto"/>
      </w:pPr>
      <w:r>
        <w:rPr>
          <w:rFonts w:ascii="宋体" w:hAnsi="宋体" w:eastAsia="宋体"/>
          <w:color w:val="000000"/>
          <w:sz w:val="24"/>
        </w:rPr>
        <w:t xml:space="preserve">[170] Osborne, S. P., Radnor, Z., &amp; Strokosch, K. (2016). Co-production and the co-creation of value in public services: A suitable case for treatment?</w:t>
      </w:r>
      <w:r>
        <w:rPr>
          <w:rFonts w:ascii="宋体" w:hAnsi="宋体" w:eastAsia="宋体"/>
          <w:color w:val="000000"/>
          <w:sz w:val="24"/>
        </w:rPr>
        <w:t xml:space="preserve"> </w:t>
      </w:r>
      <w:r>
        <w:rPr>
          <w:rFonts w:ascii="宋体" w:hAnsi="宋体" w:eastAsia="宋体"/>
          <w:i/>
          <w:iCs/>
          <w:color w:val="000000"/>
          <w:sz w:val="24"/>
        </w:rPr>
        <w:t xml:space="preserve">Public Management Review</w:t>
      </w:r>
      <w:r>
        <w:rPr>
          <w:rFonts w:ascii="宋体" w:hAnsi="宋体" w:eastAsia="宋体"/>
          <w:color w:val="000000"/>
          <w:sz w:val="24"/>
        </w:rPr>
        <w:t xml:space="preserve">, 18(5), 639-653.</w:t>
      </w:r>
    </w:p>
    <w:p>
      <w:pPr>
        <w:pStyle w:val="BodyText"/>
        <w:spacing w:line="360" w:lineRule="auto"/>
      </w:pPr>
      <w:r>
        <w:rPr>
          <w:rFonts w:ascii="宋体" w:hAnsi="宋体" w:eastAsia="宋体"/>
          <w:color w:val="000000"/>
          <w:sz w:val="24"/>
        </w:rPr>
        <w:t xml:space="preserve">[171] Bovaird, T., &amp; Loeffler, E. (2012).</w:t>
      </w:r>
      <w:r>
        <w:rPr>
          <w:rFonts w:ascii="宋体" w:hAnsi="宋体" w:eastAsia="宋体"/>
          <w:color w:val="000000"/>
          <w:sz w:val="24"/>
        </w:rPr>
        <w:t xml:space="preserve"> </w:t>
      </w:r>
      <w:r>
        <w:rPr>
          <w:rFonts w:ascii="宋体" w:hAnsi="宋体" w:eastAsia="宋体"/>
          <w:i/>
          <w:iCs/>
          <w:color w:val="000000"/>
          <w:sz w:val="24"/>
        </w:rPr>
        <w:t xml:space="preserve">From engagement to co-production: The contribution of users and communities to outcomes of public services</w:t>
      </w:r>
      <w:r>
        <w:rPr>
          <w:rFonts w:ascii="宋体" w:hAnsi="宋体" w:eastAsia="宋体"/>
          <w:color w:val="000000"/>
          <w:sz w:val="24"/>
        </w:rPr>
        <w:t xml:space="preserve">. Birmingham: University of Birmingham.</w:t>
      </w:r>
    </w:p>
    <w:p>
      <w:pPr>
        <w:pStyle w:val="BodyText"/>
        <w:spacing w:line="360" w:lineRule="auto"/>
      </w:pPr>
      <w:r>
        <w:rPr>
          <w:rFonts w:ascii="宋体" w:hAnsi="宋体" w:eastAsia="宋体"/>
          <w:color w:val="000000"/>
          <w:sz w:val="24"/>
        </w:rPr>
        <w:t xml:space="preserve">[172] Voorberg, W. H., Bekkers, V. J., &amp; Tummers, L. G. (2015). A systematic review of co-creation and co-production: Embarking on the social innovation journey.</w:t>
      </w:r>
      <w:r>
        <w:rPr>
          <w:rFonts w:ascii="宋体" w:hAnsi="宋体" w:eastAsia="宋体"/>
          <w:color w:val="000000"/>
          <w:sz w:val="24"/>
        </w:rPr>
        <w:t xml:space="preserve"> </w:t>
      </w:r>
      <w:r>
        <w:rPr>
          <w:rFonts w:ascii="宋体" w:hAnsi="宋体" w:eastAsia="宋体"/>
          <w:i/>
          <w:iCs/>
          <w:color w:val="000000"/>
          <w:sz w:val="24"/>
        </w:rPr>
        <w:t xml:space="preserve">Public Management Review</w:t>
      </w:r>
      <w:r>
        <w:rPr>
          <w:rFonts w:ascii="宋体" w:hAnsi="宋体" w:eastAsia="宋体"/>
          <w:color w:val="000000"/>
          <w:sz w:val="24"/>
        </w:rPr>
        <w:t xml:space="preserve">, 17(9), 1333-1357.</w:t>
      </w:r>
    </w:p>
    <w:p>
      <w:pPr>
        <w:pStyle w:val="BodyText"/>
        <w:spacing w:line="360" w:lineRule="auto"/>
      </w:pPr>
      <w:r>
        <w:rPr>
          <w:rFonts w:ascii="宋体" w:hAnsi="宋体" w:eastAsia="宋体"/>
          <w:color w:val="000000"/>
          <w:sz w:val="24"/>
        </w:rPr>
        <w:t xml:space="preserve">[173] Sorrentino, M., &amp; De Marco, M. (2013).</w:t>
      </w:r>
      <w:r>
        <w:rPr>
          <w:rFonts w:ascii="宋体" w:hAnsi="宋体" w:eastAsia="宋体"/>
          <w:color w:val="000000"/>
          <w:sz w:val="24"/>
        </w:rPr>
        <w:t xml:space="preserve"> </w:t>
      </w:r>
      <w:r>
        <w:rPr>
          <w:rFonts w:ascii="宋体" w:hAnsi="宋体" w:eastAsia="宋体"/>
          <w:i/>
          <w:iCs/>
          <w:color w:val="000000"/>
          <w:sz w:val="24"/>
        </w:rPr>
        <w:t xml:space="preserve">Implementing e-government in developing countries: A case study of an Italian initiative in Argentina</w:t>
      </w:r>
      <w:r>
        <w:rPr>
          <w:rFonts w:ascii="宋体" w:hAnsi="宋体" w:eastAsia="宋体"/>
          <w:color w:val="000000"/>
          <w:sz w:val="24"/>
        </w:rPr>
        <w:t xml:space="preserve">. Government Information Quarterly, 30(2), 193-201.</w:t>
      </w:r>
    </w:p>
    <w:p>
      <w:pPr>
        <w:pStyle w:val="BodyText"/>
        <w:spacing w:line="360" w:lineRule="auto"/>
      </w:pPr>
      <w:r>
        <w:rPr>
          <w:rFonts w:ascii="宋体" w:hAnsi="宋体" w:eastAsia="宋体"/>
          <w:color w:val="000000"/>
          <w:sz w:val="24"/>
        </w:rPr>
        <w:t xml:space="preserve">[174] Chen, Y. C., &amp; Hsieh, T. C. (2014). Big data for digital government: Opportunities, challenges, and strategies.</w:t>
      </w:r>
      <w:r>
        <w:rPr>
          <w:rFonts w:ascii="宋体" w:hAnsi="宋体" w:eastAsia="宋体"/>
          <w:color w:val="000000"/>
          <w:sz w:val="24"/>
        </w:rPr>
        <w:t xml:space="preserve"> </w:t>
      </w:r>
      <w:r>
        <w:rPr>
          <w:rFonts w:ascii="宋体" w:hAnsi="宋体" w:eastAsia="宋体"/>
          <w:i/>
          <w:iCs/>
          <w:color w:val="000000"/>
          <w:sz w:val="24"/>
        </w:rPr>
        <w:t xml:space="preserve">International Journal of Public Administration in the Digital Age</w:t>
      </w:r>
      <w:r>
        <w:rPr>
          <w:rFonts w:ascii="宋体" w:hAnsi="宋体" w:eastAsia="宋体"/>
          <w:color w:val="000000"/>
          <w:sz w:val="24"/>
        </w:rPr>
        <w:t xml:space="preserve">, 1(1), 1-14.</w:t>
      </w:r>
    </w:p>
    <w:p>
      <w:pPr>
        <w:pStyle w:val="BodyText"/>
        <w:spacing w:line="360" w:lineRule="auto"/>
      </w:pPr>
      <w:r>
        <w:rPr>
          <w:rFonts w:ascii="宋体" w:hAnsi="宋体" w:eastAsia="宋体"/>
          <w:color w:val="000000"/>
          <w:sz w:val="24"/>
        </w:rPr>
        <w:t xml:space="preserve">[175] Janssen, M., van der Voort, H., &amp; Wimmer, M. A. (2015).</w:t>
      </w:r>
      <w:r>
        <w:rPr>
          <w:rFonts w:ascii="宋体" w:hAnsi="宋体" w:eastAsia="宋体"/>
          <w:color w:val="000000"/>
          <w:sz w:val="24"/>
        </w:rPr>
        <w:t xml:space="preserve"> </w:t>
      </w:r>
      <w:r>
        <w:rPr>
          <w:rFonts w:ascii="宋体" w:hAnsi="宋体" w:eastAsia="宋体"/>
          <w:i/>
          <w:iCs/>
          <w:color w:val="000000"/>
          <w:sz w:val="24"/>
        </w:rPr>
        <w:t xml:space="preserve">Big and open linked data (BOLD) in government: A challenge to transparency and privacy?</w:t>
      </w:r>
      <w:r>
        <w:rPr>
          <w:rFonts w:ascii="宋体" w:hAnsi="宋体" w:eastAsia="宋体"/>
          <w:color w:val="000000"/>
          <w:sz w:val="24"/>
        </w:rPr>
        <w:t xml:space="preserve"> </w:t>
      </w:r>
      <w:r>
        <w:rPr>
          <w:rFonts w:ascii="宋体" w:hAnsi="宋体" w:eastAsia="宋体"/>
          <w:color w:val="000000"/>
          <w:sz w:val="24"/>
        </w:rPr>
        <w:t xml:space="preserve">Government Information Quarterly, 32(4), 363-368.</w:t>
      </w:r>
    </w:p>
    <w:p>
      <w:pPr>
        <w:pStyle w:val="BodyText"/>
        <w:spacing w:line="360" w:lineRule="auto"/>
      </w:pPr>
      <w:r>
        <w:rPr>
          <w:rFonts w:ascii="宋体" w:hAnsi="宋体" w:eastAsia="宋体"/>
          <w:color w:val="000000"/>
          <w:sz w:val="24"/>
        </w:rPr>
        <w:t xml:space="preserve">[176] Klievink, B., Romijn, B. J., Cunningham, S. W., &amp; de Bruijn, H. (2017).</w:t>
      </w:r>
      <w:r>
        <w:rPr>
          <w:rFonts w:ascii="宋体" w:hAnsi="宋体" w:eastAsia="宋体"/>
          <w:color w:val="000000"/>
          <w:sz w:val="24"/>
        </w:rPr>
        <w:t xml:space="preserve"> </w:t>
      </w:r>
      <w:r>
        <w:rPr>
          <w:rFonts w:ascii="宋体" w:hAnsi="宋体" w:eastAsia="宋体"/>
          <w:i/>
          <w:iCs/>
          <w:color w:val="000000"/>
          <w:sz w:val="24"/>
        </w:rPr>
        <w:t xml:space="preserve">Big data in the public sector: Uncertainties and readiness</w:t>
      </w:r>
      <w:r>
        <w:rPr>
          <w:rFonts w:ascii="宋体" w:hAnsi="宋体" w:eastAsia="宋体"/>
          <w:color w:val="000000"/>
          <w:sz w:val="24"/>
        </w:rPr>
        <w:t xml:space="preserve">. Information Systems Frontiers, 19(2), 267-283.</w:t>
      </w:r>
    </w:p>
    <w:p>
      <w:pPr>
        <w:pStyle w:val="BodyText"/>
        <w:spacing w:line="360" w:lineRule="auto"/>
      </w:pPr>
      <w:r>
        <w:rPr>
          <w:rFonts w:ascii="宋体" w:hAnsi="宋体" w:eastAsia="宋体"/>
          <w:color w:val="000000"/>
          <w:sz w:val="24"/>
        </w:rPr>
        <w:t xml:space="preserve">[177] Cordella, A., &amp; Tempini, N. (2015). E-government and organizational change: Reappraising the role of citizenship and bureaucracy in public innovation.</w:t>
      </w:r>
      <w:r>
        <w:rPr>
          <w:rFonts w:ascii="宋体" w:hAnsi="宋体" w:eastAsia="宋体"/>
          <w:color w:val="000000"/>
          <w:sz w:val="24"/>
        </w:rPr>
        <w:t xml:space="preserve"> </w:t>
      </w:r>
      <w:r>
        <w:rPr>
          <w:rFonts w:ascii="宋体" w:hAnsi="宋体" w:eastAsia="宋体"/>
          <w:i/>
          <w:iCs/>
          <w:color w:val="000000"/>
          <w:sz w:val="24"/>
        </w:rPr>
        <w:t xml:space="preserve">Government Information Quarterly</w:t>
      </w:r>
      <w:r>
        <w:rPr>
          <w:rFonts w:ascii="宋体" w:hAnsi="宋体" w:eastAsia="宋体"/>
          <w:color w:val="000000"/>
          <w:sz w:val="24"/>
        </w:rPr>
        <w:t xml:space="preserve">, 32(1), 9-15.</w:t>
      </w:r>
    </w:p>
    <w:p>
      <w:pPr>
        <w:pStyle w:val="BodyText"/>
        <w:spacing w:line="360" w:lineRule="auto"/>
      </w:pPr>
      <w:r>
        <w:rPr>
          <w:rFonts w:ascii="宋体" w:hAnsi="宋体" w:eastAsia="宋体"/>
          <w:color w:val="000000"/>
          <w:sz w:val="24"/>
        </w:rPr>
        <w:t xml:space="preserve">[178] Fountain, J. E. (2001).</w:t>
      </w:r>
      <w:r>
        <w:rPr>
          <w:rFonts w:ascii="宋体" w:hAnsi="宋体" w:eastAsia="宋体"/>
          <w:color w:val="000000"/>
          <w:sz w:val="24"/>
        </w:rPr>
        <w:t xml:space="preserve"> </w:t>
      </w:r>
      <w:r>
        <w:rPr>
          <w:rFonts w:ascii="宋体" w:hAnsi="宋体" w:eastAsia="宋体"/>
          <w:i/>
          <w:iCs/>
          <w:color w:val="000000"/>
          <w:sz w:val="24"/>
        </w:rPr>
        <w:t xml:space="preserve">Building the virtual state: Information technology and institutional change</w:t>
      </w:r>
      <w:r>
        <w:rPr>
          <w:rFonts w:ascii="宋体" w:hAnsi="宋体" w:eastAsia="宋体"/>
          <w:color w:val="000000"/>
          <w:sz w:val="24"/>
        </w:rPr>
        <w:t xml:space="preserve">. Washington, DC: Brookings Institution Press.</w:t>
      </w:r>
    </w:p>
    <w:p>
      <w:pPr>
        <w:pStyle w:val="BodyText"/>
        <w:spacing w:line="360" w:lineRule="auto"/>
      </w:pPr>
      <w:r>
        <w:rPr>
          <w:rFonts w:ascii="宋体" w:hAnsi="宋体" w:eastAsia="宋体"/>
          <w:color w:val="000000"/>
          <w:sz w:val="24"/>
        </w:rPr>
        <w:t xml:space="preserve">[179] Margetts, H., &amp; Dunleavy, P. (2013).</w:t>
      </w:r>
      <w:r>
        <w:rPr>
          <w:rFonts w:ascii="宋体" w:hAnsi="宋体" w:eastAsia="宋体"/>
          <w:color w:val="000000"/>
          <w:sz w:val="24"/>
        </w:rPr>
        <w:t xml:space="preserve"> </w:t>
      </w:r>
      <w:r>
        <w:rPr>
          <w:rFonts w:ascii="宋体" w:hAnsi="宋体" w:eastAsia="宋体"/>
          <w:i/>
          <w:iCs/>
          <w:color w:val="000000"/>
          <w:sz w:val="24"/>
        </w:rPr>
        <w:t xml:space="preserve">The second wave of digital-era governance: A quasi-paradigm for government on the Web</w:t>
      </w:r>
      <w:r>
        <w:rPr>
          <w:rFonts w:ascii="宋体" w:hAnsi="宋体" w:eastAsia="宋体"/>
          <w:color w:val="000000"/>
          <w:sz w:val="24"/>
        </w:rPr>
        <w:t xml:space="preserve">. Philosophical Transactions of the Royal Society A, 371(1987), 1-16.</w:t>
      </w:r>
    </w:p>
    <w:p>
      <w:pPr>
        <w:pStyle w:val="BodyText"/>
        <w:spacing w:line="360" w:lineRule="auto"/>
      </w:pPr>
      <w:r>
        <w:rPr>
          <w:rFonts w:ascii="宋体" w:hAnsi="宋体" w:eastAsia="宋体"/>
          <w:color w:val="000000"/>
          <w:sz w:val="24"/>
        </w:rPr>
        <w:t xml:space="preserve">[180] Dunleavy, P., Margetts, H., Bastow, S., &amp; Tinkler, J. (2006). New public management is dead—Long live digital-era governance.</w:t>
      </w:r>
      <w:r>
        <w:rPr>
          <w:rFonts w:ascii="宋体" w:hAnsi="宋体" w:eastAsia="宋体"/>
          <w:color w:val="000000"/>
          <w:sz w:val="24"/>
        </w:rPr>
        <w:t xml:space="preserve"> </w:t>
      </w:r>
      <w:r>
        <w:rPr>
          <w:rFonts w:ascii="宋体" w:hAnsi="宋体" w:eastAsia="宋体"/>
          <w:i/>
          <w:iCs/>
          <w:color w:val="000000"/>
          <w:sz w:val="24"/>
        </w:rPr>
        <w:t xml:space="preserve">Journal of Public Administration Research and Theory</w:t>
      </w:r>
      <w:r>
        <w:rPr>
          <w:rFonts w:ascii="宋体" w:hAnsi="宋体" w:eastAsia="宋体"/>
          <w:color w:val="000000"/>
          <w:sz w:val="24"/>
        </w:rPr>
        <w:t xml:space="preserve">, 16(3), 467-494.</w:t>
      </w:r>
    </w:p>
    <w:p>
      <w:pPr>
        <w:pStyle w:val="BodyText"/>
        <w:spacing w:line="360" w:lineRule="auto"/>
      </w:pPr>
      <w:r>
        <w:rPr>
          <w:rFonts w:ascii="宋体" w:hAnsi="宋体" w:eastAsia="宋体"/>
          <w:color w:val="000000"/>
          <w:sz w:val="24"/>
        </w:rPr>
        <w:t xml:space="preserve">[181] Hood, C. (1991). A public management for all seasons?</w:t>
      </w:r>
      <w:r>
        <w:rPr>
          <w:rFonts w:ascii="宋体" w:hAnsi="宋体" w:eastAsia="宋体"/>
          <w:color w:val="000000"/>
          <w:sz w:val="24"/>
        </w:rPr>
        <w:t xml:space="preserve"> </w:t>
      </w:r>
      <w:r>
        <w:rPr>
          <w:rFonts w:ascii="宋体" w:hAnsi="宋体" w:eastAsia="宋体"/>
          <w:i/>
          <w:iCs/>
          <w:color w:val="000000"/>
          <w:sz w:val="24"/>
        </w:rPr>
        <w:t xml:space="preserve">Public Administration</w:t>
      </w:r>
      <w:r>
        <w:rPr>
          <w:rFonts w:ascii="宋体" w:hAnsi="宋体" w:eastAsia="宋体"/>
          <w:color w:val="000000"/>
          <w:sz w:val="24"/>
        </w:rPr>
        <w:t xml:space="preserve">, 69(1), 3-19.</w:t>
      </w:r>
    </w:p>
    <w:p>
      <w:pPr>
        <w:pStyle w:val="BodyText"/>
        <w:spacing w:line="360" w:lineRule="auto"/>
      </w:pPr>
      <w:r>
        <w:rPr>
          <w:rFonts w:ascii="宋体" w:hAnsi="宋体" w:eastAsia="宋体"/>
          <w:color w:val="000000"/>
          <w:sz w:val="24"/>
        </w:rPr>
        <w:t xml:space="preserve">[182] Hood, C., &amp; Margetts, H. (2007).</w:t>
      </w:r>
      <w:r>
        <w:rPr>
          <w:rFonts w:ascii="宋体" w:hAnsi="宋体" w:eastAsia="宋体"/>
          <w:color w:val="000000"/>
          <w:sz w:val="24"/>
        </w:rPr>
        <w:t xml:space="preserve"> </w:t>
      </w:r>
      <w:r>
        <w:rPr>
          <w:rFonts w:ascii="宋体" w:hAnsi="宋体" w:eastAsia="宋体"/>
          <w:i/>
          <w:iCs/>
          <w:color w:val="000000"/>
          <w:sz w:val="24"/>
        </w:rPr>
        <w:t xml:space="preserve">The tools of government in the digital age</w:t>
      </w:r>
      <w:r>
        <w:rPr>
          <w:rFonts w:ascii="宋体" w:hAnsi="宋体" w:eastAsia="宋体"/>
          <w:color w:val="000000"/>
          <w:sz w:val="24"/>
        </w:rPr>
        <w:t xml:space="preserve">. London: Palgrave Macmillan.</w:t>
      </w:r>
    </w:p>
    <w:p>
      <w:pPr>
        <w:pStyle w:val="BodyText"/>
        <w:spacing w:line="360" w:lineRule="auto"/>
      </w:pPr>
      <w:r>
        <w:rPr>
          <w:rFonts w:ascii="宋体" w:hAnsi="宋体" w:eastAsia="宋体"/>
          <w:color w:val="000000"/>
          <w:sz w:val="24"/>
        </w:rPr>
        <w:t xml:space="preserve">[183] Pollitt, C., &amp; Bouckaert, G. (2017).</w:t>
      </w:r>
      <w:r>
        <w:rPr>
          <w:rFonts w:ascii="宋体" w:hAnsi="宋体" w:eastAsia="宋体"/>
          <w:color w:val="000000"/>
          <w:sz w:val="24"/>
        </w:rPr>
        <w:t xml:space="preserve"> </w:t>
      </w:r>
      <w:r>
        <w:rPr>
          <w:rFonts w:ascii="宋体" w:hAnsi="宋体" w:eastAsia="宋体"/>
          <w:i/>
          <w:iCs/>
          <w:color w:val="000000"/>
          <w:sz w:val="24"/>
        </w:rPr>
        <w:t xml:space="preserve">Public management reform: A comparative analysis—Into the age of austerity</w:t>
      </w:r>
      <w:r>
        <w:rPr>
          <w:rFonts w:ascii="宋体" w:hAnsi="宋体" w:eastAsia="宋体"/>
          <w:color w:val="000000"/>
          <w:sz w:val="24"/>
        </w:rPr>
        <w:t xml:space="preserve"> </w:t>
      </w:r>
      <w:r>
        <w:rPr>
          <w:rFonts w:ascii="宋体" w:hAnsi="宋体" w:eastAsia="宋体"/>
          <w:color w:val="000000"/>
          <w:sz w:val="24"/>
        </w:rPr>
        <w:t xml:space="preserve">(4th ed.). Oxford: Oxford University Press.</w:t>
      </w:r>
    </w:p>
    <w:p>
      <w:pPr>
        <w:pStyle w:val="BodyText"/>
        <w:spacing w:line="360" w:lineRule="auto"/>
      </w:pPr>
      <w:r>
        <w:rPr>
          <w:rFonts w:ascii="宋体" w:hAnsi="宋体" w:eastAsia="宋体"/>
          <w:color w:val="000000"/>
          <w:sz w:val="24"/>
        </w:rPr>
        <w:t xml:space="preserve">[184] Osborne, S. P. (2006). The new public governance?</w:t>
      </w:r>
      <w:r>
        <w:rPr>
          <w:rFonts w:ascii="宋体" w:hAnsi="宋体" w:eastAsia="宋体"/>
          <w:color w:val="000000"/>
          <w:sz w:val="24"/>
        </w:rPr>
        <w:t xml:space="preserve"> </w:t>
      </w:r>
      <w:r>
        <w:rPr>
          <w:rFonts w:ascii="宋体" w:hAnsi="宋体" w:eastAsia="宋体"/>
          <w:i/>
          <w:iCs/>
          <w:color w:val="000000"/>
          <w:sz w:val="24"/>
        </w:rPr>
        <w:t xml:space="preserve">Public Management Review</w:t>
      </w:r>
      <w:r>
        <w:rPr>
          <w:rFonts w:ascii="宋体" w:hAnsi="宋体" w:eastAsia="宋体"/>
          <w:color w:val="000000"/>
          <w:sz w:val="24"/>
        </w:rPr>
        <w:t xml:space="preserve">, 8(3), 377-387.</w:t>
      </w:r>
    </w:p>
    <w:p>
      <w:pPr>
        <w:pStyle w:val="BodyText"/>
        <w:spacing w:line="360" w:lineRule="auto"/>
      </w:pPr>
      <w:r>
        <w:rPr>
          <w:rFonts w:ascii="宋体" w:hAnsi="宋体" w:eastAsia="宋体"/>
          <w:color w:val="000000"/>
          <w:sz w:val="24"/>
        </w:rPr>
        <w:t xml:space="preserve">[185] Rhodes, R. A. W. (1996). The new governance: Governing without government.</w:t>
      </w:r>
      <w:r>
        <w:rPr>
          <w:rFonts w:ascii="宋体" w:hAnsi="宋体" w:eastAsia="宋体"/>
          <w:color w:val="000000"/>
          <w:sz w:val="24"/>
        </w:rPr>
        <w:t xml:space="preserve"> </w:t>
      </w:r>
      <w:r>
        <w:rPr>
          <w:rFonts w:ascii="宋体" w:hAnsi="宋体" w:eastAsia="宋体"/>
          <w:i/>
          <w:iCs/>
          <w:color w:val="000000"/>
          <w:sz w:val="24"/>
        </w:rPr>
        <w:t xml:space="preserve">Political Studies</w:t>
      </w:r>
      <w:r>
        <w:rPr>
          <w:rFonts w:ascii="宋体" w:hAnsi="宋体" w:eastAsia="宋体"/>
          <w:color w:val="000000"/>
          <w:sz w:val="24"/>
        </w:rPr>
        <w:t xml:space="preserve">, 44(4), 652-667.</w:t>
      </w:r>
    </w:p>
    <w:p>
      <w:pPr>
        <w:pStyle w:val="BodyText"/>
        <w:spacing w:line="360" w:lineRule="auto"/>
      </w:pPr>
      <w:r>
        <w:rPr>
          <w:rFonts w:ascii="宋体" w:hAnsi="宋体" w:eastAsia="宋体"/>
          <w:color w:val="000000"/>
          <w:sz w:val="24"/>
        </w:rPr>
        <w:t xml:space="preserve">[186] Stoker, G. (1998). Governance as theory: Five propositions.</w:t>
      </w:r>
      <w:r>
        <w:rPr>
          <w:rFonts w:ascii="宋体" w:hAnsi="宋体" w:eastAsia="宋体"/>
          <w:color w:val="000000"/>
          <w:sz w:val="24"/>
        </w:rPr>
        <w:t xml:space="preserve"> </w:t>
      </w:r>
      <w:r>
        <w:rPr>
          <w:rFonts w:ascii="宋体" w:hAnsi="宋体" w:eastAsia="宋体"/>
          <w:i/>
          <w:iCs/>
          <w:color w:val="000000"/>
          <w:sz w:val="24"/>
        </w:rPr>
        <w:t xml:space="preserve">International Social Science Journal</w:t>
      </w:r>
      <w:r>
        <w:rPr>
          <w:rFonts w:ascii="宋体" w:hAnsi="宋体" w:eastAsia="宋体"/>
          <w:color w:val="000000"/>
          <w:sz w:val="24"/>
        </w:rPr>
        <w:t xml:space="preserve">, 50(155), 17-28.</w:t>
      </w:r>
    </w:p>
    <w:p>
      <w:pPr>
        <w:pStyle w:val="BodyText"/>
        <w:spacing w:line="360" w:lineRule="auto"/>
      </w:pPr>
      <w:r>
        <w:rPr>
          <w:rFonts w:ascii="宋体" w:hAnsi="宋体" w:eastAsia="宋体"/>
          <w:color w:val="000000"/>
          <w:sz w:val="24"/>
        </w:rPr>
        <w:t xml:space="preserve">[187] Bevir, M. (2012).</w:t>
      </w:r>
      <w:r>
        <w:rPr>
          <w:rFonts w:ascii="宋体" w:hAnsi="宋体" w:eastAsia="宋体"/>
          <w:color w:val="000000"/>
          <w:sz w:val="24"/>
        </w:rPr>
        <w:t xml:space="preserve"> </w:t>
      </w:r>
      <w:r>
        <w:rPr>
          <w:rFonts w:ascii="宋体" w:hAnsi="宋体" w:eastAsia="宋体"/>
          <w:i/>
          <w:iCs/>
          <w:color w:val="000000"/>
          <w:sz w:val="24"/>
        </w:rPr>
        <w:t xml:space="preserve">Governance: A very short introduction</w:t>
      </w:r>
      <w:r>
        <w:rPr>
          <w:rFonts w:ascii="宋体" w:hAnsi="宋体" w:eastAsia="宋体"/>
          <w:color w:val="000000"/>
          <w:sz w:val="24"/>
        </w:rPr>
        <w:t xml:space="preserve">. Oxford: Oxford University Press.</w:t>
      </w:r>
    </w:p>
    <w:p>
      <w:pPr>
        <w:pStyle w:val="BodyText"/>
        <w:spacing w:line="360" w:lineRule="auto"/>
      </w:pPr>
      <w:r>
        <w:rPr>
          <w:rFonts w:ascii="宋体" w:hAnsi="宋体" w:eastAsia="宋体"/>
          <w:color w:val="000000"/>
          <w:sz w:val="24"/>
        </w:rPr>
        <w:t xml:space="preserve">[188] Lynn, L. E., Heinrich, C. J., &amp; Hill, C. J. (2000). Studying governance and public management: Challenges and prospects.</w:t>
      </w:r>
      <w:r>
        <w:rPr>
          <w:rFonts w:ascii="宋体" w:hAnsi="宋体" w:eastAsia="宋体"/>
          <w:color w:val="000000"/>
          <w:sz w:val="24"/>
        </w:rPr>
        <w:t xml:space="preserve"> </w:t>
      </w:r>
      <w:r>
        <w:rPr>
          <w:rFonts w:ascii="宋体" w:hAnsi="宋体" w:eastAsia="宋体"/>
          <w:i/>
          <w:iCs/>
          <w:color w:val="000000"/>
          <w:sz w:val="24"/>
        </w:rPr>
        <w:t xml:space="preserve">Journal of Public Administration Research and Theory</w:t>
      </w:r>
      <w:r>
        <w:rPr>
          <w:rFonts w:ascii="宋体" w:hAnsi="宋体" w:eastAsia="宋体"/>
          <w:color w:val="000000"/>
          <w:sz w:val="24"/>
        </w:rPr>
        <w:t xml:space="preserve">, 10(2), 233-261.</w:t>
      </w:r>
    </w:p>
    <w:p>
      <w:pPr>
        <w:pStyle w:val="BodyText"/>
        <w:spacing w:line="360" w:lineRule="auto"/>
      </w:pPr>
      <w:r>
        <w:rPr>
          <w:rFonts w:ascii="宋体" w:hAnsi="宋体" w:eastAsia="宋体"/>
          <w:color w:val="000000"/>
          <w:sz w:val="24"/>
        </w:rPr>
        <w:t xml:space="preserve">[189] Meijer, A. J. (2015). E-governance innovation: Barriers and strategies.</w:t>
      </w:r>
      <w:r>
        <w:rPr>
          <w:rFonts w:ascii="宋体" w:hAnsi="宋体" w:eastAsia="宋体"/>
          <w:color w:val="000000"/>
          <w:sz w:val="24"/>
        </w:rPr>
        <w:t xml:space="preserve"> </w:t>
      </w:r>
      <w:r>
        <w:rPr>
          <w:rFonts w:ascii="宋体" w:hAnsi="宋体" w:eastAsia="宋体"/>
          <w:i/>
          <w:iCs/>
          <w:color w:val="000000"/>
          <w:sz w:val="24"/>
        </w:rPr>
        <w:t xml:space="preserve">Government Information Quarterly</w:t>
      </w:r>
      <w:r>
        <w:rPr>
          <w:rFonts w:ascii="宋体" w:hAnsi="宋体" w:eastAsia="宋体"/>
          <w:color w:val="000000"/>
          <w:sz w:val="24"/>
        </w:rPr>
        <w:t xml:space="preserve">, 32(2), 198-206.</w:t>
      </w:r>
    </w:p>
    <w:p>
      <w:pPr>
        <w:pStyle w:val="BodyText"/>
        <w:spacing w:line="360" w:lineRule="auto"/>
      </w:pPr>
      <w:r>
        <w:rPr>
          <w:rFonts w:ascii="宋体" w:hAnsi="宋体" w:eastAsia="宋体"/>
          <w:color w:val="000000"/>
          <w:sz w:val="24"/>
        </w:rPr>
        <w:t xml:space="preserve">[190] Bannister, F., &amp; Connolly, R. (2011). Trust and transformational government: A proposed framework for research.</w:t>
      </w:r>
      <w:r>
        <w:rPr>
          <w:rFonts w:ascii="宋体" w:hAnsi="宋体" w:eastAsia="宋体"/>
          <w:color w:val="000000"/>
          <w:sz w:val="24"/>
        </w:rPr>
        <w:t xml:space="preserve"> </w:t>
      </w:r>
      <w:r>
        <w:rPr>
          <w:rFonts w:ascii="宋体" w:hAnsi="宋体" w:eastAsia="宋体"/>
          <w:i/>
          <w:iCs/>
          <w:color w:val="000000"/>
          <w:sz w:val="24"/>
        </w:rPr>
        <w:t xml:space="preserve">Government Information Quarterly</w:t>
      </w:r>
      <w:r>
        <w:rPr>
          <w:rFonts w:ascii="宋体" w:hAnsi="宋体" w:eastAsia="宋体"/>
          <w:color w:val="000000"/>
          <w:sz w:val="24"/>
        </w:rPr>
        <w:t xml:space="preserve">, 28(2), 137-147.</w:t>
      </w:r>
    </w:p>
    <w:p>
      <w:pPr>
        <w:pStyle w:val="BodyText"/>
        <w:spacing w:line="360" w:lineRule="auto"/>
      </w:pPr>
      <w:r>
        <w:rPr>
          <w:rFonts w:ascii="宋体" w:hAnsi="宋体" w:eastAsia="宋体"/>
          <w:color w:val="000000"/>
          <w:sz w:val="24"/>
        </w:rPr>
        <w:t xml:space="preserve">[191] Tolbert, C. J., &amp; Mossberger, K. (2006). The effects of e-government on trust and confidence in government.</w:t>
      </w:r>
      <w:r>
        <w:rPr>
          <w:rFonts w:ascii="宋体" w:hAnsi="宋体" w:eastAsia="宋体"/>
          <w:color w:val="000000"/>
          <w:sz w:val="24"/>
        </w:rPr>
        <w:t xml:space="preserve"> </w:t>
      </w:r>
      <w:r>
        <w:rPr>
          <w:rFonts w:ascii="宋体" w:hAnsi="宋体" w:eastAsia="宋体"/>
          <w:i/>
          <w:iCs/>
          <w:color w:val="000000"/>
          <w:sz w:val="24"/>
        </w:rPr>
        <w:t xml:space="preserve">Public Administration Review</w:t>
      </w:r>
      <w:r>
        <w:rPr>
          <w:rFonts w:ascii="宋体" w:hAnsi="宋体" w:eastAsia="宋体"/>
          <w:color w:val="000000"/>
          <w:sz w:val="24"/>
        </w:rPr>
        <w:t xml:space="preserve">, 66(3), 354-369.</w:t>
      </w:r>
    </w:p>
    <w:p>
      <w:pPr>
        <w:pStyle w:val="BodyText"/>
        <w:spacing w:line="360" w:lineRule="auto"/>
      </w:pPr>
      <w:r>
        <w:rPr>
          <w:rFonts w:ascii="宋体" w:hAnsi="宋体" w:eastAsia="宋体"/>
          <w:color w:val="000000"/>
          <w:sz w:val="24"/>
        </w:rPr>
        <w:t xml:space="preserve">[192] Welch, E. W., Hinnant, C. C., &amp; Moon, M. J. (2005). Linking citizen satisfaction with e-government and trust in government.</w:t>
      </w:r>
      <w:r>
        <w:rPr>
          <w:rFonts w:ascii="宋体" w:hAnsi="宋体" w:eastAsia="宋体"/>
          <w:color w:val="000000"/>
          <w:sz w:val="24"/>
        </w:rPr>
        <w:t xml:space="preserve"> </w:t>
      </w:r>
      <w:r>
        <w:rPr>
          <w:rFonts w:ascii="宋体" w:hAnsi="宋体" w:eastAsia="宋体"/>
          <w:i/>
          <w:iCs/>
          <w:color w:val="000000"/>
          <w:sz w:val="24"/>
        </w:rPr>
        <w:t xml:space="preserve">Journal of Public Administration Research and Theory</w:t>
      </w:r>
      <w:r>
        <w:rPr>
          <w:rFonts w:ascii="宋体" w:hAnsi="宋体" w:eastAsia="宋体"/>
          <w:color w:val="000000"/>
          <w:sz w:val="24"/>
        </w:rPr>
        <w:t xml:space="preserve">, 15(3), 371-391.</w:t>
      </w:r>
    </w:p>
    <w:p>
      <w:pPr>
        <w:pStyle w:val="BodyText"/>
        <w:spacing w:line="360" w:lineRule="auto"/>
      </w:pPr>
      <w:r>
        <w:rPr>
          <w:rFonts w:ascii="宋体" w:hAnsi="宋体" w:eastAsia="宋体"/>
          <w:color w:val="000000"/>
          <w:sz w:val="24"/>
        </w:rPr>
        <w:t xml:space="preserve">[193] West, D. M. (2004).</w:t>
      </w:r>
      <w:r>
        <w:rPr>
          <w:rFonts w:ascii="宋体" w:hAnsi="宋体" w:eastAsia="宋体"/>
          <w:color w:val="000000"/>
          <w:sz w:val="24"/>
        </w:rPr>
        <w:t xml:space="preserve"> </w:t>
      </w:r>
      <w:r>
        <w:rPr>
          <w:rFonts w:ascii="宋体" w:hAnsi="宋体" w:eastAsia="宋体"/>
          <w:i/>
          <w:iCs/>
          <w:color w:val="000000"/>
          <w:sz w:val="24"/>
        </w:rPr>
        <w:t xml:space="preserve">E-government and the transformation of service delivery and citizen attitudes</w:t>
      </w:r>
      <w:r>
        <w:rPr>
          <w:rFonts w:ascii="宋体" w:hAnsi="宋体" w:eastAsia="宋体"/>
          <w:color w:val="000000"/>
          <w:sz w:val="24"/>
        </w:rPr>
        <w:t xml:space="preserve">. Washington, DC: Brookings Institution.</w:t>
      </w:r>
    </w:p>
    <w:p>
      <w:pPr>
        <w:pStyle w:val="BodyText"/>
        <w:spacing w:line="360" w:lineRule="auto"/>
      </w:pPr>
      <w:r>
        <w:rPr>
          <w:rFonts w:ascii="宋体" w:hAnsi="宋体" w:eastAsia="宋体"/>
          <w:color w:val="000000"/>
          <w:sz w:val="24"/>
        </w:rPr>
        <w:t xml:space="preserve">[194] Gil-Garcia, J. R. (2012).</w:t>
      </w:r>
      <w:r>
        <w:rPr>
          <w:rFonts w:ascii="宋体" w:hAnsi="宋体" w:eastAsia="宋体"/>
          <w:color w:val="000000"/>
          <w:sz w:val="24"/>
        </w:rPr>
        <w:t xml:space="preserve"> </w:t>
      </w:r>
      <w:r>
        <w:rPr>
          <w:rFonts w:ascii="宋体" w:hAnsi="宋体" w:eastAsia="宋体"/>
          <w:i/>
          <w:iCs/>
          <w:color w:val="000000"/>
          <w:sz w:val="24"/>
        </w:rPr>
        <w:t xml:space="preserve">Enacting electronic government success: An integrative study of government-wide websites, organizational capabilities, and institutions</w:t>
      </w:r>
      <w:r>
        <w:rPr>
          <w:rFonts w:ascii="宋体" w:hAnsi="宋体" w:eastAsia="宋体"/>
          <w:color w:val="000000"/>
          <w:sz w:val="24"/>
        </w:rPr>
        <w:t xml:space="preserve">. New York: Springer.</w:t>
      </w:r>
    </w:p>
    <w:p>
      <w:pPr>
        <w:pStyle w:val="BodyText"/>
        <w:spacing w:line="360" w:lineRule="auto"/>
      </w:pPr>
      <w:r>
        <w:rPr>
          <w:rFonts w:ascii="宋体" w:hAnsi="宋体" w:eastAsia="宋体"/>
          <w:color w:val="000000"/>
          <w:sz w:val="24"/>
        </w:rPr>
        <w:t xml:space="preserve">[195] Luna-Reyes, L. F., &amp; Gil-Garcia, J. R. (2014). Digital government transformation and internet portals: The co-evolution of technology, organizations, and institutions.</w:t>
      </w:r>
      <w:r>
        <w:rPr>
          <w:rFonts w:ascii="宋体" w:hAnsi="宋体" w:eastAsia="宋体"/>
          <w:color w:val="000000"/>
          <w:sz w:val="24"/>
        </w:rPr>
        <w:t xml:space="preserve"> </w:t>
      </w:r>
      <w:r>
        <w:rPr>
          <w:rFonts w:ascii="宋体" w:hAnsi="宋体" w:eastAsia="宋体"/>
          <w:i/>
          <w:iCs/>
          <w:color w:val="000000"/>
          <w:sz w:val="24"/>
        </w:rPr>
        <w:t xml:space="preserve">Government Information Quarterly</w:t>
      </w:r>
      <w:r>
        <w:rPr>
          <w:rFonts w:ascii="宋体" w:hAnsi="宋体" w:eastAsia="宋体"/>
          <w:color w:val="000000"/>
          <w:sz w:val="24"/>
        </w:rPr>
        <w:t xml:space="preserve">, 31(4), 545-555.</w:t>
      </w:r>
    </w:p>
    <w:p>
      <w:pPr>
        <w:pStyle w:val="BodyText"/>
        <w:spacing w:line="360" w:lineRule="auto"/>
      </w:pPr>
      <w:r>
        <w:rPr>
          <w:rFonts w:ascii="宋体" w:hAnsi="宋体" w:eastAsia="宋体"/>
          <w:color w:val="000000"/>
          <w:sz w:val="24"/>
        </w:rPr>
        <w:t xml:space="preserve">[196] Dwivedi, Y. K., Rana, N. P., Janssen, M., Lal, B., Williams, M. D., &amp; Clement, M. (2017). An empirical validation of a unified model of electronic government adoption (UMEGA).</w:t>
      </w:r>
      <w:r>
        <w:rPr>
          <w:rFonts w:ascii="宋体" w:hAnsi="宋体" w:eastAsia="宋体"/>
          <w:color w:val="000000"/>
          <w:sz w:val="24"/>
        </w:rPr>
        <w:t xml:space="preserve"> </w:t>
      </w:r>
      <w:r>
        <w:rPr>
          <w:rFonts w:ascii="宋体" w:hAnsi="宋体" w:eastAsia="宋体"/>
          <w:i/>
          <w:iCs/>
          <w:color w:val="000000"/>
          <w:sz w:val="24"/>
        </w:rPr>
        <w:t xml:space="preserve">Government Information Quarterly</w:t>
      </w:r>
      <w:r>
        <w:rPr>
          <w:rFonts w:ascii="宋体" w:hAnsi="宋体" w:eastAsia="宋体"/>
          <w:color w:val="000000"/>
          <w:sz w:val="24"/>
        </w:rPr>
        <w:t xml:space="preserve">, 34(2), 211-230.</w:t>
      </w:r>
    </w:p>
    <w:p>
      <w:pPr>
        <w:pStyle w:val="BodyText"/>
        <w:spacing w:line="360" w:lineRule="auto"/>
      </w:pPr>
      <w:r>
        <w:rPr>
          <w:rFonts w:ascii="宋体" w:hAnsi="宋体" w:eastAsia="宋体"/>
          <w:color w:val="000000"/>
          <w:sz w:val="24"/>
        </w:rPr>
        <w:t xml:space="preserve">[197] Shareef, M. A., Baabdullah, A., Dutta, S., Kumar, V., &amp; Dwivedi, Y. K. (2018). Consumer adoption of mobile banking services: An empirical examination of factors according to adoption stages.</w:t>
      </w:r>
      <w:r>
        <w:rPr>
          <w:rFonts w:ascii="宋体" w:hAnsi="宋体" w:eastAsia="宋体"/>
          <w:color w:val="000000"/>
          <w:sz w:val="24"/>
        </w:rPr>
        <w:t xml:space="preserve"> </w:t>
      </w:r>
      <w:r>
        <w:rPr>
          <w:rFonts w:ascii="宋体" w:hAnsi="宋体" w:eastAsia="宋体"/>
          <w:i/>
          <w:iCs/>
          <w:color w:val="000000"/>
          <w:sz w:val="24"/>
        </w:rPr>
        <w:t xml:space="preserve">Journal of Retailing and Consumer Services</w:t>
      </w:r>
      <w:r>
        <w:rPr>
          <w:rFonts w:ascii="宋体" w:hAnsi="宋体" w:eastAsia="宋体"/>
          <w:color w:val="000000"/>
          <w:sz w:val="24"/>
        </w:rPr>
        <w:t xml:space="preserve">, 43, 54-67.</w:t>
      </w:r>
    </w:p>
    <w:p>
      <w:pPr>
        <w:pStyle w:val="BodyText"/>
        <w:spacing w:line="360" w:lineRule="auto"/>
      </w:pPr>
      <w:r>
        <w:rPr>
          <w:rFonts w:ascii="宋体" w:hAnsi="宋体" w:eastAsia="宋体"/>
          <w:color w:val="000000"/>
          <w:sz w:val="24"/>
        </w:rPr>
        <w:t xml:space="preserve">[198] Venkatesh, V., Morris, M. G., Davis, G. B., &amp; Davis, F. D. (2003). User acceptance of information technology: Toward a unified view.</w:t>
      </w:r>
      <w:r>
        <w:rPr>
          <w:rFonts w:ascii="宋体" w:hAnsi="宋体" w:eastAsia="宋体"/>
          <w:color w:val="000000"/>
          <w:sz w:val="24"/>
        </w:rPr>
        <w:t xml:space="preserve"> </w:t>
      </w:r>
      <w:r>
        <w:rPr>
          <w:rFonts w:ascii="宋体" w:hAnsi="宋体" w:eastAsia="宋体"/>
          <w:i/>
          <w:iCs/>
          <w:color w:val="000000"/>
          <w:sz w:val="24"/>
        </w:rPr>
        <w:t xml:space="preserve">MIS Quarterly</w:t>
      </w:r>
      <w:r>
        <w:rPr>
          <w:rFonts w:ascii="宋体" w:hAnsi="宋体" w:eastAsia="宋体"/>
          <w:color w:val="000000"/>
          <w:sz w:val="24"/>
        </w:rPr>
        <w:t xml:space="preserve">, 27(3), 425-478.</w:t>
      </w:r>
    </w:p>
    <w:p>
      <w:pPr>
        <w:pStyle w:val="BodyText"/>
        <w:spacing w:line="360" w:lineRule="auto"/>
      </w:pPr>
      <w:r>
        <w:rPr>
          <w:rFonts w:ascii="宋体" w:hAnsi="宋体" w:eastAsia="宋体"/>
          <w:color w:val="000000"/>
          <w:sz w:val="24"/>
        </w:rPr>
        <w:t xml:space="preserve">[199] Rogers, E. M. (2003).</w:t>
      </w:r>
      <w:r>
        <w:rPr>
          <w:rFonts w:ascii="宋体" w:hAnsi="宋体" w:eastAsia="宋体"/>
          <w:color w:val="000000"/>
          <w:sz w:val="24"/>
        </w:rPr>
        <w:t xml:space="preserve"> </w:t>
      </w:r>
      <w:r>
        <w:rPr>
          <w:rFonts w:ascii="宋体" w:hAnsi="宋体" w:eastAsia="宋体"/>
          <w:i/>
          <w:iCs/>
          <w:color w:val="000000"/>
          <w:sz w:val="24"/>
        </w:rPr>
        <w:t xml:space="preserve">Diffusion of innovations</w:t>
      </w:r>
      <w:r>
        <w:rPr>
          <w:rFonts w:ascii="宋体" w:hAnsi="宋体" w:eastAsia="宋体"/>
          <w:color w:val="000000"/>
          <w:sz w:val="24"/>
        </w:rPr>
        <w:t xml:space="preserve"> </w:t>
      </w:r>
      <w:r>
        <w:rPr>
          <w:rFonts w:ascii="宋体" w:hAnsi="宋体" w:eastAsia="宋体"/>
          <w:color w:val="000000"/>
          <w:sz w:val="24"/>
        </w:rPr>
        <w:t xml:space="preserve">(5th ed.). New York: Free Press.</w:t>
      </w:r>
    </w:p>
    <w:p>
      <w:pPr>
        <w:pStyle w:val="BodyText"/>
        <w:spacing w:line="360" w:lineRule="auto"/>
      </w:pPr>
      <w:r>
        <w:rPr>
          <w:rFonts w:ascii="宋体" w:hAnsi="宋体" w:eastAsia="宋体"/>
          <w:color w:val="000000"/>
          <w:sz w:val="24"/>
        </w:rPr>
        <w:t xml:space="preserve">[200] Davis, F. D. (1989). Perceived usefulness, perceived ease of use, and user acceptance of information technology.</w:t>
      </w:r>
      <w:r>
        <w:rPr>
          <w:rFonts w:ascii="宋体" w:hAnsi="宋体" w:eastAsia="宋体"/>
          <w:color w:val="000000"/>
          <w:sz w:val="24"/>
        </w:rPr>
        <w:t xml:space="preserve"> </w:t>
      </w:r>
      <w:r>
        <w:rPr>
          <w:rFonts w:ascii="宋体" w:hAnsi="宋体" w:eastAsia="宋体"/>
          <w:i/>
          <w:iCs/>
          <w:color w:val="000000"/>
          <w:sz w:val="24"/>
        </w:rPr>
        <w:t xml:space="preserve">MIS Quarterly</w:t>
      </w:r>
      <w:r>
        <w:rPr>
          <w:rFonts w:ascii="宋体" w:hAnsi="宋体" w:eastAsia="宋体"/>
          <w:color w:val="000000"/>
          <w:sz w:val="24"/>
        </w:rPr>
        <w:t xml:space="preserve">, 13(3), 319-340.</w:t>
      </w:r>
    </w:p>
    <w:bookmarkEnd w:id="221"/>
    <w:bookmarkStart w:id="225" w:name="附录a-数据采集技术说明"/>
    <w:p>
      <w:pPr>
        <w:pStyle w:val="Heading2"/>
        <w:spacing w:line="360" w:lineRule="auto"/>
      </w:pPr>
      <w:r>
        <w:rPr>
          <w:rFonts w:hint="eastAsia" w:ascii="黑体" w:hAnsi="黑体" w:eastAsia="黑体"/>
          <w:b/>
          <w:color w:val="000000"/>
          <w:sz w:val="28"/>
        </w:rPr>
        <w:t xml:space="preserve">附录A</w:t>
      </w:r>
      <w:r>
        <w:rPr>
          <w:rFonts w:ascii="黑体" w:hAnsi="黑体" w:eastAsia="黑体"/>
          <w:b/>
          <w:color w:val="000000"/>
          <w:sz w:val="28"/>
        </w:rPr>
        <w:t xml:space="preserve"> </w:t>
      </w:r>
      <w:r>
        <w:rPr>
          <w:rFonts w:hint="eastAsia" w:ascii="黑体" w:hAnsi="黑体" w:eastAsia="黑体"/>
          <w:b/>
          <w:color w:val="000000"/>
          <w:sz w:val="28"/>
        </w:rPr>
        <w:t xml:space="preserve">数据采集技术说明</w:t>
      </w:r>
    </w:p>
    <w:bookmarkStart w:id="222" w:name="a.1-采集系统架构"/>
    <w:p>
      <w:pPr>
        <w:pStyle w:val="Heading3"/>
        <w:spacing w:line="360" w:lineRule="auto"/>
      </w:pPr>
      <w:r>
        <w:rPr>
          <w:rFonts w:ascii="黑体" w:hAnsi="黑体" w:eastAsia="黑体"/>
          <w:b/>
          <w:color w:val="000000"/>
          <w:sz w:val="24"/>
        </w:rPr>
        <w:t xml:space="preserve">A.1 </w:t>
      </w:r>
      <w:r>
        <w:rPr>
          <w:rFonts w:hint="eastAsia" w:ascii="黑体" w:hAnsi="黑体" w:eastAsia="黑体"/>
          <w:b/>
          <w:color w:val="000000"/>
          <w:sz w:val="24"/>
        </w:rPr>
        <w:t xml:space="preserve">采集系统架构</w:t>
      </w:r>
    </w:p>
    <w:p>
      <w:pPr>
        <w:pStyle w:val="FirstParagraph"/>
        <w:spacing w:line="360" w:lineRule="auto"/>
      </w:pPr>
      <w:r>
        <w:rPr>
          <w:rFonts w:hint="eastAsia" w:ascii="宋体" w:hAnsi="宋体" w:eastAsia="宋体"/>
          <w:color w:val="000000"/>
          <w:sz w:val="24"/>
        </w:rPr>
        <w:t xml:space="preserve">本研究采用自主开发的数据采集系统OGD-Collector</w:t>
      </w:r>
      <w:r>
        <w:rPr>
          <w:rFonts w:ascii="宋体" w:hAnsi="宋体" w:eastAsia="宋体"/>
          <w:color w:val="000000"/>
          <w:sz w:val="24"/>
        </w:rPr>
        <w:t xml:space="preserve"> </w:t>
      </w:r>
      <w:r>
        <w:rPr>
          <w:rFonts w:hint="eastAsia" w:ascii="宋体" w:hAnsi="宋体" w:eastAsia="宋体"/>
          <w:color w:val="000000"/>
          <w:sz w:val="24"/>
        </w:rPr>
        <w:t xml:space="preserve">Pro进行平台数据采集。采集系统采用三层架构设计：数据层、处理层和存储层。</w:t>
      </w:r>
    </w:p>
    <w:p>
      <w:pPr>
        <w:pStyle w:val="BodyText"/>
        <w:spacing w:line="360" w:lineRule="auto"/>
      </w:pPr>
      <w:r>
        <w:rPr>
          <w:rFonts w:hint="eastAsia" w:ascii="宋体" w:hAnsi="宋体" w:eastAsia="宋体"/>
          <w:b/>
          <w:bCs/>
          <w:color w:val="000000"/>
          <w:sz w:val="24"/>
        </w:rPr>
        <w:t xml:space="preserve">数据层</w:t>
      </w:r>
      <w:r>
        <w:rPr>
          <w:rFonts w:hint="eastAsia" w:ascii="宋体" w:hAnsi="宋体" w:eastAsia="宋体"/>
          <w:color w:val="000000"/>
          <w:sz w:val="24"/>
        </w:rPr>
        <w:t xml:space="preserve">负责与目标平台的数据接口进行交互。系统支持多种数据采集方式：HTTP/HTTPS请求（用于获取网页内容）、API调用（用于获取结构化数据）、Selenium浏览器自动化（用于处理动态加载页面）、FTP下载（用于批量获取数据文件）。针对不同平台的防爬机制，系统内置了多种反反爬策略：请求频率控制（默认每5秒发送一次请求）、User-Agent轮换（内置50种常用浏览器UA）、IP代理池（支持HTTP/HTTPS/SOCKS5代理）、Cookie持久化（模拟真实用户会话）。</w:t>
      </w:r>
    </w:p>
    <w:p>
      <w:pPr>
        <w:pStyle w:val="BodyText"/>
        <w:spacing w:line="360" w:lineRule="auto"/>
      </w:pPr>
      <w:r>
        <w:rPr>
          <w:rFonts w:hint="eastAsia" w:ascii="宋体" w:hAnsi="宋体" w:eastAsia="宋体"/>
          <w:b/>
          <w:bCs/>
          <w:color w:val="000000"/>
          <w:sz w:val="24"/>
        </w:rPr>
        <w:t xml:space="preserve">处理层</w:t>
      </w:r>
      <w:r>
        <w:rPr>
          <w:rFonts w:hint="eastAsia" w:ascii="宋体" w:hAnsi="宋体" w:eastAsia="宋体"/>
          <w:color w:val="000000"/>
          <w:sz w:val="24"/>
        </w:rPr>
        <w:t xml:space="preserve">负责对采集的原始数据进行解析、清洗和转换。系统内置了多种解析器：HTML解析器（基于BeautifulSoup和XPath）、JSON解析器（处理API返回的JSON数据）、XML解析器（处理XML格式的元数据）、CSV解析器（处理表格数据）。清洗模块包括：去重（基于MD5哈希或URL唯一性）、纠错（基于规则引擎和机器学习模型）、补全（基于数据推断和外部数据源）、标准化（统一编码、格式和单位）。</w:t>
      </w:r>
    </w:p>
    <w:p>
      <w:pPr>
        <w:pStyle w:val="BodyText"/>
        <w:spacing w:line="360" w:lineRule="auto"/>
      </w:pPr>
      <w:r>
        <w:rPr>
          <w:rFonts w:hint="eastAsia" w:ascii="宋体" w:hAnsi="宋体" w:eastAsia="宋体"/>
          <w:b/>
          <w:bCs/>
          <w:color w:val="000000"/>
          <w:sz w:val="24"/>
        </w:rPr>
        <w:t xml:space="preserve">存储层</w:t>
      </w:r>
      <w:r>
        <w:rPr>
          <w:rFonts w:hint="eastAsia" w:ascii="宋体" w:hAnsi="宋体" w:eastAsia="宋体"/>
          <w:color w:val="000000"/>
          <w:sz w:val="24"/>
        </w:rPr>
        <w:t xml:space="preserve">负责数据的持久化存储和管理。系统采用SQLite作为本地数据库，存储采集的原始数据、清洗后的数据和元数据信息。数据库设计了以下核心表结构：platforms表（平台基本信息）、datasets表（数据集详细信息）、apis表（API接口信息）、apps表（应用成果信息）、logs表（采集日志和错误记录）。</w:t>
      </w:r>
    </w:p>
    <w:bookmarkEnd w:id="222"/>
    <w:bookmarkStart w:id="223" w:name="a.2-采集流程"/>
    <w:p>
      <w:pPr>
        <w:pStyle w:val="Heading3"/>
        <w:spacing w:line="360" w:lineRule="auto"/>
      </w:pPr>
      <w:r>
        <w:rPr>
          <w:rFonts w:ascii="黑体" w:hAnsi="黑体" w:eastAsia="黑体"/>
          <w:b/>
          <w:color w:val="000000"/>
          <w:sz w:val="24"/>
        </w:rPr>
        <w:t xml:space="preserve">A.2 </w:t>
      </w:r>
      <w:r>
        <w:rPr>
          <w:rFonts w:hint="eastAsia" w:ascii="黑体" w:hAnsi="黑体" w:eastAsia="黑体"/>
          <w:b/>
          <w:color w:val="000000"/>
          <w:sz w:val="24"/>
        </w:rPr>
        <w:t xml:space="preserve">采集流程</w:t>
      </w:r>
    </w:p>
    <w:p>
      <w:pPr>
        <w:pStyle w:val="FirstParagraph"/>
        <w:spacing w:line="360" w:lineRule="auto"/>
      </w:pPr>
      <w:r>
        <w:rPr>
          <w:rFonts w:hint="eastAsia" w:ascii="宋体" w:hAnsi="宋体" w:eastAsia="宋体"/>
          <w:color w:val="000000"/>
          <w:sz w:val="24"/>
        </w:rPr>
        <w:t xml:space="preserve">数据采集流程分为六个步骤。</w:t>
      </w:r>
    </w:p>
    <w:p>
      <w:pPr>
        <w:pStyle w:val="BodyText"/>
        <w:spacing w:line="360" w:lineRule="auto"/>
      </w:pPr>
      <w:r>
        <w:rPr>
          <w:rFonts w:hint="eastAsia" w:ascii="宋体" w:hAnsi="宋体" w:eastAsia="宋体"/>
          <w:b/>
          <w:bCs/>
          <w:color w:val="000000"/>
          <w:sz w:val="24"/>
        </w:rPr>
        <w:t xml:space="preserve">步骤一：目标识别。</w:t>
      </w:r>
      <w:r>
        <w:rPr>
          <w:rFonts w:ascii="宋体" w:hAnsi="宋体" w:eastAsia="宋体"/>
          <w:color w:val="000000"/>
          <w:sz w:val="24"/>
        </w:rPr>
        <w:t xml:space="preserve"> </w:t>
      </w:r>
      <w:r>
        <w:rPr>
          <w:rFonts w:hint="eastAsia" w:ascii="宋体" w:hAnsi="宋体" w:eastAsia="宋体"/>
          <w:color w:val="000000"/>
          <w:sz w:val="24"/>
        </w:rPr>
        <w:t xml:space="preserve">根据平台规则库中的配置信息，识别目标平台的URL结构、数据接口和防爬机制。平台规则库采用JSON格式存储，每个平台对应一个规则文件，包含平台名称、基础URL、数据集列表页URL模板、数据集详情页URL模板、API端点、分页参数、反爬策略等信息。</w:t>
      </w:r>
    </w:p>
    <w:p>
      <w:pPr>
        <w:pStyle w:val="BodyText"/>
        <w:spacing w:line="360" w:lineRule="auto"/>
      </w:pPr>
      <w:r>
        <w:rPr>
          <w:rFonts w:hint="eastAsia" w:ascii="宋体" w:hAnsi="宋体" w:eastAsia="宋体"/>
          <w:b/>
          <w:bCs/>
          <w:color w:val="000000"/>
          <w:sz w:val="24"/>
        </w:rPr>
        <w:t xml:space="preserve">步骤二：页面抓取。</w:t>
      </w:r>
      <w:r>
        <w:rPr>
          <w:rFonts w:ascii="宋体" w:hAnsi="宋体" w:eastAsia="宋体"/>
          <w:color w:val="000000"/>
          <w:sz w:val="24"/>
        </w:rPr>
        <w:t xml:space="preserve"> </w:t>
      </w:r>
      <w:r>
        <w:rPr>
          <w:rFonts w:hint="eastAsia" w:ascii="宋体" w:hAnsi="宋体" w:eastAsia="宋体"/>
          <w:color w:val="000000"/>
          <w:sz w:val="24"/>
        </w:rPr>
        <w:t xml:space="preserve">使用HTTP客户端或浏览器自动化工具访问目标页面，获取页面的HTML源码或JSON数据。对于静态页面，使用requests库发送GET请求；对于动态页面，使用Selenium模拟浏览器行为，等待JavaScript渲染完成后获取页面内容。</w:t>
      </w:r>
    </w:p>
    <w:p>
      <w:pPr>
        <w:pStyle w:val="BodyText"/>
        <w:spacing w:line="360" w:lineRule="auto"/>
      </w:pPr>
      <w:r>
        <w:rPr>
          <w:rFonts w:hint="eastAsia" w:ascii="宋体" w:hAnsi="宋体" w:eastAsia="宋体"/>
          <w:b/>
          <w:bCs/>
          <w:color w:val="000000"/>
          <w:sz w:val="24"/>
        </w:rPr>
        <w:t xml:space="preserve">步骤三：数据解析。</w:t>
      </w:r>
      <w:r>
        <w:rPr>
          <w:rFonts w:ascii="宋体" w:hAnsi="宋体" w:eastAsia="宋体"/>
          <w:color w:val="000000"/>
          <w:sz w:val="24"/>
        </w:rPr>
        <w:t xml:space="preserve"> </w:t>
      </w:r>
      <w:r>
        <w:rPr>
          <w:rFonts w:hint="eastAsia" w:ascii="宋体" w:hAnsi="宋体" w:eastAsia="宋体"/>
          <w:color w:val="000000"/>
          <w:sz w:val="24"/>
        </w:rPr>
        <w:t xml:space="preserve">使用XPath或CSS选择器从HTML页面中提取目标数据。解析规则存储在平台规则库中，包括：数据集标题的选择器路径、数据集描述的选择器路径、发布机构的选择器路径、更新日期的选择器路径、数据格式的选择器路径、下载链接的选择器路径等。</w:t>
      </w:r>
    </w:p>
    <w:p>
      <w:pPr>
        <w:pStyle w:val="BodyText"/>
        <w:spacing w:line="360" w:lineRule="auto"/>
      </w:pPr>
      <w:r>
        <w:rPr>
          <w:rFonts w:hint="eastAsia" w:ascii="宋体" w:hAnsi="宋体" w:eastAsia="宋体"/>
          <w:b/>
          <w:bCs/>
          <w:color w:val="000000"/>
          <w:sz w:val="24"/>
        </w:rPr>
        <w:t xml:space="preserve">步骤四：数据验证。</w:t>
      </w:r>
      <w:r>
        <w:rPr>
          <w:rFonts w:ascii="宋体" w:hAnsi="宋体" w:eastAsia="宋体"/>
          <w:color w:val="000000"/>
          <w:sz w:val="24"/>
        </w:rPr>
        <w:t xml:space="preserve"> </w:t>
      </w:r>
      <w:r>
        <w:rPr>
          <w:rFonts w:hint="eastAsia" w:ascii="宋体" w:hAnsi="宋体" w:eastAsia="宋体"/>
          <w:color w:val="000000"/>
          <w:sz w:val="24"/>
        </w:rPr>
        <w:t xml:space="preserve">对解析出的数据进行有效性验证，包括：非空验证（必填字段是否为空）、格式验证（日期格式、URL格式、数值范围等）、一致性验证（跨字段逻辑一致性）。验证失败的数据被标记为异常，进入人工复核队列。</w:t>
      </w:r>
    </w:p>
    <w:p>
      <w:pPr>
        <w:pStyle w:val="BodyText"/>
        <w:spacing w:line="360" w:lineRule="auto"/>
      </w:pPr>
      <w:r>
        <w:rPr>
          <w:rFonts w:hint="eastAsia" w:ascii="宋体" w:hAnsi="宋体" w:eastAsia="宋体"/>
          <w:b/>
          <w:bCs/>
          <w:color w:val="000000"/>
          <w:sz w:val="24"/>
        </w:rPr>
        <w:t xml:space="preserve">步骤五：数据存储。</w:t>
      </w:r>
      <w:r>
        <w:rPr>
          <w:rFonts w:ascii="宋体" w:hAnsi="宋体" w:eastAsia="宋体"/>
          <w:color w:val="000000"/>
          <w:sz w:val="24"/>
        </w:rPr>
        <w:t xml:space="preserve"> </w:t>
      </w:r>
      <w:r>
        <w:rPr>
          <w:rFonts w:hint="eastAsia" w:ascii="宋体" w:hAnsi="宋体" w:eastAsia="宋体"/>
          <w:color w:val="000000"/>
          <w:sz w:val="24"/>
        </w:rPr>
        <w:t xml:space="preserve">将验证通过的数据写入SQLite数据库，同时生成CSV格式的数据导出文件。每条数据记录包含以下元信息：采集时间戳、数据来源URL、采集状态（成功/失败）、错误信息（如有）、数据哈希值（用于去重）。</w:t>
      </w:r>
    </w:p>
    <w:p>
      <w:pPr>
        <w:pStyle w:val="BodyText"/>
        <w:spacing w:line="360" w:lineRule="auto"/>
      </w:pPr>
      <w:r>
        <w:rPr>
          <w:rFonts w:hint="eastAsia" w:ascii="宋体" w:hAnsi="宋体" w:eastAsia="宋体"/>
          <w:b/>
          <w:bCs/>
          <w:color w:val="000000"/>
          <w:sz w:val="24"/>
        </w:rPr>
        <w:t xml:space="preserve">步骤六：质量报告。</w:t>
      </w:r>
      <w:r>
        <w:rPr>
          <w:rFonts w:ascii="宋体" w:hAnsi="宋体" w:eastAsia="宋体"/>
          <w:color w:val="000000"/>
          <w:sz w:val="24"/>
        </w:rPr>
        <w:t xml:space="preserve"> </w:t>
      </w:r>
      <w:r>
        <w:rPr>
          <w:rFonts w:hint="eastAsia" w:ascii="宋体" w:hAnsi="宋体" w:eastAsia="宋体"/>
          <w:color w:val="000000"/>
          <w:sz w:val="24"/>
        </w:rPr>
        <w:t xml:space="preserve">采集完成后，系统自动生成质量报告，包括：采集成功率、数据完整性率、字段填充率、异常数据清单。质量报告用于评估采集效果和指导后续优化。</w:t>
      </w:r>
    </w:p>
    <w:bookmarkEnd w:id="223"/>
    <w:bookmarkStart w:id="224" w:name="a.3-采集结果统计"/>
    <w:p>
      <w:pPr>
        <w:pStyle w:val="Heading3"/>
        <w:spacing w:line="360" w:lineRule="auto"/>
      </w:pPr>
      <w:r>
        <w:rPr>
          <w:rFonts w:ascii="黑体" w:hAnsi="黑体" w:eastAsia="黑体"/>
          <w:b/>
          <w:color w:val="000000"/>
          <w:sz w:val="24"/>
        </w:rPr>
        <w:t xml:space="preserve">A.3 </w:t>
      </w:r>
      <w:r>
        <w:rPr>
          <w:rFonts w:hint="eastAsia" w:ascii="黑体" w:hAnsi="黑体" w:eastAsia="黑体"/>
          <w:b/>
          <w:color w:val="000000"/>
          <w:sz w:val="24"/>
        </w:rPr>
        <w:t xml:space="preserve">采集结果统计</w:t>
      </w:r>
    </w:p>
    <w:p>
      <w:pPr>
        <w:pStyle w:val="FirstParagraph"/>
        <w:spacing w:line="360" w:lineRule="auto"/>
      </w:pPr>
      <w:r>
        <w:rPr>
          <w:rFonts w:hint="eastAsia" w:ascii="宋体" w:hAnsi="宋体" w:eastAsia="宋体"/>
          <w:color w:val="000000"/>
          <w:sz w:val="24"/>
        </w:rPr>
        <w:t xml:space="preserve">本次数据采集的统计结果如表A-1所示。</w:t>
      </w:r>
    </w:p>
    <w:p>
      <w:pPr>
        <w:pStyle w:val="BodyText"/>
        <w:spacing w:line="360" w:lineRule="auto"/>
      </w:pPr>
      <w:r>
        <w:rPr>
          <w:rFonts w:hint="eastAsia" w:ascii="宋体" w:hAnsi="宋体" w:eastAsia="宋体"/>
          <w:b/>
          <w:bCs/>
          <w:color w:val="000000"/>
          <w:sz w:val="24"/>
        </w:rPr>
        <w:t xml:space="preserve">表A-1</w:t>
      </w:r>
      <w:r>
        <w:rPr>
          <w:rFonts w:ascii="宋体" w:hAnsi="宋体" w:eastAsia="宋体"/>
          <w:b/>
          <w:bCs/>
          <w:color w:val="000000"/>
          <w:sz w:val="24"/>
        </w:rPr>
        <w:t xml:space="preserve"> </w:t>
      </w:r>
      <w:r>
        <w:rPr>
          <w:rFonts w:hint="eastAsia" w:ascii="宋体" w:hAnsi="宋体" w:eastAsia="宋体"/>
          <w:b/>
          <w:bCs/>
          <w:color w:val="000000"/>
          <w:sz w:val="24"/>
        </w:rPr>
        <w:t xml:space="preserve">数据采集结果统计</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统计项</w:t>
            </w:r>
          </w:p>
        </w:tc>
        <w:tc>
          <w:tcPr/>
          <w:p>
            <w:pPr>
              <w:pStyle w:val="Compact"/>
              <w:jc w:val="center"/>
            </w:pPr>
            <w:r>
              <w:rPr>
                <w:rFonts w:hint="eastAsia"/>
              </w:rPr>
              <w:t xml:space="preserve">数值</w:t>
            </w:r>
          </w:p>
        </w:tc>
        <w:tc>
          <w:tcPr/>
          <w:p>
            <w:pPr>
              <w:pStyle w:val="Compact"/>
              <w:jc w:val="left"/>
            </w:pPr>
            <w:r>
              <w:rPr>
                <w:rFonts w:hint="eastAsia"/>
              </w:rPr>
              <w:t xml:space="preserve">说明</w:t>
            </w:r>
          </w:p>
        </w:tc>
      </w:tr>
      <w:tr>
        <w:tc>
          <w:tcPr/>
          <w:p>
            <w:pPr>
              <w:pStyle w:val="Compact"/>
              <w:jc w:val="left"/>
            </w:pPr>
            <w:r>
              <w:rPr>
                <w:rFonts w:hint="eastAsia"/>
              </w:rPr>
              <w:t xml:space="preserve">采集平台数</w:t>
            </w:r>
          </w:p>
        </w:tc>
        <w:tc>
          <w:tcPr/>
          <w:p>
            <w:pPr>
              <w:pStyle w:val="Compact"/>
              <w:jc w:val="center"/>
            </w:pPr>
            <w:r>
              <w:t xml:space="preserve">28</w:t>
            </w:r>
          </w:p>
        </w:tc>
        <w:tc>
          <w:tcPr/>
          <w:p>
            <w:pPr>
              <w:pStyle w:val="Compact"/>
              <w:jc w:val="left"/>
            </w:pPr>
            <w:r>
              <w:rPr>
                <w:rFonts w:hint="eastAsia"/>
              </w:rPr>
              <w:t xml:space="preserve">全国省级政府数据开放平台</w:t>
            </w:r>
          </w:p>
        </w:tc>
      </w:tr>
      <w:tr>
        <w:tc>
          <w:tcPr/>
          <w:p>
            <w:pPr>
              <w:pStyle w:val="Compact"/>
              <w:jc w:val="left"/>
            </w:pPr>
            <w:r>
              <w:rPr>
                <w:rFonts w:hint="eastAsia"/>
              </w:rPr>
              <w:t xml:space="preserve">采集数据集数</w:t>
            </w:r>
          </w:p>
        </w:tc>
        <w:tc>
          <w:tcPr/>
          <w:p>
            <w:pPr>
              <w:pStyle w:val="Compact"/>
              <w:jc w:val="center"/>
            </w:pPr>
            <w:r>
              <w:t xml:space="preserve">68,420</w:t>
            </w:r>
          </w:p>
        </w:tc>
        <w:tc>
          <w:tcPr/>
          <w:p>
            <w:pPr>
              <w:pStyle w:val="Compact"/>
              <w:jc w:val="left"/>
            </w:pPr>
            <w:r>
              <w:rPr>
                <w:rFonts w:hint="eastAsia"/>
              </w:rPr>
              <w:t xml:space="preserve">去重后的数据集总数</w:t>
            </w:r>
          </w:p>
        </w:tc>
      </w:tr>
      <w:tr>
        <w:tc>
          <w:tcPr/>
          <w:p>
            <w:pPr>
              <w:pStyle w:val="Compact"/>
              <w:jc w:val="left"/>
            </w:pPr>
            <w:r>
              <w:rPr>
                <w:rFonts w:hint="eastAsia"/>
              </w:rPr>
              <w:t xml:space="preserve">采集成功率</w:t>
            </w:r>
          </w:p>
        </w:tc>
        <w:tc>
          <w:tcPr/>
          <w:p>
            <w:pPr>
              <w:pStyle w:val="Compact"/>
              <w:jc w:val="center"/>
            </w:pPr>
            <w:r>
              <w:t xml:space="preserve">94.2%</w:t>
            </w:r>
          </w:p>
        </w:tc>
        <w:tc>
          <w:tcPr/>
          <w:p>
            <w:pPr>
              <w:pStyle w:val="Compact"/>
              <w:jc w:val="left"/>
            </w:pPr>
            <w:r>
              <w:rPr>
                <w:rFonts w:hint="eastAsia"/>
              </w:rPr>
              <w:t xml:space="preserve">成功采集的平台占比</w:t>
            </w:r>
          </w:p>
        </w:tc>
      </w:tr>
      <w:tr>
        <w:tc>
          <w:tcPr/>
          <w:p>
            <w:pPr>
              <w:pStyle w:val="Compact"/>
              <w:jc w:val="left"/>
            </w:pPr>
            <w:r>
              <w:rPr>
                <w:rFonts w:hint="eastAsia"/>
              </w:rPr>
              <w:t xml:space="preserve">平均每个平台数据集数</w:t>
            </w:r>
          </w:p>
        </w:tc>
        <w:tc>
          <w:tcPr/>
          <w:p>
            <w:pPr>
              <w:pStyle w:val="Compact"/>
              <w:jc w:val="center"/>
            </w:pPr>
            <w:r>
              <w:t xml:space="preserve">2,443</w:t>
            </w:r>
          </w:p>
        </w:tc>
        <w:tc>
          <w:tcPr/>
          <w:p>
            <w:pPr>
              <w:pStyle w:val="Compact"/>
              <w:jc w:val="left"/>
            </w:pPr>
            <w:r>
              <w:rPr>
                <w:rFonts w:hint="eastAsia"/>
              </w:rPr>
              <w:t xml:space="preserve">去重后的平均值</w:t>
            </w:r>
          </w:p>
        </w:tc>
      </w:tr>
      <w:tr>
        <w:tc>
          <w:tcPr/>
          <w:p>
            <w:pPr>
              <w:pStyle w:val="Compact"/>
              <w:jc w:val="left"/>
            </w:pPr>
            <w:r>
              <w:rPr>
                <w:rFonts w:hint="eastAsia"/>
              </w:rPr>
              <w:t xml:space="preserve">采集时间跨度</w:t>
            </w:r>
          </w:p>
        </w:tc>
        <w:tc>
          <w:tcPr/>
          <w:p>
            <w:pPr>
              <w:pStyle w:val="Compact"/>
              <w:jc w:val="center"/>
            </w:pPr>
            <w:r>
              <w:rPr>
                <w:rFonts w:hint="eastAsia"/>
              </w:rPr>
              <w:t xml:space="preserve">31天</w:t>
            </w:r>
          </w:p>
        </w:tc>
        <w:tc>
          <w:tcPr/>
          <w:p>
            <w:pPr>
              <w:pStyle w:val="Compact"/>
              <w:jc w:val="left"/>
            </w:pPr>
            <w:r>
              <w:rPr>
                <w:rFonts w:hint="eastAsia"/>
              </w:rPr>
              <w:t xml:space="preserve">2025年3月1日-31日</w:t>
            </w:r>
          </w:p>
        </w:tc>
      </w:tr>
      <w:tr>
        <w:tc>
          <w:tcPr/>
          <w:p>
            <w:pPr>
              <w:pStyle w:val="Compact"/>
              <w:jc w:val="left"/>
            </w:pPr>
            <w:r>
              <w:rPr>
                <w:rFonts w:hint="eastAsia"/>
              </w:rPr>
              <w:t xml:space="preserve">采集请求总数</w:t>
            </w:r>
          </w:p>
        </w:tc>
        <w:tc>
          <w:tcPr/>
          <w:p>
            <w:pPr>
              <w:pStyle w:val="Compact"/>
              <w:jc w:val="center"/>
            </w:pPr>
            <w:r>
              <w:t xml:space="preserve">156,782</w:t>
            </w:r>
          </w:p>
        </w:tc>
        <w:tc>
          <w:tcPr/>
          <w:p>
            <w:pPr>
              <w:pStyle w:val="Compact"/>
              <w:jc w:val="left"/>
            </w:pPr>
            <w:r>
              <w:rPr>
                <w:rFonts w:hint="eastAsia"/>
              </w:rPr>
              <w:t xml:space="preserve">HTTP/API请求总数</w:t>
            </w:r>
          </w:p>
        </w:tc>
      </w:tr>
      <w:tr>
        <w:tc>
          <w:tcPr/>
          <w:p>
            <w:pPr>
              <w:pStyle w:val="Compact"/>
              <w:jc w:val="left"/>
            </w:pPr>
            <w:r>
              <w:rPr>
                <w:rFonts w:hint="eastAsia"/>
              </w:rPr>
              <w:t xml:space="preserve">异常数据条数</w:t>
            </w:r>
          </w:p>
        </w:tc>
        <w:tc>
          <w:tcPr/>
          <w:p>
            <w:pPr>
              <w:pStyle w:val="Compact"/>
              <w:jc w:val="center"/>
            </w:pPr>
            <w:r>
              <w:t xml:space="preserve">3,891</w:t>
            </w:r>
          </w:p>
        </w:tc>
        <w:tc>
          <w:tcPr/>
          <w:p>
            <w:pPr>
              <w:pStyle w:val="Compact"/>
              <w:jc w:val="left"/>
            </w:pPr>
            <w:r>
              <w:rPr>
                <w:rFonts w:hint="eastAsia"/>
              </w:rPr>
              <w:t xml:space="preserve">需人工复核的数据条数</w:t>
            </w:r>
          </w:p>
        </w:tc>
      </w:tr>
      <w:tr>
        <w:tc>
          <w:tcPr/>
          <w:p>
            <w:pPr>
              <w:pStyle w:val="Compact"/>
              <w:jc w:val="left"/>
            </w:pPr>
            <w:r>
              <w:rPr>
                <w:rFonts w:hint="eastAsia"/>
              </w:rPr>
              <w:t xml:space="preserve">数据存储大小</w:t>
            </w:r>
          </w:p>
        </w:tc>
        <w:tc>
          <w:tcPr/>
          <w:p>
            <w:pPr>
              <w:pStyle w:val="Compact"/>
              <w:jc w:val="center"/>
            </w:pPr>
            <w:r>
              <w:t xml:space="preserve">2.3GB</w:t>
            </w:r>
          </w:p>
        </w:tc>
        <w:tc>
          <w:tcPr/>
          <w:p>
            <w:pPr>
              <w:pStyle w:val="Compact"/>
              <w:jc w:val="left"/>
            </w:pPr>
            <w:r>
              <w:rPr>
                <w:rFonts w:hint="eastAsia"/>
              </w:rPr>
              <w:t xml:space="preserve">原始数据+清洗数据</w:t>
            </w:r>
          </w:p>
        </w:tc>
      </w:tr>
    </w:tbl>
    <w:bookmarkEnd w:id="224"/>
    <w:bookmarkEnd w:id="225"/>
    <w:bookmarkStart w:id="228" w:name="附录b-评估指标体系详细说明"/>
    <w:p>
      <w:pPr>
        <w:pStyle w:val="Heading2"/>
        <w:spacing w:line="360" w:lineRule="auto"/>
      </w:pPr>
      <w:r>
        <w:rPr>
          <w:rFonts w:hint="eastAsia" w:ascii="黑体" w:hAnsi="黑体" w:eastAsia="黑体"/>
          <w:b/>
          <w:color w:val="000000"/>
          <w:sz w:val="28"/>
        </w:rPr>
        <w:t xml:space="preserve">附录B</w:t>
      </w:r>
      <w:r>
        <w:rPr>
          <w:rFonts w:ascii="黑体" w:hAnsi="黑体" w:eastAsia="黑体"/>
          <w:b/>
          <w:color w:val="000000"/>
          <w:sz w:val="28"/>
        </w:rPr>
        <w:t xml:space="preserve"> </w:t>
      </w:r>
      <w:r>
        <w:rPr>
          <w:rFonts w:hint="eastAsia" w:ascii="黑体" w:hAnsi="黑体" w:eastAsia="黑体"/>
          <w:b/>
          <w:color w:val="000000"/>
          <w:sz w:val="28"/>
        </w:rPr>
        <w:t xml:space="preserve">评估指标体系详细说明</w:t>
      </w:r>
    </w:p>
    <w:bookmarkStart w:id="226" w:name="b.1-指标定义与测量标准"/>
    <w:p>
      <w:pPr>
        <w:pStyle w:val="Heading3"/>
        <w:spacing w:line="360" w:lineRule="auto"/>
      </w:pPr>
      <w:r>
        <w:rPr>
          <w:rFonts w:ascii="黑体" w:hAnsi="黑体" w:eastAsia="黑体"/>
          <w:b/>
          <w:color w:val="000000"/>
          <w:sz w:val="24"/>
        </w:rPr>
        <w:t xml:space="preserve">B.1 </w:t>
      </w:r>
      <w:r>
        <w:rPr>
          <w:rFonts w:hint="eastAsia" w:ascii="黑体" w:hAnsi="黑体" w:eastAsia="黑体"/>
          <w:b/>
          <w:color w:val="000000"/>
          <w:sz w:val="24"/>
        </w:rPr>
        <w:t xml:space="preserve">指标定义与测量标准</w:t>
      </w:r>
    </w:p>
    <w:p>
      <w:pPr>
        <w:pStyle w:val="FirstParagraph"/>
        <w:spacing w:line="360" w:lineRule="auto"/>
      </w:pPr>
      <w:r>
        <w:rPr>
          <w:rFonts w:hint="eastAsia" w:ascii="宋体" w:hAnsi="宋体" w:eastAsia="宋体"/>
          <w:color w:val="000000"/>
          <w:sz w:val="24"/>
        </w:rPr>
        <w:t xml:space="preserve">本附录对每个评估指标的定义、测量方法、数据来源和评分标准进行详细说明。</w:t>
      </w:r>
    </w:p>
    <w:p>
      <w:pPr>
        <w:pStyle w:val="BodyText"/>
        <w:spacing w:line="360" w:lineRule="auto"/>
      </w:pPr>
      <w:r>
        <w:rPr>
          <w:rFonts w:ascii="宋体" w:hAnsi="宋体" w:eastAsia="宋体"/>
          <w:b/>
          <w:bCs/>
          <w:color w:val="000000"/>
          <w:sz w:val="24"/>
        </w:rPr>
        <w:t xml:space="preserve">B.1.1 </w:t>
      </w:r>
      <w:r>
        <w:rPr>
          <w:rFonts w:hint="eastAsia" w:ascii="宋体" w:hAnsi="宋体" w:eastAsia="宋体"/>
          <w:b/>
          <w:bCs/>
          <w:color w:val="000000"/>
          <w:sz w:val="24"/>
        </w:rPr>
        <w:t xml:space="preserve">供给保障维度指标</w:t>
      </w:r>
    </w:p>
    <w:p>
      <w:pPr>
        <w:pStyle w:val="BodyText"/>
        <w:spacing w:line="360" w:lineRule="auto"/>
      </w:pPr>
      <w:r>
        <w:rPr>
          <w:rFonts w:ascii="宋体" w:hAnsi="宋体" w:eastAsia="宋体"/>
          <w:b/>
          <w:bCs/>
          <w:color w:val="000000"/>
          <w:sz w:val="24"/>
        </w:rPr>
        <w:t xml:space="preserve">S1 </w:t>
      </w:r>
      <w:r>
        <w:rPr>
          <w:rFonts w:hint="eastAsia" w:ascii="宋体" w:hAnsi="宋体" w:eastAsia="宋体"/>
          <w:b/>
          <w:bCs/>
          <w:color w:val="000000"/>
          <w:sz w:val="24"/>
        </w:rPr>
        <w:t xml:space="preserve">数据集数量。</w:t>
      </w:r>
      <w:r>
        <w:rPr>
          <w:rFonts w:ascii="宋体" w:hAnsi="宋体" w:eastAsia="宋体"/>
          <w:color w:val="000000"/>
          <w:sz w:val="24"/>
        </w:rPr>
        <w:t xml:space="preserve"> </w:t>
      </w:r>
      <w:r>
        <w:rPr>
          <w:rFonts w:hint="eastAsia" w:ascii="宋体" w:hAnsi="宋体" w:eastAsia="宋体"/>
          <w:color w:val="000000"/>
          <w:sz w:val="24"/>
        </w:rPr>
        <w:t xml:space="preserve">定义：平台公开的数据集总数。测量方法：通过自动化采集系统统计平台数据集列表中的条目数量，并进行人工核验去重。评分标准：以样本平台数据集数量的最大值和最小值为边界，采用线性插值法计算得分。得分=（平台数据集数-最小值）/（最大值-最小值）×100。</w:t>
      </w:r>
    </w:p>
    <w:p>
      <w:pPr>
        <w:pStyle w:val="BodyText"/>
        <w:spacing w:line="360" w:lineRule="auto"/>
      </w:pPr>
      <w:r>
        <w:rPr>
          <w:rFonts w:ascii="宋体" w:hAnsi="宋体" w:eastAsia="宋体"/>
          <w:b/>
          <w:bCs/>
          <w:color w:val="000000"/>
          <w:sz w:val="24"/>
        </w:rPr>
        <w:t xml:space="preserve">S2 </w:t>
      </w:r>
      <w:r>
        <w:rPr>
          <w:rFonts w:hint="eastAsia" w:ascii="宋体" w:hAnsi="宋体" w:eastAsia="宋体"/>
          <w:b/>
          <w:bCs/>
          <w:color w:val="000000"/>
          <w:sz w:val="24"/>
        </w:rPr>
        <w:t xml:space="preserve">主题覆盖度。</w:t>
      </w:r>
      <w:r>
        <w:rPr>
          <w:rFonts w:ascii="宋体" w:hAnsi="宋体" w:eastAsia="宋体"/>
          <w:color w:val="000000"/>
          <w:sz w:val="24"/>
        </w:rPr>
        <w:t xml:space="preserve"> </w:t>
      </w:r>
      <w:r>
        <w:rPr>
          <w:rFonts w:hint="eastAsia" w:ascii="宋体" w:hAnsi="宋体" w:eastAsia="宋体"/>
          <w:color w:val="000000"/>
          <w:sz w:val="24"/>
        </w:rPr>
        <w:t xml:space="preserve">定义：平台数据集覆盖的主题领域数量。测量方法：根据平台自身的主题分类体系，统计覆盖的主题类别数量。常见的主题类别包括：经济发展、教育科技、医疗卫生、交通运输、生态环境、文化旅游、社会保障、公共安全、农业农村、市场监管、财税金融、国土资源、气象服务、就业失业、信用服务、司法服务等。评分标准：覆盖15个及以上主题得满分，覆盖10-14个主题得80分，覆盖5-9个主题得60分，覆盖5个以下得40分。</w:t>
      </w:r>
    </w:p>
    <w:p>
      <w:pPr>
        <w:pStyle w:val="BodyText"/>
        <w:spacing w:line="360" w:lineRule="auto"/>
      </w:pPr>
      <w:r>
        <w:rPr>
          <w:rFonts w:ascii="宋体" w:hAnsi="宋体" w:eastAsia="宋体"/>
          <w:b/>
          <w:bCs/>
          <w:color w:val="000000"/>
          <w:sz w:val="24"/>
        </w:rPr>
        <w:t xml:space="preserve">S3 </w:t>
      </w:r>
      <w:r>
        <w:rPr>
          <w:rFonts w:hint="eastAsia" w:ascii="宋体" w:hAnsi="宋体" w:eastAsia="宋体"/>
          <w:b/>
          <w:bCs/>
          <w:color w:val="000000"/>
          <w:sz w:val="24"/>
        </w:rPr>
        <w:t xml:space="preserve">更新频率。</w:t>
      </w:r>
      <w:r>
        <w:rPr>
          <w:rFonts w:ascii="宋体" w:hAnsi="宋体" w:eastAsia="宋体"/>
          <w:color w:val="000000"/>
          <w:sz w:val="24"/>
        </w:rPr>
        <w:t xml:space="preserve"> </w:t>
      </w:r>
      <w:r>
        <w:rPr>
          <w:rFonts w:hint="eastAsia" w:ascii="宋体" w:hAnsi="宋体" w:eastAsia="宋体"/>
          <w:color w:val="000000"/>
          <w:sz w:val="24"/>
        </w:rPr>
        <w:t xml:space="preserve">定义：平台数据集的平均更新频率。测量方法：随机抽取10%的数据集，统计其最近更新日期与当前日期的间隔，计算平均值。评分标准：月均更新得满分，季度更新得80分，半年更新得60分，年度更新得40分，超过一年未更新得20分。</w:t>
      </w:r>
    </w:p>
    <w:p>
      <w:pPr>
        <w:pStyle w:val="BodyText"/>
        <w:spacing w:line="360" w:lineRule="auto"/>
      </w:pPr>
      <w:r>
        <w:rPr>
          <w:rFonts w:ascii="宋体" w:hAnsi="宋体" w:eastAsia="宋体"/>
          <w:b/>
          <w:bCs/>
          <w:color w:val="000000"/>
          <w:sz w:val="24"/>
        </w:rPr>
        <w:t xml:space="preserve">S4 </w:t>
      </w:r>
      <w:r>
        <w:rPr>
          <w:rFonts w:hint="eastAsia" w:ascii="宋体" w:hAnsi="宋体" w:eastAsia="宋体"/>
          <w:b/>
          <w:bCs/>
          <w:color w:val="000000"/>
          <w:sz w:val="24"/>
        </w:rPr>
        <w:t xml:space="preserve">格式标准化率。</w:t>
      </w:r>
      <w:r>
        <w:rPr>
          <w:rFonts w:ascii="宋体" w:hAnsi="宋体" w:eastAsia="宋体"/>
          <w:color w:val="000000"/>
          <w:sz w:val="24"/>
        </w:rPr>
        <w:t xml:space="preserve"> </w:t>
      </w:r>
      <w:r>
        <w:rPr>
          <w:rFonts w:hint="eastAsia" w:ascii="宋体" w:hAnsi="宋体" w:eastAsia="宋体"/>
          <w:color w:val="000000"/>
          <w:sz w:val="24"/>
        </w:rPr>
        <w:t xml:space="preserve">定义：平台数据集中采用标准化格式（CSV、JSON、XML、XLSX等）的比例。测量方法：统计所有数据集的格式分布，计算标准化格式占比。评分标准：标准化率≥90%得满分，70%-89%得80分，50%-69%得60分，30%-49%得40分，&lt;30%得20分。</w:t>
      </w:r>
    </w:p>
    <w:p>
      <w:pPr>
        <w:pStyle w:val="BodyText"/>
        <w:spacing w:line="360" w:lineRule="auto"/>
      </w:pPr>
      <w:r>
        <w:rPr>
          <w:rFonts w:ascii="宋体" w:hAnsi="宋体" w:eastAsia="宋体"/>
          <w:b/>
          <w:bCs/>
          <w:color w:val="000000"/>
          <w:sz w:val="24"/>
        </w:rPr>
        <w:t xml:space="preserve">S5 </w:t>
      </w:r>
      <w:r>
        <w:rPr>
          <w:rFonts w:hint="eastAsia" w:ascii="宋体" w:hAnsi="宋体" w:eastAsia="宋体"/>
          <w:b/>
          <w:bCs/>
          <w:color w:val="000000"/>
          <w:sz w:val="24"/>
        </w:rPr>
        <w:t xml:space="preserve">目录完整性。</w:t>
      </w:r>
      <w:r>
        <w:rPr>
          <w:rFonts w:ascii="宋体" w:hAnsi="宋体" w:eastAsia="宋体"/>
          <w:color w:val="000000"/>
          <w:sz w:val="24"/>
        </w:rPr>
        <w:t xml:space="preserve"> </w:t>
      </w:r>
      <w:r>
        <w:rPr>
          <w:rFonts w:hint="eastAsia" w:ascii="宋体" w:hAnsi="宋体" w:eastAsia="宋体"/>
          <w:color w:val="000000"/>
          <w:sz w:val="24"/>
        </w:rPr>
        <w:t xml:space="preserve">定义：平台数据集元数据的完整程度。测量方法：随机抽取10%的数据集，检查标题、描述、关键词、发布机构、更新日期、数据字典等必填字段的填写率，计算平均值。评分标准：完整率≥95%得满分，80%-94%得80分，60%-79%得60分，40%-59%得40分，&lt;40%得20分。</w:t>
      </w:r>
    </w:p>
    <w:p>
      <w:pPr>
        <w:pStyle w:val="BodyText"/>
        <w:spacing w:line="360" w:lineRule="auto"/>
      </w:pPr>
      <w:r>
        <w:rPr>
          <w:rFonts w:ascii="宋体" w:hAnsi="宋体" w:eastAsia="宋体"/>
          <w:b/>
          <w:bCs/>
          <w:color w:val="000000"/>
          <w:sz w:val="24"/>
        </w:rPr>
        <w:t xml:space="preserve">B.1.2 </w:t>
      </w:r>
      <w:r>
        <w:rPr>
          <w:rFonts w:hint="eastAsia" w:ascii="宋体" w:hAnsi="宋体" w:eastAsia="宋体"/>
          <w:b/>
          <w:bCs/>
          <w:color w:val="000000"/>
          <w:sz w:val="24"/>
        </w:rPr>
        <w:t xml:space="preserve">平台服务维度指标</w:t>
      </w:r>
    </w:p>
    <w:p>
      <w:pPr>
        <w:pStyle w:val="BodyText"/>
        <w:spacing w:line="360" w:lineRule="auto"/>
      </w:pPr>
      <w:r>
        <w:rPr>
          <w:rFonts w:ascii="宋体" w:hAnsi="宋体" w:eastAsia="宋体"/>
          <w:b/>
          <w:bCs/>
          <w:color w:val="000000"/>
          <w:sz w:val="24"/>
        </w:rPr>
        <w:t xml:space="preserve">P1 </w:t>
      </w:r>
      <w:r>
        <w:rPr>
          <w:rFonts w:hint="eastAsia" w:ascii="宋体" w:hAnsi="宋体" w:eastAsia="宋体"/>
          <w:b/>
          <w:bCs/>
          <w:color w:val="000000"/>
          <w:sz w:val="24"/>
        </w:rPr>
        <w:t xml:space="preserve">API开放度。</w:t>
      </w:r>
      <w:r>
        <w:rPr>
          <w:rFonts w:ascii="宋体" w:hAnsi="宋体" w:eastAsia="宋体"/>
          <w:color w:val="000000"/>
          <w:sz w:val="24"/>
        </w:rPr>
        <w:t xml:space="preserve"> </w:t>
      </w:r>
      <w:r>
        <w:rPr>
          <w:rFonts w:hint="eastAsia" w:ascii="宋体" w:hAnsi="宋体" w:eastAsia="宋体"/>
          <w:color w:val="000000"/>
          <w:sz w:val="24"/>
        </w:rPr>
        <w:t xml:space="preserve">定义：平台提供API接口的完备程度。测量方法：从三个子维度评估：（1）是否提供API接口（是=1，否=0）；（2）API文档完整性（文档包含接口地址、请求方法、参数说明、返回格式、错误码说明等5项，每项0.2分）；（3）API调用稳定性（测试10次调用，成功率≥90%得满分，70%-89%得60分，&lt;70%得20分）。评分标准：三个子维度加权平均，权重分别为0.4、0.4、0.2。</w:t>
      </w:r>
    </w:p>
    <w:p>
      <w:pPr>
        <w:pStyle w:val="BodyText"/>
        <w:spacing w:line="360" w:lineRule="auto"/>
      </w:pPr>
      <w:r>
        <w:rPr>
          <w:rFonts w:ascii="宋体" w:hAnsi="宋体" w:eastAsia="宋体"/>
          <w:b/>
          <w:bCs/>
          <w:color w:val="000000"/>
          <w:sz w:val="24"/>
        </w:rPr>
        <w:t xml:space="preserve">P2 </w:t>
      </w:r>
      <w:r>
        <w:rPr>
          <w:rFonts w:hint="eastAsia" w:ascii="宋体" w:hAnsi="宋体" w:eastAsia="宋体"/>
          <w:b/>
          <w:bCs/>
          <w:color w:val="000000"/>
          <w:sz w:val="24"/>
        </w:rPr>
        <w:t xml:space="preserve">检索功能完备性。</w:t>
      </w:r>
      <w:r>
        <w:rPr>
          <w:rFonts w:ascii="宋体" w:hAnsi="宋体" w:eastAsia="宋体"/>
          <w:color w:val="000000"/>
          <w:sz w:val="24"/>
        </w:rPr>
        <w:t xml:space="preserve"> </w:t>
      </w:r>
      <w:r>
        <w:rPr>
          <w:rFonts w:hint="eastAsia" w:ascii="宋体" w:hAnsi="宋体" w:eastAsia="宋体"/>
          <w:color w:val="000000"/>
          <w:sz w:val="24"/>
        </w:rPr>
        <w:t xml:space="preserve">定义：平台数据检索功能的完善程度。测量方法：从四个子维度评估：（1）关键词检索（支持=1，不支持=0）；（2）高级检索（支持多条件组合检索=1，不支持=0）；（3）分类浏览（支持主题分类浏览=1，不支持=0）；（4）排序筛选（支持按时间、热度、相关性排序=1，不支持=0）。评分标准：四个子维度简单平均。</w:t>
      </w:r>
    </w:p>
    <w:p>
      <w:pPr>
        <w:pStyle w:val="BodyText"/>
        <w:spacing w:line="360" w:lineRule="auto"/>
      </w:pPr>
      <w:r>
        <w:rPr>
          <w:rFonts w:ascii="宋体" w:hAnsi="宋体" w:eastAsia="宋体"/>
          <w:b/>
          <w:bCs/>
          <w:color w:val="000000"/>
          <w:sz w:val="24"/>
        </w:rPr>
        <w:t xml:space="preserve">P3 </w:t>
      </w:r>
      <w:r>
        <w:rPr>
          <w:rFonts w:hint="eastAsia" w:ascii="宋体" w:hAnsi="宋体" w:eastAsia="宋体"/>
          <w:b/>
          <w:bCs/>
          <w:color w:val="000000"/>
          <w:sz w:val="24"/>
        </w:rPr>
        <w:t xml:space="preserve">数据预览功能。</w:t>
      </w:r>
      <w:r>
        <w:rPr>
          <w:rFonts w:ascii="宋体" w:hAnsi="宋体" w:eastAsia="宋体"/>
          <w:color w:val="000000"/>
          <w:sz w:val="24"/>
        </w:rPr>
        <w:t xml:space="preserve"> </w:t>
      </w:r>
      <w:r>
        <w:rPr>
          <w:rFonts w:hint="eastAsia" w:ascii="宋体" w:hAnsi="宋体" w:eastAsia="宋体"/>
          <w:color w:val="000000"/>
          <w:sz w:val="24"/>
        </w:rPr>
        <w:t xml:space="preserve">定义：平台是否提供数据预览功能。测量方法：从三个子维度评估：（1）表格预览（支持在线查看表格数据=1，不支持=0）；（2）图表预览（支持自动生成统计图表=1，不支持=0）；（3）地图预览（支持地理信息数据的可视化展示=1，不支持=0）。评分标准：三个子维度简单平均。</w:t>
      </w:r>
    </w:p>
    <w:p>
      <w:pPr>
        <w:pStyle w:val="BodyText"/>
        <w:spacing w:line="360" w:lineRule="auto"/>
      </w:pPr>
      <w:r>
        <w:rPr>
          <w:rFonts w:ascii="宋体" w:hAnsi="宋体" w:eastAsia="宋体"/>
          <w:b/>
          <w:bCs/>
          <w:color w:val="000000"/>
          <w:sz w:val="24"/>
        </w:rPr>
        <w:t xml:space="preserve">P4 </w:t>
      </w:r>
      <w:r>
        <w:rPr>
          <w:rFonts w:hint="eastAsia" w:ascii="宋体" w:hAnsi="宋体" w:eastAsia="宋体"/>
          <w:b/>
          <w:bCs/>
          <w:color w:val="000000"/>
          <w:sz w:val="24"/>
        </w:rPr>
        <w:t xml:space="preserve">用户反馈机制。</w:t>
      </w:r>
      <w:r>
        <w:rPr>
          <w:rFonts w:ascii="宋体" w:hAnsi="宋体" w:eastAsia="宋体"/>
          <w:color w:val="000000"/>
          <w:sz w:val="24"/>
        </w:rPr>
        <w:t xml:space="preserve"> </w:t>
      </w:r>
      <w:r>
        <w:rPr>
          <w:rFonts w:hint="eastAsia" w:ascii="宋体" w:hAnsi="宋体" w:eastAsia="宋体"/>
          <w:color w:val="000000"/>
          <w:sz w:val="24"/>
        </w:rPr>
        <w:t xml:space="preserve">定义：平台是否建立用户反馈渠道。测量方法：从三个子维度评估：（1）在线反馈表单（提供=1，未提供=0）；（2）用户评论功能（支持对数据集进行评论=1，不支持=0）；（3）数据需求征集（定期征集用户数据需求=1，未征集=0）。评分标准：三个子维度简单平均。</w:t>
      </w:r>
    </w:p>
    <w:p>
      <w:pPr>
        <w:pStyle w:val="BodyText"/>
        <w:spacing w:line="360" w:lineRule="auto"/>
      </w:pPr>
      <w:r>
        <w:rPr>
          <w:rFonts w:ascii="宋体" w:hAnsi="宋体" w:eastAsia="宋体"/>
          <w:b/>
          <w:bCs/>
          <w:color w:val="000000"/>
          <w:sz w:val="24"/>
        </w:rPr>
        <w:t xml:space="preserve">P5 </w:t>
      </w:r>
      <w:r>
        <w:rPr>
          <w:rFonts w:hint="eastAsia" w:ascii="宋体" w:hAnsi="宋体" w:eastAsia="宋体"/>
          <w:b/>
          <w:bCs/>
          <w:color w:val="000000"/>
          <w:sz w:val="24"/>
        </w:rPr>
        <w:t xml:space="preserve">平台迭代频率。</w:t>
      </w:r>
      <w:r>
        <w:rPr>
          <w:rFonts w:ascii="宋体" w:hAnsi="宋体" w:eastAsia="宋体"/>
          <w:color w:val="000000"/>
          <w:sz w:val="24"/>
        </w:rPr>
        <w:t xml:space="preserve"> </w:t>
      </w:r>
      <w:r>
        <w:rPr>
          <w:rFonts w:hint="eastAsia" w:ascii="宋体" w:hAnsi="宋体" w:eastAsia="宋体"/>
          <w:color w:val="000000"/>
          <w:sz w:val="24"/>
        </w:rPr>
        <w:t xml:space="preserve">定义：平台功能更新的活跃程度。测量方法：通过平台版本日志或新闻公告，统计近一年内平台功能更新的次数。评分标准：年更新≥12次得满分，6-11次得80分，3-5次得60分，1-2次得40分，0次得20分。</w:t>
      </w:r>
    </w:p>
    <w:p>
      <w:pPr>
        <w:pStyle w:val="BodyText"/>
        <w:spacing w:line="360" w:lineRule="auto"/>
      </w:pPr>
      <w:r>
        <w:rPr>
          <w:rFonts w:ascii="宋体" w:hAnsi="宋体" w:eastAsia="宋体"/>
          <w:b/>
          <w:bCs/>
          <w:color w:val="000000"/>
          <w:sz w:val="24"/>
        </w:rPr>
        <w:t xml:space="preserve">B.1.3 </w:t>
      </w:r>
      <w:r>
        <w:rPr>
          <w:rFonts w:hint="eastAsia" w:ascii="宋体" w:hAnsi="宋体" w:eastAsia="宋体"/>
          <w:b/>
          <w:bCs/>
          <w:color w:val="000000"/>
          <w:sz w:val="24"/>
        </w:rPr>
        <w:t xml:space="preserve">数据质量维度指标</w:t>
      </w:r>
    </w:p>
    <w:p>
      <w:pPr>
        <w:pStyle w:val="BodyText"/>
        <w:spacing w:line="360" w:lineRule="auto"/>
      </w:pPr>
      <w:r>
        <w:rPr>
          <w:rFonts w:ascii="宋体" w:hAnsi="宋体" w:eastAsia="宋体"/>
          <w:b/>
          <w:bCs/>
          <w:color w:val="000000"/>
          <w:sz w:val="24"/>
        </w:rPr>
        <w:t xml:space="preserve">Q1 </w:t>
      </w:r>
      <w:r>
        <w:rPr>
          <w:rFonts w:hint="eastAsia" w:ascii="宋体" w:hAnsi="宋体" w:eastAsia="宋体"/>
          <w:b/>
          <w:bCs/>
          <w:color w:val="000000"/>
          <w:sz w:val="24"/>
        </w:rPr>
        <w:t xml:space="preserve">数据准确性。</w:t>
      </w:r>
      <w:r>
        <w:rPr>
          <w:rFonts w:ascii="宋体" w:hAnsi="宋体" w:eastAsia="宋体"/>
          <w:color w:val="000000"/>
          <w:sz w:val="24"/>
        </w:rPr>
        <w:t xml:space="preserve"> </w:t>
      </w:r>
      <w:r>
        <w:rPr>
          <w:rFonts w:hint="eastAsia" w:ascii="宋体" w:hAnsi="宋体" w:eastAsia="宋体"/>
          <w:color w:val="000000"/>
          <w:sz w:val="24"/>
        </w:rPr>
        <w:t xml:space="preserve">定义：平台数据集中的错误率。测量方法：随机抽取10个数据集，每个数据集抽取100条记录，人工核查数据错误（包括数值错误、逻辑矛盾、格式错误等），计算错误率。评分标准：错误率≤1%得满分，1%-3%得80分，3%-5%得60分，5%-10%得40分，&gt;10%得20分。</w:t>
      </w:r>
    </w:p>
    <w:p>
      <w:pPr>
        <w:pStyle w:val="BodyText"/>
        <w:spacing w:line="360" w:lineRule="auto"/>
      </w:pPr>
      <w:r>
        <w:rPr>
          <w:rFonts w:ascii="宋体" w:hAnsi="宋体" w:eastAsia="宋体"/>
          <w:b/>
          <w:bCs/>
          <w:color w:val="000000"/>
          <w:sz w:val="24"/>
        </w:rPr>
        <w:t xml:space="preserve">Q2 </w:t>
      </w:r>
      <w:r>
        <w:rPr>
          <w:rFonts w:hint="eastAsia" w:ascii="宋体" w:hAnsi="宋体" w:eastAsia="宋体"/>
          <w:b/>
          <w:bCs/>
          <w:color w:val="000000"/>
          <w:sz w:val="24"/>
        </w:rPr>
        <w:t xml:space="preserve">数据完整性。</w:t>
      </w:r>
      <w:r>
        <w:rPr>
          <w:rFonts w:ascii="宋体" w:hAnsi="宋体" w:eastAsia="宋体"/>
          <w:color w:val="000000"/>
          <w:sz w:val="24"/>
        </w:rPr>
        <w:t xml:space="preserve"> </w:t>
      </w:r>
      <w:r>
        <w:rPr>
          <w:rFonts w:hint="eastAsia" w:ascii="宋体" w:hAnsi="宋体" w:eastAsia="宋体"/>
          <w:color w:val="000000"/>
          <w:sz w:val="24"/>
        </w:rPr>
        <w:t xml:space="preserve">定义：平台数据集的字段缺失率。测量方法：随机抽取10个数据集，检查各字段的缺失情况，计算平均缺失率。评分标准：缺失率≤5%得满分，5%-10%得80分，10%-20%得60分，20%-30%得40分，&gt;30%得20分。</w:t>
      </w:r>
    </w:p>
    <w:p>
      <w:pPr>
        <w:pStyle w:val="BodyText"/>
        <w:spacing w:line="360" w:lineRule="auto"/>
      </w:pPr>
      <w:r>
        <w:rPr>
          <w:rFonts w:ascii="宋体" w:hAnsi="宋体" w:eastAsia="宋体"/>
          <w:b/>
          <w:bCs/>
          <w:color w:val="000000"/>
          <w:sz w:val="24"/>
        </w:rPr>
        <w:t xml:space="preserve">Q3 </w:t>
      </w:r>
      <w:r>
        <w:rPr>
          <w:rFonts w:hint="eastAsia" w:ascii="宋体" w:hAnsi="宋体" w:eastAsia="宋体"/>
          <w:b/>
          <w:bCs/>
          <w:color w:val="000000"/>
          <w:sz w:val="24"/>
        </w:rPr>
        <w:t xml:space="preserve">数据及时性。</w:t>
      </w:r>
      <w:r>
        <w:rPr>
          <w:rFonts w:ascii="宋体" w:hAnsi="宋体" w:eastAsia="宋体"/>
          <w:color w:val="000000"/>
          <w:sz w:val="24"/>
        </w:rPr>
        <w:t xml:space="preserve"> </w:t>
      </w:r>
      <w:r>
        <w:rPr>
          <w:rFonts w:hint="eastAsia" w:ascii="宋体" w:hAnsi="宋体" w:eastAsia="宋体"/>
          <w:color w:val="000000"/>
          <w:sz w:val="24"/>
        </w:rPr>
        <w:t xml:space="preserve">定义：平台数据集更新的滞后程度。测量方法：随机抽取10个数据集，计算其更新日期与当前日期的间隔天数，计算平均值。评分标准：滞后≤30天得满分，31-90天得80分，91-180天得60分，181-365天得40分，&gt;365天得20分。</w:t>
      </w:r>
    </w:p>
    <w:p>
      <w:pPr>
        <w:pStyle w:val="BodyText"/>
        <w:spacing w:line="360" w:lineRule="auto"/>
      </w:pPr>
      <w:r>
        <w:rPr>
          <w:rFonts w:ascii="宋体" w:hAnsi="宋体" w:eastAsia="宋体"/>
          <w:b/>
          <w:bCs/>
          <w:color w:val="000000"/>
          <w:sz w:val="24"/>
        </w:rPr>
        <w:t xml:space="preserve">Q4 </w:t>
      </w:r>
      <w:r>
        <w:rPr>
          <w:rFonts w:hint="eastAsia" w:ascii="宋体" w:hAnsi="宋体" w:eastAsia="宋体"/>
          <w:b/>
          <w:bCs/>
          <w:color w:val="000000"/>
          <w:sz w:val="24"/>
        </w:rPr>
        <w:t xml:space="preserve">数据一致性。</w:t>
      </w:r>
      <w:r>
        <w:rPr>
          <w:rFonts w:ascii="宋体" w:hAnsi="宋体" w:eastAsia="宋体"/>
          <w:color w:val="000000"/>
          <w:sz w:val="24"/>
        </w:rPr>
        <w:t xml:space="preserve"> </w:t>
      </w:r>
      <w:r>
        <w:rPr>
          <w:rFonts w:hint="eastAsia" w:ascii="宋体" w:hAnsi="宋体" w:eastAsia="宋体"/>
          <w:color w:val="000000"/>
          <w:sz w:val="24"/>
        </w:rPr>
        <w:t xml:space="preserve">定义：平台跨来源数据的一致性程度。测量方法：选取2-3个涉及多部门的数据主题（如企业注册信息），比较不同来源数据的关键字段匹配率。评分标准：匹配率≥95%得满分，80%-94%得80分，60%-79%得60分，40%-59%得40分，&lt;40%得20分。</w:t>
      </w:r>
    </w:p>
    <w:p>
      <w:pPr>
        <w:pStyle w:val="BodyText"/>
        <w:spacing w:line="360" w:lineRule="auto"/>
      </w:pPr>
      <w:r>
        <w:rPr>
          <w:rFonts w:ascii="宋体" w:hAnsi="宋体" w:eastAsia="宋体"/>
          <w:b/>
          <w:bCs/>
          <w:color w:val="000000"/>
          <w:sz w:val="24"/>
        </w:rPr>
        <w:t xml:space="preserve">Q5 </w:t>
      </w:r>
      <w:r>
        <w:rPr>
          <w:rFonts w:hint="eastAsia" w:ascii="宋体" w:hAnsi="宋体" w:eastAsia="宋体"/>
          <w:b/>
          <w:bCs/>
          <w:color w:val="000000"/>
          <w:sz w:val="24"/>
        </w:rPr>
        <w:t xml:space="preserve">机器可读性。</w:t>
      </w:r>
      <w:r>
        <w:rPr>
          <w:rFonts w:ascii="宋体" w:hAnsi="宋体" w:eastAsia="宋体"/>
          <w:color w:val="000000"/>
          <w:sz w:val="24"/>
        </w:rPr>
        <w:t xml:space="preserve"> </w:t>
      </w:r>
      <w:r>
        <w:rPr>
          <w:rFonts w:hint="eastAsia" w:ascii="宋体" w:hAnsi="宋体" w:eastAsia="宋体"/>
          <w:color w:val="000000"/>
          <w:sz w:val="24"/>
        </w:rPr>
        <w:t xml:space="preserve">定义：平台数据集中机器可读格式的比例。测量方法：统计所有数据集的格式分布，计算机器可读格式（CSV、JSON、XML、XLSX等）占比。评分标准：机器可读率≥90%得满分，70%-89%得80分，50%-69%得60分，30%-49%得40分，&lt;30%得20分。</w:t>
      </w:r>
    </w:p>
    <w:p>
      <w:pPr>
        <w:pStyle w:val="BodyText"/>
        <w:spacing w:line="360" w:lineRule="auto"/>
      </w:pPr>
      <w:r>
        <w:rPr>
          <w:rFonts w:ascii="宋体" w:hAnsi="宋体" w:eastAsia="宋体"/>
          <w:b/>
          <w:bCs/>
          <w:color w:val="000000"/>
          <w:sz w:val="24"/>
        </w:rPr>
        <w:t xml:space="preserve">B.1.4 </w:t>
      </w:r>
      <w:r>
        <w:rPr>
          <w:rFonts w:hint="eastAsia" w:ascii="宋体" w:hAnsi="宋体" w:eastAsia="宋体"/>
          <w:b/>
          <w:bCs/>
          <w:color w:val="000000"/>
          <w:sz w:val="24"/>
        </w:rPr>
        <w:t xml:space="preserve">利用效果维度指标</w:t>
      </w:r>
    </w:p>
    <w:p>
      <w:pPr>
        <w:pStyle w:val="BodyText"/>
        <w:spacing w:line="360" w:lineRule="auto"/>
      </w:pPr>
      <w:r>
        <w:rPr>
          <w:rFonts w:ascii="宋体" w:hAnsi="宋体" w:eastAsia="宋体"/>
          <w:b/>
          <w:bCs/>
          <w:color w:val="000000"/>
          <w:sz w:val="24"/>
        </w:rPr>
        <w:t xml:space="preserve">U1 </w:t>
      </w:r>
      <w:r>
        <w:rPr>
          <w:rFonts w:hint="eastAsia" w:ascii="宋体" w:hAnsi="宋体" w:eastAsia="宋体"/>
          <w:b/>
          <w:bCs/>
          <w:color w:val="000000"/>
          <w:sz w:val="24"/>
        </w:rPr>
        <w:t xml:space="preserve">数据集下载量。</w:t>
      </w:r>
      <w:r>
        <w:rPr>
          <w:rFonts w:ascii="宋体" w:hAnsi="宋体" w:eastAsia="宋体"/>
          <w:color w:val="000000"/>
          <w:sz w:val="24"/>
        </w:rPr>
        <w:t xml:space="preserve"> </w:t>
      </w:r>
      <w:r>
        <w:rPr>
          <w:rFonts w:hint="eastAsia" w:ascii="宋体" w:hAnsi="宋体" w:eastAsia="宋体"/>
          <w:color w:val="000000"/>
          <w:sz w:val="24"/>
        </w:rPr>
        <w:t xml:space="preserve">定义：平台数据集的被下载次数。测量方法：通过平台提供的下载统计或API日志获取。对于不提供下载统计的平台，采用估算方法：基于平台排名和同类平台比较，结合Alexa流量排名和页面浏览量进行推算。评分标准：以样本平台下载量的最大值和最小值为边界，采用线性插值法计算得分。</w:t>
      </w:r>
    </w:p>
    <w:p>
      <w:pPr>
        <w:pStyle w:val="BodyText"/>
        <w:spacing w:line="360" w:lineRule="auto"/>
      </w:pPr>
      <w:r>
        <w:rPr>
          <w:rFonts w:ascii="宋体" w:hAnsi="宋体" w:eastAsia="宋体"/>
          <w:b/>
          <w:bCs/>
          <w:color w:val="000000"/>
          <w:sz w:val="24"/>
        </w:rPr>
        <w:t xml:space="preserve">U2 </w:t>
      </w:r>
      <w:r>
        <w:rPr>
          <w:rFonts w:hint="eastAsia" w:ascii="宋体" w:hAnsi="宋体" w:eastAsia="宋体"/>
          <w:b/>
          <w:bCs/>
          <w:color w:val="000000"/>
          <w:sz w:val="24"/>
        </w:rPr>
        <w:t xml:space="preserve">API调用量。</w:t>
      </w:r>
      <w:r>
        <w:rPr>
          <w:rFonts w:ascii="宋体" w:hAnsi="宋体" w:eastAsia="宋体"/>
          <w:color w:val="000000"/>
          <w:sz w:val="24"/>
        </w:rPr>
        <w:t xml:space="preserve"> </w:t>
      </w:r>
      <w:r>
        <w:rPr>
          <w:rFonts w:hint="eastAsia" w:ascii="宋体" w:hAnsi="宋体" w:eastAsia="宋体"/>
          <w:color w:val="000000"/>
          <w:sz w:val="24"/>
        </w:rPr>
        <w:t xml:space="preserve">定义：平台API接口的月均调用次数。测量方法：通过平台API文档或开发者门户获取调用统计。对于不提供统计的平台，采用估算方法。评分标准：以样本平台调用量的最大值和最小值为边界，采用线性插值法计算得分。</w:t>
      </w:r>
    </w:p>
    <w:p>
      <w:pPr>
        <w:pStyle w:val="BodyText"/>
        <w:spacing w:line="360" w:lineRule="auto"/>
      </w:pPr>
      <w:r>
        <w:rPr>
          <w:rFonts w:ascii="宋体" w:hAnsi="宋体" w:eastAsia="宋体"/>
          <w:b/>
          <w:bCs/>
          <w:color w:val="000000"/>
          <w:sz w:val="24"/>
        </w:rPr>
        <w:t xml:space="preserve">U3 </w:t>
      </w:r>
      <w:r>
        <w:rPr>
          <w:rFonts w:hint="eastAsia" w:ascii="宋体" w:hAnsi="宋体" w:eastAsia="宋体"/>
          <w:b/>
          <w:bCs/>
          <w:color w:val="000000"/>
          <w:sz w:val="24"/>
        </w:rPr>
        <w:t xml:space="preserve">应用成果数量。</w:t>
      </w:r>
      <w:r>
        <w:rPr>
          <w:rFonts w:ascii="宋体" w:hAnsi="宋体" w:eastAsia="宋体"/>
          <w:color w:val="000000"/>
          <w:sz w:val="24"/>
        </w:rPr>
        <w:t xml:space="preserve"> </w:t>
      </w:r>
      <w:r>
        <w:rPr>
          <w:rFonts w:hint="eastAsia" w:ascii="宋体" w:hAnsi="宋体" w:eastAsia="宋体"/>
          <w:color w:val="000000"/>
          <w:sz w:val="24"/>
        </w:rPr>
        <w:t xml:space="preserve">定义：基于平台数据开发的应用程序、研究报告、新闻调查等成果数量。测量方法：通过平台应用展示板块、搜索引擎检索（site:平台域名+关键词）、媒体报道等渠道统计。评分标准：以样本平台应用数量的最大值和最小值为边界，采用线性插值法计算得分。</w:t>
      </w:r>
    </w:p>
    <w:p>
      <w:pPr>
        <w:pStyle w:val="BodyText"/>
        <w:spacing w:line="360" w:lineRule="auto"/>
      </w:pPr>
      <w:r>
        <w:rPr>
          <w:rFonts w:ascii="宋体" w:hAnsi="宋体" w:eastAsia="宋体"/>
          <w:b/>
          <w:bCs/>
          <w:color w:val="000000"/>
          <w:sz w:val="24"/>
        </w:rPr>
        <w:t xml:space="preserve">U4 </w:t>
      </w:r>
      <w:r>
        <w:rPr>
          <w:rFonts w:hint="eastAsia" w:ascii="宋体" w:hAnsi="宋体" w:eastAsia="宋体"/>
          <w:b/>
          <w:bCs/>
          <w:color w:val="000000"/>
          <w:sz w:val="24"/>
        </w:rPr>
        <w:t xml:space="preserve">创新活动数量。</w:t>
      </w:r>
      <w:r>
        <w:rPr>
          <w:rFonts w:ascii="宋体" w:hAnsi="宋体" w:eastAsia="宋体"/>
          <w:color w:val="000000"/>
          <w:sz w:val="24"/>
        </w:rPr>
        <w:t xml:space="preserve"> </w:t>
      </w:r>
      <w:r>
        <w:rPr>
          <w:rFonts w:hint="eastAsia" w:ascii="宋体" w:hAnsi="宋体" w:eastAsia="宋体"/>
          <w:color w:val="000000"/>
          <w:sz w:val="24"/>
        </w:rPr>
        <w:t xml:space="preserve">定义：平台举办或参与的数据创新活动数量。测量方法：通过平台新闻公告和公开报道统计，包括数据创新大赛、黑客马拉松、数据沙龙、开发者培训等活动。评分标准：年活动≥5次得满分，3-4次得80分，1-2次得60分，0次得20分。</w:t>
      </w:r>
    </w:p>
    <w:p>
      <w:pPr>
        <w:pStyle w:val="BodyText"/>
        <w:spacing w:line="360" w:lineRule="auto"/>
      </w:pPr>
      <w:r>
        <w:rPr>
          <w:rFonts w:ascii="宋体" w:hAnsi="宋体" w:eastAsia="宋体"/>
          <w:b/>
          <w:bCs/>
          <w:color w:val="000000"/>
          <w:sz w:val="24"/>
        </w:rPr>
        <w:t xml:space="preserve">U5 </w:t>
      </w:r>
      <w:r>
        <w:rPr>
          <w:rFonts w:hint="eastAsia" w:ascii="宋体" w:hAnsi="宋体" w:eastAsia="宋体"/>
          <w:b/>
          <w:bCs/>
          <w:color w:val="000000"/>
          <w:sz w:val="24"/>
        </w:rPr>
        <w:t xml:space="preserve">授权运营项目数。</w:t>
      </w:r>
      <w:r>
        <w:rPr>
          <w:rFonts w:ascii="宋体" w:hAnsi="宋体" w:eastAsia="宋体"/>
          <w:color w:val="000000"/>
          <w:sz w:val="24"/>
        </w:rPr>
        <w:t xml:space="preserve"> </w:t>
      </w:r>
      <w:r>
        <w:rPr>
          <w:rFonts w:hint="eastAsia" w:ascii="宋体" w:hAnsi="宋体" w:eastAsia="宋体"/>
          <w:color w:val="000000"/>
          <w:sz w:val="24"/>
        </w:rPr>
        <w:t xml:space="preserve">定义：平台开展的授权运营项目数量。测量方法：通过平台授权运营板块和公开报道统计。评分标准：有授权运营项目得满分，无授权运营项目得0分。</w:t>
      </w:r>
    </w:p>
    <w:p>
      <w:pPr>
        <w:pStyle w:val="BodyText"/>
        <w:spacing w:line="360" w:lineRule="auto"/>
      </w:pPr>
      <w:r>
        <w:rPr>
          <w:rFonts w:ascii="宋体" w:hAnsi="宋体" w:eastAsia="宋体"/>
          <w:b/>
          <w:bCs/>
          <w:color w:val="000000"/>
          <w:sz w:val="24"/>
        </w:rPr>
        <w:t xml:space="preserve">U6 </w:t>
      </w:r>
      <w:r>
        <w:rPr>
          <w:rFonts w:hint="eastAsia" w:ascii="宋体" w:hAnsi="宋体" w:eastAsia="宋体"/>
          <w:b/>
          <w:bCs/>
          <w:color w:val="000000"/>
          <w:sz w:val="24"/>
        </w:rPr>
        <w:t xml:space="preserve">授权运营收入。</w:t>
      </w:r>
      <w:r>
        <w:rPr>
          <w:rFonts w:ascii="宋体" w:hAnsi="宋体" w:eastAsia="宋体"/>
          <w:color w:val="000000"/>
          <w:sz w:val="24"/>
        </w:rPr>
        <w:t xml:space="preserve"> </w:t>
      </w:r>
      <w:r>
        <w:rPr>
          <w:rFonts w:hint="eastAsia" w:ascii="宋体" w:hAnsi="宋体" w:eastAsia="宋体"/>
          <w:color w:val="000000"/>
          <w:sz w:val="24"/>
        </w:rPr>
        <w:t xml:space="preserve">定义：平台授权运营产生的经济收益。测量方法：通过平台财务报告或公开报道获取，对于未公开的数据采用估算方法（基于项目数量、合同金额和行业平均收益进行推算）。评分标准：有收入得满分，无收入得0分。</w:t>
      </w:r>
    </w:p>
    <w:p>
      <w:pPr>
        <w:pStyle w:val="BodyText"/>
        <w:spacing w:line="360" w:lineRule="auto"/>
      </w:pPr>
      <w:r>
        <w:rPr>
          <w:rFonts w:ascii="宋体" w:hAnsi="宋体" w:eastAsia="宋体"/>
          <w:b/>
          <w:bCs/>
          <w:color w:val="000000"/>
          <w:sz w:val="24"/>
        </w:rPr>
        <w:t xml:space="preserve">B.1.5 </w:t>
      </w:r>
      <w:r>
        <w:rPr>
          <w:rFonts w:hint="eastAsia" w:ascii="宋体" w:hAnsi="宋体" w:eastAsia="宋体"/>
          <w:b/>
          <w:bCs/>
          <w:color w:val="000000"/>
          <w:sz w:val="24"/>
        </w:rPr>
        <w:t xml:space="preserve">公平性维度指标</w:t>
      </w:r>
    </w:p>
    <w:p>
      <w:pPr>
        <w:pStyle w:val="BodyText"/>
        <w:spacing w:line="360" w:lineRule="auto"/>
      </w:pPr>
      <w:r>
        <w:rPr>
          <w:rFonts w:ascii="宋体" w:hAnsi="宋体" w:eastAsia="宋体"/>
          <w:b/>
          <w:bCs/>
          <w:color w:val="000000"/>
          <w:sz w:val="24"/>
        </w:rPr>
        <w:t xml:space="preserve">E1 </w:t>
      </w:r>
      <w:r>
        <w:rPr>
          <w:rFonts w:hint="eastAsia" w:ascii="宋体" w:hAnsi="宋体" w:eastAsia="宋体"/>
          <w:b/>
          <w:bCs/>
          <w:color w:val="000000"/>
          <w:sz w:val="24"/>
        </w:rPr>
        <w:t xml:space="preserve">区域均衡度。</w:t>
      </w:r>
      <w:r>
        <w:rPr>
          <w:rFonts w:ascii="宋体" w:hAnsi="宋体" w:eastAsia="宋体"/>
          <w:color w:val="000000"/>
          <w:sz w:val="24"/>
        </w:rPr>
        <w:t xml:space="preserve"> </w:t>
      </w:r>
      <w:r>
        <w:rPr>
          <w:rFonts w:hint="eastAsia" w:ascii="宋体" w:hAnsi="宋体" w:eastAsia="宋体"/>
          <w:color w:val="000000"/>
          <w:sz w:val="24"/>
        </w:rPr>
        <w:t xml:space="preserve">定义：平台在缩小区域数据利用差距方面的表现。测量方法：计算东中西部地区平台利用效果得分的变异系数，变异系数越小表示区域均衡度越高。评分标准：变异系数≤0.2得满分，0.2-0.3得80分，0.3-0.4得60分，0.4-0.5得40分，&gt;0.5得20分。</w:t>
      </w:r>
    </w:p>
    <w:p>
      <w:pPr>
        <w:pStyle w:val="BodyText"/>
        <w:spacing w:line="360" w:lineRule="auto"/>
      </w:pPr>
      <w:r>
        <w:rPr>
          <w:rFonts w:ascii="宋体" w:hAnsi="宋体" w:eastAsia="宋体"/>
          <w:b/>
          <w:bCs/>
          <w:color w:val="000000"/>
          <w:sz w:val="24"/>
        </w:rPr>
        <w:t xml:space="preserve">E2 </w:t>
      </w:r>
      <w:r>
        <w:rPr>
          <w:rFonts w:hint="eastAsia" w:ascii="宋体" w:hAnsi="宋体" w:eastAsia="宋体"/>
          <w:b/>
          <w:bCs/>
          <w:color w:val="000000"/>
          <w:sz w:val="24"/>
        </w:rPr>
        <w:t xml:space="preserve">群体覆盖度。</w:t>
      </w:r>
      <w:r>
        <w:rPr>
          <w:rFonts w:ascii="宋体" w:hAnsi="宋体" w:eastAsia="宋体"/>
          <w:color w:val="000000"/>
          <w:sz w:val="24"/>
        </w:rPr>
        <w:t xml:space="preserve"> </w:t>
      </w:r>
      <w:r>
        <w:rPr>
          <w:rFonts w:hint="eastAsia" w:ascii="宋体" w:hAnsi="宋体" w:eastAsia="宋体"/>
          <w:color w:val="000000"/>
          <w:sz w:val="24"/>
        </w:rPr>
        <w:t xml:space="preserve">定义：平台服务对象的多样性程度。测量方法：评估平台是否提供面向不同群体（企业、研究者、公众、政府）的专门服务通道。评分标准：覆盖4类群体得满分，3类得80分，2类得60分，1类得40分，0类得20分。</w:t>
      </w:r>
    </w:p>
    <w:p>
      <w:pPr>
        <w:pStyle w:val="BodyText"/>
        <w:spacing w:line="360" w:lineRule="auto"/>
      </w:pPr>
      <w:r>
        <w:rPr>
          <w:rFonts w:ascii="宋体" w:hAnsi="宋体" w:eastAsia="宋体"/>
          <w:b/>
          <w:bCs/>
          <w:color w:val="000000"/>
          <w:sz w:val="24"/>
        </w:rPr>
        <w:t xml:space="preserve">E3 </w:t>
      </w:r>
      <w:r>
        <w:rPr>
          <w:rFonts w:hint="eastAsia" w:ascii="宋体" w:hAnsi="宋体" w:eastAsia="宋体"/>
          <w:b/>
          <w:bCs/>
          <w:color w:val="000000"/>
          <w:sz w:val="24"/>
        </w:rPr>
        <w:t xml:space="preserve">可及性指数。</w:t>
      </w:r>
      <w:r>
        <w:rPr>
          <w:rFonts w:ascii="宋体" w:hAnsi="宋体" w:eastAsia="宋体"/>
          <w:color w:val="000000"/>
          <w:sz w:val="24"/>
        </w:rPr>
        <w:t xml:space="preserve"> </w:t>
      </w:r>
      <w:r>
        <w:rPr>
          <w:rFonts w:hint="eastAsia" w:ascii="宋体" w:hAnsi="宋体" w:eastAsia="宋体"/>
          <w:color w:val="000000"/>
          <w:sz w:val="24"/>
        </w:rPr>
        <w:t xml:space="preserve">定义：平台对弱势群体的数据服务可及性。测量方法：从三个子维度评估：（1）无障碍访问功能（支持屏幕阅读器、高对比度模式等=1，不支持=0）；（2）多语言支持（提供少数民族语言或外语版本=1，不提供=0）；（3）移动端适配（提供移动版网站或APP=1，未提供=0）。评分标准：三个子维度简单平均。</w:t>
      </w:r>
    </w:p>
    <w:bookmarkEnd w:id="226"/>
    <w:bookmarkStart w:id="227" w:name="b.2-权重计算过程"/>
    <w:p>
      <w:pPr>
        <w:pStyle w:val="Heading3"/>
        <w:spacing w:line="360" w:lineRule="auto"/>
      </w:pPr>
      <w:r>
        <w:rPr>
          <w:rFonts w:ascii="黑体" w:hAnsi="黑体" w:eastAsia="黑体"/>
          <w:b/>
          <w:color w:val="000000"/>
          <w:sz w:val="24"/>
        </w:rPr>
        <w:t xml:space="preserve">B.2 </w:t>
      </w:r>
      <w:r>
        <w:rPr>
          <w:rFonts w:hint="eastAsia" w:ascii="黑体" w:hAnsi="黑体" w:eastAsia="黑体"/>
          <w:b/>
          <w:color w:val="000000"/>
          <w:sz w:val="24"/>
        </w:rPr>
        <w:t xml:space="preserve">权重计算过程</w:t>
      </w:r>
    </w:p>
    <w:p>
      <w:pPr>
        <w:pStyle w:val="FirstParagraph"/>
        <w:spacing w:line="360" w:lineRule="auto"/>
      </w:pPr>
      <w:r>
        <w:rPr>
          <w:rFonts w:ascii="宋体" w:hAnsi="宋体" w:eastAsia="宋体"/>
          <w:b/>
          <w:bCs/>
          <w:color w:val="000000"/>
          <w:sz w:val="24"/>
        </w:rPr>
        <w:t xml:space="preserve">B.2.1 </w:t>
      </w:r>
      <w:r>
        <w:rPr>
          <w:rFonts w:hint="eastAsia" w:ascii="宋体" w:hAnsi="宋体" w:eastAsia="宋体"/>
          <w:b/>
          <w:bCs/>
          <w:color w:val="000000"/>
          <w:sz w:val="24"/>
        </w:rPr>
        <w:t xml:space="preserve">AHP权重计算</w:t>
      </w:r>
    </w:p>
    <w:p>
      <w:pPr>
        <w:pStyle w:val="BodyText"/>
        <w:spacing w:line="360" w:lineRule="auto"/>
      </w:pPr>
      <w:r>
        <w:rPr>
          <w:rFonts w:hint="eastAsia" w:ascii="宋体" w:hAnsi="宋体" w:eastAsia="宋体"/>
          <w:color w:val="000000"/>
          <w:sz w:val="24"/>
        </w:rPr>
        <w:t xml:space="preserve">本研究采用层次分析法（AHP）确定指标的主观权重。邀请5位专家对各维度指标的重要性进行两两比较，构建判断矩阵。以供给保障维度的5个指标为例，专家判断矩阵如表B-1所示。</w:t>
      </w:r>
    </w:p>
    <w:p>
      <w:pPr>
        <w:pStyle w:val="BodyText"/>
        <w:spacing w:line="360" w:lineRule="auto"/>
      </w:pPr>
      <w:r>
        <w:rPr>
          <w:rFonts w:hint="eastAsia" w:ascii="宋体" w:hAnsi="宋体" w:eastAsia="宋体"/>
          <w:b/>
          <w:bCs/>
          <w:color w:val="000000"/>
          <w:sz w:val="24"/>
        </w:rPr>
        <w:t xml:space="preserve">表B-1</w:t>
      </w:r>
      <w:r>
        <w:rPr>
          <w:rFonts w:ascii="宋体" w:hAnsi="宋体" w:eastAsia="宋体"/>
          <w:b/>
          <w:bCs/>
          <w:color w:val="000000"/>
          <w:sz w:val="24"/>
        </w:rPr>
        <w:t xml:space="preserve"> </w:t>
      </w:r>
      <w:r>
        <w:rPr>
          <w:rFonts w:hint="eastAsia" w:ascii="宋体" w:hAnsi="宋体" w:eastAsia="宋体"/>
          <w:b/>
          <w:bCs/>
          <w:color w:val="000000"/>
          <w:sz w:val="24"/>
        </w:rPr>
        <w:t xml:space="preserve">供给保障维度AHP判断矩阵（示例）</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rFonts w:hint="eastAsia"/>
              </w:rPr>
              <w:t xml:space="preserve">指标</w:t>
            </w:r>
          </w:p>
        </w:tc>
        <w:tc>
          <w:tcPr/>
          <w:p>
            <w:pPr>
              <w:pStyle w:val="Compact"/>
              <w:jc w:val="center"/>
            </w:pPr>
            <w:r>
              <w:t xml:space="preserve">S1</w:t>
            </w:r>
          </w:p>
        </w:tc>
        <w:tc>
          <w:tcPr/>
          <w:p>
            <w:pPr>
              <w:pStyle w:val="Compact"/>
              <w:jc w:val="center"/>
            </w:pPr>
            <w:r>
              <w:t xml:space="preserve">S2</w:t>
            </w:r>
          </w:p>
        </w:tc>
        <w:tc>
          <w:tcPr/>
          <w:p>
            <w:pPr>
              <w:pStyle w:val="Compact"/>
              <w:jc w:val="center"/>
            </w:pPr>
            <w:r>
              <w:t xml:space="preserve">S3</w:t>
            </w:r>
          </w:p>
        </w:tc>
        <w:tc>
          <w:tcPr/>
          <w:p>
            <w:pPr>
              <w:pStyle w:val="Compact"/>
              <w:jc w:val="center"/>
            </w:pPr>
            <w:r>
              <w:t xml:space="preserve">S4</w:t>
            </w:r>
          </w:p>
        </w:tc>
        <w:tc>
          <w:tcPr/>
          <w:p>
            <w:pPr>
              <w:pStyle w:val="Compact"/>
              <w:jc w:val="center"/>
            </w:pPr>
            <w:r>
              <w:t xml:space="preserve">S5</w:t>
            </w:r>
          </w:p>
        </w:tc>
      </w:tr>
      <w:tr>
        <w:tc>
          <w:tcPr/>
          <w:p>
            <w:pPr>
              <w:pStyle w:val="Compact"/>
              <w:jc w:val="left"/>
            </w:pPr>
            <w:r>
              <w:rPr>
                <w:rFonts w:hint="eastAsia"/>
              </w:rPr>
              <w:t xml:space="preserve">S1数据集数量</w:t>
            </w:r>
          </w:p>
        </w:tc>
        <w:tc>
          <w:tcPr/>
          <w:p>
            <w:pPr>
              <w:pStyle w:val="Compact"/>
              <w:jc w:val="center"/>
            </w:pPr>
            <w:r>
              <w:t xml:space="preserve">1</w:t>
            </w:r>
          </w:p>
        </w:tc>
        <w:tc>
          <w:tcPr/>
          <w:p>
            <w:pPr>
              <w:pStyle w:val="Compact"/>
              <w:jc w:val="center"/>
            </w:pPr>
            <w:r>
              <w:t xml:space="preserve">3</w:t>
            </w:r>
          </w:p>
        </w:tc>
        <w:tc>
          <w:tcPr/>
          <w:p>
            <w:pPr>
              <w:pStyle w:val="Compact"/>
              <w:jc w:val="center"/>
            </w:pPr>
            <w:r>
              <w:t xml:space="preserve">5</w:t>
            </w:r>
          </w:p>
        </w:tc>
        <w:tc>
          <w:tcPr/>
          <w:p>
            <w:pPr>
              <w:pStyle w:val="Compact"/>
              <w:jc w:val="center"/>
            </w:pPr>
            <w:r>
              <w:t xml:space="preserve">4</w:t>
            </w:r>
          </w:p>
        </w:tc>
        <w:tc>
          <w:tcPr/>
          <w:p>
            <w:pPr>
              <w:pStyle w:val="Compact"/>
              <w:jc w:val="center"/>
            </w:pPr>
            <w:r>
              <w:t xml:space="preserve">2</w:t>
            </w:r>
          </w:p>
        </w:tc>
      </w:tr>
      <w:tr>
        <w:tc>
          <w:tcPr/>
          <w:p>
            <w:pPr>
              <w:pStyle w:val="Compact"/>
              <w:jc w:val="left"/>
            </w:pPr>
            <w:r>
              <w:rPr>
                <w:rFonts w:hint="eastAsia"/>
              </w:rPr>
              <w:t xml:space="preserve">S2主题覆盖度</w:t>
            </w:r>
          </w:p>
        </w:tc>
        <w:tc>
          <w:tcPr/>
          <w:p>
            <w:pPr>
              <w:pStyle w:val="Compact"/>
              <w:jc w:val="center"/>
            </w:pPr>
            <w:r>
              <w:t xml:space="preserve">1/3</w:t>
            </w:r>
          </w:p>
        </w:tc>
        <w:tc>
          <w:tcPr/>
          <w:p>
            <w:pPr>
              <w:pStyle w:val="Compact"/>
              <w:jc w:val="center"/>
            </w:pPr>
            <w:r>
              <w:t xml:space="preserve">1</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1/2</w:t>
            </w:r>
          </w:p>
        </w:tc>
      </w:tr>
      <w:tr>
        <w:tc>
          <w:tcPr/>
          <w:p>
            <w:pPr>
              <w:pStyle w:val="Compact"/>
              <w:jc w:val="left"/>
            </w:pPr>
            <w:r>
              <w:rPr>
                <w:rFonts w:hint="eastAsia"/>
              </w:rPr>
              <w:t xml:space="preserve">S3更新频率</w:t>
            </w:r>
          </w:p>
        </w:tc>
        <w:tc>
          <w:tcPr/>
          <w:p>
            <w:pPr>
              <w:pStyle w:val="Compact"/>
              <w:jc w:val="center"/>
            </w:pPr>
            <w:r>
              <w:t xml:space="preserve">1/5</w:t>
            </w:r>
          </w:p>
        </w:tc>
        <w:tc>
          <w:tcPr/>
          <w:p>
            <w:pPr>
              <w:pStyle w:val="Compact"/>
              <w:jc w:val="center"/>
            </w:pPr>
            <w:r>
              <w:t xml:space="preserve">1/3</w:t>
            </w:r>
          </w:p>
        </w:tc>
        <w:tc>
          <w:tcPr/>
          <w:p>
            <w:pPr>
              <w:pStyle w:val="Compact"/>
              <w:jc w:val="center"/>
            </w:pPr>
            <w:r>
              <w:t xml:space="preserve">1</w:t>
            </w:r>
          </w:p>
        </w:tc>
        <w:tc>
          <w:tcPr/>
          <w:p>
            <w:pPr>
              <w:pStyle w:val="Compact"/>
              <w:jc w:val="center"/>
            </w:pPr>
            <w:r>
              <w:t xml:space="preserve">1/2</w:t>
            </w:r>
          </w:p>
        </w:tc>
        <w:tc>
          <w:tcPr/>
          <w:p>
            <w:pPr>
              <w:pStyle w:val="Compact"/>
              <w:jc w:val="center"/>
            </w:pPr>
            <w:r>
              <w:t xml:space="preserve">1/3</w:t>
            </w:r>
          </w:p>
        </w:tc>
      </w:tr>
      <w:tr>
        <w:tc>
          <w:tcPr/>
          <w:p>
            <w:pPr>
              <w:pStyle w:val="Compact"/>
              <w:jc w:val="left"/>
            </w:pPr>
            <w:r>
              <w:rPr>
                <w:rFonts w:hint="eastAsia"/>
              </w:rPr>
              <w:t xml:space="preserve">S4格式标准化率</w:t>
            </w:r>
          </w:p>
        </w:tc>
        <w:tc>
          <w:tcPr/>
          <w:p>
            <w:pPr>
              <w:pStyle w:val="Compact"/>
              <w:jc w:val="center"/>
            </w:pPr>
            <w:r>
              <w:t xml:space="preserve">1/4</w:t>
            </w:r>
          </w:p>
        </w:tc>
        <w:tc>
          <w:tcPr/>
          <w:p>
            <w:pPr>
              <w:pStyle w:val="Compact"/>
              <w:jc w:val="center"/>
            </w:pPr>
            <w:r>
              <w:t xml:space="preserve">1/2</w:t>
            </w:r>
          </w:p>
        </w:tc>
        <w:tc>
          <w:tcPr/>
          <w:p>
            <w:pPr>
              <w:pStyle w:val="Compact"/>
              <w:jc w:val="center"/>
            </w:pPr>
            <w:r>
              <w:t xml:space="preserve">2</w:t>
            </w:r>
          </w:p>
        </w:tc>
        <w:tc>
          <w:tcPr/>
          <w:p>
            <w:pPr>
              <w:pStyle w:val="Compact"/>
              <w:jc w:val="center"/>
            </w:pPr>
            <w:r>
              <w:t xml:space="preserve">1</w:t>
            </w:r>
          </w:p>
        </w:tc>
        <w:tc>
          <w:tcPr/>
          <w:p>
            <w:pPr>
              <w:pStyle w:val="Compact"/>
              <w:jc w:val="center"/>
            </w:pPr>
            <w:r>
              <w:t xml:space="preserve">1/2</w:t>
            </w:r>
          </w:p>
        </w:tc>
      </w:tr>
      <w:tr>
        <w:tc>
          <w:tcPr/>
          <w:p>
            <w:pPr>
              <w:pStyle w:val="Compact"/>
              <w:jc w:val="left"/>
            </w:pPr>
            <w:r>
              <w:rPr>
                <w:rFonts w:hint="eastAsia"/>
              </w:rPr>
              <w:t xml:space="preserve">S5目录完整性</w:t>
            </w:r>
          </w:p>
        </w:tc>
        <w:tc>
          <w:tcPr/>
          <w:p>
            <w:pPr>
              <w:pStyle w:val="Compact"/>
              <w:jc w:val="center"/>
            </w:pPr>
            <w:r>
              <w:t xml:space="preserve">1/2</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1</w:t>
            </w:r>
          </w:p>
        </w:tc>
      </w:tr>
    </w:tbl>
    <w:p>
      <w:pPr>
        <w:pStyle w:val="BodyText"/>
        <w:spacing w:line="360" w:lineRule="auto"/>
      </w:pPr>
      <w:r>
        <w:rPr>
          <w:rFonts w:hint="eastAsia" w:ascii="宋体" w:hAnsi="宋体" w:eastAsia="宋体"/>
          <w:color w:val="000000"/>
          <w:sz w:val="24"/>
        </w:rPr>
        <w:t xml:space="preserve">通过计算判断矩阵的最大特征值和特征向量，得到供给保障维度各指标的AHP权重：S1=0.42，S2=0.18，S3=0.08，S4=0.14，S5=0.18。一致性检验指标CR=0.03&lt;0.1，判断矩阵通过一致性检验。</w:t>
      </w:r>
    </w:p>
    <w:p>
      <w:pPr>
        <w:pStyle w:val="BodyText"/>
        <w:spacing w:line="360" w:lineRule="auto"/>
      </w:pPr>
      <w:r>
        <w:rPr>
          <w:rFonts w:ascii="宋体" w:hAnsi="宋体" w:eastAsia="宋体"/>
          <w:b/>
          <w:bCs/>
          <w:color w:val="000000"/>
          <w:sz w:val="24"/>
        </w:rPr>
        <w:t xml:space="preserve">B.2.2 </w:t>
      </w:r>
      <w:r>
        <w:rPr>
          <w:rFonts w:hint="eastAsia" w:ascii="宋体" w:hAnsi="宋体" w:eastAsia="宋体"/>
          <w:b/>
          <w:bCs/>
          <w:color w:val="000000"/>
          <w:sz w:val="24"/>
        </w:rPr>
        <w:t xml:space="preserve">熵权计算</w:t>
      </w:r>
    </w:p>
    <w:p>
      <w:pPr>
        <w:pStyle w:val="BodyText"/>
        <w:spacing w:line="360" w:lineRule="auto"/>
      </w:pPr>
      <w:r>
        <w:rPr>
          <w:rFonts w:hint="eastAsia" w:ascii="宋体" w:hAnsi="宋体" w:eastAsia="宋体"/>
          <w:color w:val="000000"/>
          <w:sz w:val="24"/>
        </w:rPr>
        <w:t xml:space="preserve">熵权法根据指标数据的离散程度确定客观权重。以22个样本平台的S1指标（数据集数量）为例，原始数据经过标准化处理后，计算各平台的比重p_ij，然后计算熵值e_j和差异系数g_j。S1指标的熵值为0.85，差异系数为0.15，在所有指标中差异系数排名第四，表明该指标具有一定的区分能力。</w:t>
      </w:r>
    </w:p>
    <w:p>
      <w:pPr>
        <w:pStyle w:val="BodyText"/>
        <w:spacing w:line="360" w:lineRule="auto"/>
      </w:pPr>
      <w:r>
        <w:rPr>
          <w:rFonts w:ascii="宋体" w:hAnsi="宋体" w:eastAsia="宋体"/>
          <w:b/>
          <w:bCs/>
          <w:color w:val="000000"/>
          <w:sz w:val="24"/>
        </w:rPr>
        <w:t xml:space="preserve">B.2.3 </w:t>
      </w:r>
      <w:r>
        <w:rPr>
          <w:rFonts w:hint="eastAsia" w:ascii="宋体" w:hAnsi="宋体" w:eastAsia="宋体"/>
          <w:b/>
          <w:bCs/>
          <w:color w:val="000000"/>
          <w:sz w:val="24"/>
        </w:rPr>
        <w:t xml:space="preserve">组合权重</w:t>
      </w:r>
    </w:p>
    <w:p>
      <w:pPr>
        <w:pStyle w:val="BodyText"/>
        <w:spacing w:line="360" w:lineRule="auto"/>
      </w:pPr>
      <w:r>
        <w:rPr>
          <w:rFonts w:hint="eastAsia" w:ascii="宋体" w:hAnsi="宋体" w:eastAsia="宋体"/>
          <w:color w:val="000000"/>
          <w:sz w:val="24"/>
        </w:rPr>
        <w:t xml:space="preserve">组合权重采用线性加权法计算：w_j</w:t>
      </w:r>
      <w:r>
        <w:rPr>
          <w:rFonts w:ascii="宋体" w:hAnsi="宋体" w:eastAsia="宋体"/>
          <w:color w:val="000000"/>
          <w:sz w:val="24"/>
        </w:rPr>
        <w:t xml:space="preserve"> = 0.5 × w_AHP + 0.5 × </w:t>
      </w:r>
      <w:r>
        <w:rPr>
          <w:rFonts w:hint="eastAsia" w:ascii="宋体" w:hAnsi="宋体" w:eastAsia="宋体"/>
          <w:color w:val="000000"/>
          <w:sz w:val="24"/>
        </w:rPr>
        <w:t xml:space="preserve">w_entropy。五个维度的组合权重分别为：供给保障0.22、平台服务0.20、数据质量0.20、利用效果0.28、公平性0.10。利用效果维度的权重最高，体现了本研究”效果导向”的评估理念。</w:t>
      </w:r>
    </w:p>
    <w:bookmarkEnd w:id="227"/>
    <w:bookmarkEnd w:id="228"/>
    <w:bookmarkStart w:id="233" w:name="附录c-补充数据表格"/>
    <w:p>
      <w:pPr>
        <w:pStyle w:val="Heading2"/>
        <w:spacing w:line="360" w:lineRule="auto"/>
      </w:pPr>
      <w:r>
        <w:rPr>
          <w:rFonts w:hint="eastAsia" w:ascii="黑体" w:hAnsi="黑体" w:eastAsia="黑体"/>
          <w:b/>
          <w:color w:val="000000"/>
          <w:sz w:val="28"/>
        </w:rPr>
        <w:t xml:space="preserve">附录C</w:t>
      </w:r>
      <w:r>
        <w:rPr>
          <w:rFonts w:ascii="黑体" w:hAnsi="黑体" w:eastAsia="黑体"/>
          <w:b/>
          <w:color w:val="000000"/>
          <w:sz w:val="28"/>
        </w:rPr>
        <w:t xml:space="preserve"> </w:t>
      </w:r>
      <w:r>
        <w:rPr>
          <w:rFonts w:hint="eastAsia" w:ascii="黑体" w:hAnsi="黑体" w:eastAsia="黑体"/>
          <w:b/>
          <w:color w:val="000000"/>
          <w:sz w:val="28"/>
        </w:rPr>
        <w:t xml:space="preserve">补充数据表格</w:t>
      </w:r>
    </w:p>
    <w:bookmarkStart w:id="229" w:name="c.1-22个样本平台详细信息"/>
    <w:p>
      <w:pPr>
        <w:pStyle w:val="Heading3"/>
        <w:spacing w:line="360" w:lineRule="auto"/>
      </w:pPr>
      <w:r>
        <w:rPr>
          <w:rFonts w:ascii="黑体" w:hAnsi="黑体" w:eastAsia="黑体"/>
          <w:b/>
          <w:color w:val="000000"/>
          <w:sz w:val="24"/>
        </w:rPr>
        <w:t xml:space="preserve">C.1 </w:t>
      </w:r>
      <w:r>
        <w:rPr>
          <w:rFonts w:hint="eastAsia" w:ascii="黑体" w:hAnsi="黑体" w:eastAsia="黑体"/>
          <w:b/>
          <w:color w:val="000000"/>
          <w:sz w:val="24"/>
        </w:rPr>
        <w:t xml:space="preserve">22个样本平台详细信息</w:t>
      </w:r>
    </w:p>
    <w:p>
      <w:pPr>
        <w:pStyle w:val="FirstParagraph"/>
        <w:spacing w:line="360" w:lineRule="auto"/>
      </w:pPr>
      <w:r>
        <w:rPr>
          <w:rFonts w:hint="eastAsia" w:ascii="宋体" w:hAnsi="宋体" w:eastAsia="宋体"/>
          <w:b/>
          <w:bCs/>
          <w:color w:val="000000"/>
          <w:sz w:val="24"/>
        </w:rPr>
        <w:t xml:space="preserve">表C-1</w:t>
      </w:r>
      <w:r>
        <w:rPr>
          <w:rFonts w:ascii="宋体" w:hAnsi="宋体" w:eastAsia="宋体"/>
          <w:b/>
          <w:bCs/>
          <w:color w:val="000000"/>
          <w:sz w:val="24"/>
        </w:rPr>
        <w:t xml:space="preserve"> </w:t>
      </w:r>
      <w:r>
        <w:rPr>
          <w:rFonts w:hint="eastAsia" w:ascii="宋体" w:hAnsi="宋体" w:eastAsia="宋体"/>
          <w:b/>
          <w:bCs/>
          <w:color w:val="000000"/>
          <w:sz w:val="24"/>
        </w:rPr>
        <w:t xml:space="preserve">22个样本平台基本信息</w:t>
      </w:r>
    </w:p>
    <w:tbl>
      <w:tblPr>
        <w:tblStyle w:val="Table"/>
        <w:tblW w:type="pct" w:w="5000"/>
        <w:tblLayout w:type="fixed"/>
        <w:tblLook w:firstRow="1" w:lastRow="0" w:firstColumn="0" w:lastColumn="0" w:noHBand="0" w:noVBand="0" w:val="0020"/>
      </w:tblPr>
      <w:tblGrid>
        <w:gridCol w:w="1277"/>
        <w:gridCol w:w="1021"/>
        <w:gridCol w:w="1021"/>
        <w:gridCol w:w="1277"/>
        <w:gridCol w:w="1021"/>
        <w:gridCol w:w="1021"/>
        <w:gridCol w:w="1277"/>
      </w:tblGrid>
      <w:tr>
        <w:trPr>
          <w:tblHeader w:val="on"/>
        </w:trPr>
        <w:tc>
          <w:tcPr/>
          <w:p>
            <w:pPr>
              <w:pStyle w:val="Compact"/>
              <w:jc w:val="center"/>
            </w:pPr>
            <w:r>
              <w:rPr>
                <w:rFonts w:hint="eastAsia"/>
              </w:rPr>
              <w:t xml:space="preserve">序号</w:t>
            </w:r>
          </w:p>
        </w:tc>
        <w:tc>
          <w:tcPr/>
          <w:p>
            <w:pPr>
              <w:pStyle w:val="Compact"/>
              <w:jc w:val="left"/>
            </w:pPr>
            <w:r>
              <w:rPr>
                <w:rFonts w:hint="eastAsia"/>
              </w:rPr>
              <w:t xml:space="preserve">省份</w:t>
            </w:r>
          </w:p>
        </w:tc>
        <w:tc>
          <w:tcPr/>
          <w:p>
            <w:pPr>
              <w:pStyle w:val="Compact"/>
              <w:jc w:val="left"/>
            </w:pPr>
            <w:r>
              <w:rPr>
                <w:rFonts w:hint="eastAsia"/>
              </w:rPr>
              <w:t xml:space="preserve">平台名称</w:t>
            </w:r>
          </w:p>
        </w:tc>
        <w:tc>
          <w:tcPr/>
          <w:p>
            <w:pPr>
              <w:pStyle w:val="Compact"/>
              <w:jc w:val="center"/>
            </w:pPr>
            <w:r>
              <w:rPr>
                <w:rFonts w:hint="eastAsia"/>
              </w:rPr>
              <w:t xml:space="preserve">上线时间</w:t>
            </w:r>
          </w:p>
        </w:tc>
        <w:tc>
          <w:tcPr/>
          <w:p>
            <w:pPr>
              <w:pStyle w:val="Compact"/>
              <w:jc w:val="left"/>
            </w:pPr>
            <w:r>
              <w:rPr>
                <w:rFonts w:hint="eastAsia"/>
              </w:rPr>
              <w:t xml:space="preserve">主管部门</w:t>
            </w:r>
          </w:p>
        </w:tc>
        <w:tc>
          <w:tcPr/>
          <w:p>
            <w:pPr>
              <w:pStyle w:val="Compact"/>
              <w:jc w:val="left"/>
            </w:pPr>
            <w:r>
              <w:rPr>
                <w:rFonts w:hint="eastAsia"/>
              </w:rPr>
              <w:t xml:space="preserve">平台类型</w:t>
            </w:r>
          </w:p>
        </w:tc>
        <w:tc>
          <w:tcPr/>
          <w:p>
            <w:pPr>
              <w:pStyle w:val="Compact"/>
              <w:jc w:val="center"/>
            </w:pPr>
            <w:r>
              <w:rPr>
                <w:rFonts w:hint="eastAsia"/>
              </w:rPr>
              <w:t xml:space="preserve">数据集数量</w:t>
            </w:r>
          </w:p>
        </w:tc>
      </w:tr>
      <w:tr>
        <w:tc>
          <w:tcPr/>
          <w:p>
            <w:pPr>
              <w:pStyle w:val="Compact"/>
              <w:jc w:val="center"/>
            </w:pPr>
            <w:r>
              <w:t xml:space="preserve">1</w:t>
            </w:r>
          </w:p>
        </w:tc>
        <w:tc>
          <w:tcPr/>
          <w:p>
            <w:pPr>
              <w:pStyle w:val="Compact"/>
              <w:jc w:val="left"/>
            </w:pPr>
            <w:r>
              <w:rPr>
                <w:rFonts w:hint="eastAsia"/>
              </w:rPr>
              <w:t xml:space="preserve">广东</w:t>
            </w:r>
          </w:p>
        </w:tc>
        <w:tc>
          <w:tcPr/>
          <w:p>
            <w:pPr>
              <w:pStyle w:val="Compact"/>
              <w:jc w:val="left"/>
            </w:pPr>
            <w:r>
              <w:rPr>
                <w:rFonts w:hint="eastAsia"/>
              </w:rPr>
              <w:t xml:space="preserve">广东省数据资源一网共享平台</w:t>
            </w:r>
          </w:p>
        </w:tc>
        <w:tc>
          <w:tcPr/>
          <w:p>
            <w:pPr>
              <w:pStyle w:val="Compact"/>
              <w:jc w:val="center"/>
            </w:pPr>
            <w:r>
              <w:t xml:space="preserve">2018.06</w:t>
            </w:r>
          </w:p>
        </w:tc>
        <w:tc>
          <w:tcPr/>
          <w:p>
            <w:pPr>
              <w:pStyle w:val="Compact"/>
              <w:jc w:val="left"/>
            </w:pPr>
            <w:r>
              <w:rPr>
                <w:rFonts w:hint="eastAsia"/>
              </w:rPr>
              <w:t xml:space="preserve">广东省政务服务数据管理局</w:t>
            </w:r>
          </w:p>
        </w:tc>
        <w:tc>
          <w:tcPr/>
          <w:p>
            <w:pPr>
              <w:pStyle w:val="Compact"/>
              <w:jc w:val="left"/>
            </w:pPr>
            <w:r>
              <w:rPr>
                <w:rFonts w:hint="eastAsia"/>
              </w:rPr>
              <w:t xml:space="preserve">综合性平台</w:t>
            </w:r>
          </w:p>
        </w:tc>
        <w:tc>
          <w:tcPr/>
          <w:p>
            <w:pPr>
              <w:pStyle w:val="Compact"/>
              <w:jc w:val="center"/>
            </w:pPr>
            <w:r>
              <w:t xml:space="preserve">8,120</w:t>
            </w:r>
          </w:p>
        </w:tc>
      </w:tr>
      <w:tr>
        <w:tc>
          <w:tcPr/>
          <w:p>
            <w:pPr>
              <w:pStyle w:val="Compact"/>
              <w:jc w:val="center"/>
            </w:pPr>
            <w:r>
              <w:t xml:space="preserve">2</w:t>
            </w:r>
          </w:p>
        </w:tc>
        <w:tc>
          <w:tcPr/>
          <w:p>
            <w:pPr>
              <w:pStyle w:val="Compact"/>
              <w:jc w:val="left"/>
            </w:pPr>
            <w:r>
              <w:rPr>
                <w:rFonts w:hint="eastAsia"/>
              </w:rPr>
              <w:t xml:space="preserve">浙江</w:t>
            </w:r>
          </w:p>
        </w:tc>
        <w:tc>
          <w:tcPr/>
          <w:p>
            <w:pPr>
              <w:pStyle w:val="Compact"/>
              <w:jc w:val="left"/>
            </w:pPr>
            <w:r>
              <w:rPr>
                <w:rFonts w:hint="eastAsia"/>
              </w:rPr>
              <w:t xml:space="preserve">浙江政务服务网数据开放板块</w:t>
            </w:r>
          </w:p>
        </w:tc>
        <w:tc>
          <w:tcPr/>
          <w:p>
            <w:pPr>
              <w:pStyle w:val="Compact"/>
              <w:jc w:val="center"/>
            </w:pPr>
            <w:r>
              <w:t xml:space="preserve">2018.03</w:t>
            </w:r>
          </w:p>
        </w:tc>
        <w:tc>
          <w:tcPr/>
          <w:p>
            <w:pPr>
              <w:pStyle w:val="Compact"/>
              <w:jc w:val="left"/>
            </w:pPr>
            <w:r>
              <w:rPr>
                <w:rFonts w:hint="eastAsia"/>
              </w:rPr>
              <w:t xml:space="preserve">浙江省大数据发展管理局</w:t>
            </w:r>
          </w:p>
        </w:tc>
        <w:tc>
          <w:tcPr/>
          <w:p>
            <w:pPr>
              <w:pStyle w:val="Compact"/>
              <w:jc w:val="left"/>
            </w:pPr>
            <w:r>
              <w:rPr>
                <w:rFonts w:hint="eastAsia"/>
              </w:rPr>
              <w:t xml:space="preserve">综合性平台</w:t>
            </w:r>
          </w:p>
        </w:tc>
        <w:tc>
          <w:tcPr/>
          <w:p>
            <w:pPr>
              <w:pStyle w:val="Compact"/>
              <w:jc w:val="center"/>
            </w:pPr>
            <w:r>
              <w:t xml:space="preserve">4,680</w:t>
            </w:r>
          </w:p>
        </w:tc>
      </w:tr>
      <w:tr>
        <w:tc>
          <w:tcPr/>
          <w:p>
            <w:pPr>
              <w:pStyle w:val="Compact"/>
              <w:jc w:val="center"/>
            </w:pPr>
            <w:r>
              <w:t xml:space="preserve">3</w:t>
            </w:r>
          </w:p>
        </w:tc>
        <w:tc>
          <w:tcPr/>
          <w:p>
            <w:pPr>
              <w:pStyle w:val="Compact"/>
              <w:jc w:val="left"/>
            </w:pPr>
            <w:r>
              <w:rPr>
                <w:rFonts w:hint="eastAsia"/>
              </w:rPr>
              <w:t xml:space="preserve">山东</w:t>
            </w:r>
          </w:p>
        </w:tc>
        <w:tc>
          <w:tcPr/>
          <w:p>
            <w:pPr>
              <w:pStyle w:val="Compact"/>
              <w:jc w:val="left"/>
            </w:pPr>
            <w:r>
              <w:rPr>
                <w:rFonts w:hint="eastAsia"/>
              </w:rPr>
              <w:t xml:space="preserve">山东公共数据开放网</w:t>
            </w:r>
          </w:p>
        </w:tc>
        <w:tc>
          <w:tcPr/>
          <w:p>
            <w:pPr>
              <w:pStyle w:val="Compact"/>
              <w:jc w:val="center"/>
            </w:pPr>
            <w:r>
              <w:t xml:space="preserve">2019.01</w:t>
            </w:r>
          </w:p>
        </w:tc>
        <w:tc>
          <w:tcPr/>
          <w:p>
            <w:pPr>
              <w:pStyle w:val="Compact"/>
              <w:jc w:val="left"/>
            </w:pPr>
            <w:r>
              <w:rPr>
                <w:rFonts w:hint="eastAsia"/>
              </w:rPr>
              <w:t xml:space="preserve">山东省大数据局</w:t>
            </w:r>
          </w:p>
        </w:tc>
        <w:tc>
          <w:tcPr/>
          <w:p>
            <w:pPr>
              <w:pStyle w:val="Compact"/>
              <w:jc w:val="left"/>
            </w:pPr>
            <w:r>
              <w:rPr>
                <w:rFonts w:hint="eastAsia"/>
              </w:rPr>
              <w:t xml:space="preserve">专业化平台</w:t>
            </w:r>
          </w:p>
        </w:tc>
        <w:tc>
          <w:tcPr/>
          <w:p>
            <w:pPr>
              <w:pStyle w:val="Compact"/>
              <w:jc w:val="center"/>
            </w:pPr>
            <w:r>
              <w:t xml:space="preserve">6,420</w:t>
            </w:r>
          </w:p>
        </w:tc>
      </w:tr>
      <w:tr>
        <w:tc>
          <w:tcPr/>
          <w:p>
            <w:pPr>
              <w:pStyle w:val="Compact"/>
              <w:jc w:val="center"/>
            </w:pPr>
            <w:r>
              <w:t xml:space="preserve">4</w:t>
            </w:r>
          </w:p>
        </w:tc>
        <w:tc>
          <w:tcPr/>
          <w:p>
            <w:pPr>
              <w:pStyle w:val="Compact"/>
              <w:jc w:val="left"/>
            </w:pPr>
            <w:r>
              <w:rPr>
                <w:rFonts w:hint="eastAsia"/>
              </w:rPr>
              <w:t xml:space="preserve">贵州</w:t>
            </w:r>
          </w:p>
        </w:tc>
        <w:tc>
          <w:tcPr/>
          <w:p>
            <w:pPr>
              <w:pStyle w:val="Compact"/>
              <w:jc w:val="left"/>
            </w:pPr>
            <w:r>
              <w:rPr>
                <w:rFonts w:hint="eastAsia"/>
              </w:rPr>
              <w:t xml:space="preserve">贵州省政府数据开放平台</w:t>
            </w:r>
          </w:p>
        </w:tc>
        <w:tc>
          <w:tcPr/>
          <w:p>
            <w:pPr>
              <w:pStyle w:val="Compact"/>
              <w:jc w:val="center"/>
            </w:pPr>
            <w:r>
              <w:t xml:space="preserve">2017.01</w:t>
            </w:r>
          </w:p>
        </w:tc>
        <w:tc>
          <w:tcPr/>
          <w:p>
            <w:pPr>
              <w:pStyle w:val="Compact"/>
              <w:jc w:val="left"/>
            </w:pPr>
            <w:r>
              <w:rPr>
                <w:rFonts w:hint="eastAsia"/>
              </w:rPr>
              <w:t xml:space="preserve">贵州省大数据发展管理局</w:t>
            </w:r>
          </w:p>
        </w:tc>
        <w:tc>
          <w:tcPr/>
          <w:p>
            <w:pPr>
              <w:pStyle w:val="Compact"/>
              <w:jc w:val="left"/>
            </w:pPr>
            <w:r>
              <w:rPr>
                <w:rFonts w:hint="eastAsia"/>
              </w:rPr>
              <w:t xml:space="preserve">专业化平台</w:t>
            </w:r>
          </w:p>
        </w:tc>
        <w:tc>
          <w:tcPr/>
          <w:p>
            <w:pPr>
              <w:pStyle w:val="Compact"/>
              <w:jc w:val="center"/>
            </w:pPr>
            <w:r>
              <w:t xml:space="preserve">2,820</w:t>
            </w:r>
          </w:p>
        </w:tc>
      </w:tr>
      <w:tr>
        <w:tc>
          <w:tcPr/>
          <w:p>
            <w:pPr>
              <w:pStyle w:val="Compact"/>
              <w:jc w:val="center"/>
            </w:pPr>
            <w:r>
              <w:t xml:space="preserve">5</w:t>
            </w:r>
          </w:p>
        </w:tc>
        <w:tc>
          <w:tcPr/>
          <w:p>
            <w:pPr>
              <w:pStyle w:val="Compact"/>
              <w:jc w:val="left"/>
            </w:pPr>
            <w:r>
              <w:rPr>
                <w:rFonts w:hint="eastAsia"/>
              </w:rPr>
              <w:t xml:space="preserve">四川</w:t>
            </w:r>
          </w:p>
        </w:tc>
        <w:tc>
          <w:tcPr/>
          <w:p>
            <w:pPr>
              <w:pStyle w:val="Compact"/>
              <w:jc w:val="left"/>
            </w:pPr>
            <w:r>
              <w:rPr>
                <w:rFonts w:hint="eastAsia"/>
              </w:rPr>
              <w:t xml:space="preserve">四川公共数据开放网</w:t>
            </w:r>
          </w:p>
        </w:tc>
        <w:tc>
          <w:tcPr/>
          <w:p>
            <w:pPr>
              <w:pStyle w:val="Compact"/>
              <w:jc w:val="center"/>
            </w:pPr>
            <w:r>
              <w:t xml:space="preserve">2019.06</w:t>
            </w:r>
          </w:p>
        </w:tc>
        <w:tc>
          <w:tcPr/>
          <w:p>
            <w:pPr>
              <w:pStyle w:val="Compact"/>
              <w:jc w:val="left"/>
            </w:pPr>
            <w:r>
              <w:rPr>
                <w:rFonts w:hint="eastAsia"/>
              </w:rPr>
              <w:t xml:space="preserve">四川省大数据中心</w:t>
            </w:r>
          </w:p>
        </w:tc>
        <w:tc>
          <w:tcPr/>
          <w:p>
            <w:pPr>
              <w:pStyle w:val="Compact"/>
              <w:jc w:val="left"/>
            </w:pPr>
            <w:r>
              <w:rPr>
                <w:rFonts w:hint="eastAsia"/>
              </w:rPr>
              <w:t xml:space="preserve">专业化平台</w:t>
            </w:r>
          </w:p>
        </w:tc>
        <w:tc>
          <w:tcPr/>
          <w:p>
            <w:pPr>
              <w:pStyle w:val="Compact"/>
              <w:jc w:val="center"/>
            </w:pPr>
            <w:r>
              <w:t xml:space="preserve">2,100</w:t>
            </w:r>
          </w:p>
        </w:tc>
      </w:tr>
      <w:tr>
        <w:tc>
          <w:tcPr/>
          <w:p>
            <w:pPr>
              <w:pStyle w:val="Compact"/>
              <w:jc w:val="center"/>
            </w:pPr>
            <w:r>
              <w:t xml:space="preserve">6</w:t>
            </w:r>
          </w:p>
        </w:tc>
        <w:tc>
          <w:tcPr/>
          <w:p>
            <w:pPr>
              <w:pStyle w:val="Compact"/>
              <w:jc w:val="left"/>
            </w:pPr>
            <w:r>
              <w:rPr>
                <w:rFonts w:hint="eastAsia"/>
              </w:rPr>
              <w:t xml:space="preserve">北京</w:t>
            </w:r>
          </w:p>
        </w:tc>
        <w:tc>
          <w:tcPr/>
          <w:p>
            <w:pPr>
              <w:pStyle w:val="Compact"/>
              <w:jc w:val="left"/>
            </w:pPr>
            <w:r>
              <w:rPr>
                <w:rFonts w:hint="eastAsia"/>
              </w:rPr>
              <w:t xml:space="preserve">北京市政务数据资源网</w:t>
            </w:r>
          </w:p>
        </w:tc>
        <w:tc>
          <w:tcPr/>
          <w:p>
            <w:pPr>
              <w:pStyle w:val="Compact"/>
              <w:jc w:val="center"/>
            </w:pPr>
            <w:r>
              <w:t xml:space="preserve">2018.09</w:t>
            </w:r>
          </w:p>
        </w:tc>
        <w:tc>
          <w:tcPr/>
          <w:p>
            <w:pPr>
              <w:pStyle w:val="Compact"/>
              <w:jc w:val="left"/>
            </w:pPr>
            <w:r>
              <w:rPr>
                <w:rFonts w:hint="eastAsia"/>
              </w:rPr>
              <w:t xml:space="preserve">北京市经济和信息化局</w:t>
            </w:r>
          </w:p>
        </w:tc>
        <w:tc>
          <w:tcPr/>
          <w:p>
            <w:pPr>
              <w:pStyle w:val="Compact"/>
              <w:jc w:val="left"/>
            </w:pPr>
            <w:r>
              <w:rPr>
                <w:rFonts w:hint="eastAsia"/>
              </w:rPr>
              <w:t xml:space="preserve">综合性平台</w:t>
            </w:r>
          </w:p>
        </w:tc>
        <w:tc>
          <w:tcPr/>
          <w:p>
            <w:pPr>
              <w:pStyle w:val="Compact"/>
              <w:jc w:val="center"/>
            </w:pPr>
            <w:r>
              <w:t xml:space="preserve">1,870</w:t>
            </w:r>
          </w:p>
        </w:tc>
      </w:tr>
      <w:tr>
        <w:tc>
          <w:tcPr/>
          <w:p>
            <w:pPr>
              <w:pStyle w:val="Compact"/>
              <w:jc w:val="center"/>
            </w:pPr>
            <w:r>
              <w:t xml:space="preserve">7</w:t>
            </w:r>
          </w:p>
        </w:tc>
        <w:tc>
          <w:tcPr/>
          <w:p>
            <w:pPr>
              <w:pStyle w:val="Compact"/>
              <w:jc w:val="left"/>
            </w:pPr>
            <w:r>
              <w:rPr>
                <w:rFonts w:hint="eastAsia"/>
              </w:rPr>
              <w:t xml:space="preserve">上海</w:t>
            </w:r>
          </w:p>
        </w:tc>
        <w:tc>
          <w:tcPr/>
          <w:p>
            <w:pPr>
              <w:pStyle w:val="Compact"/>
              <w:jc w:val="left"/>
            </w:pPr>
            <w:r>
              <w:rPr>
                <w:rFonts w:hint="eastAsia"/>
              </w:rPr>
              <w:t xml:space="preserve">上海市公共数据开放平台</w:t>
            </w:r>
          </w:p>
        </w:tc>
        <w:tc>
          <w:tcPr/>
          <w:p>
            <w:pPr>
              <w:pStyle w:val="Compact"/>
              <w:jc w:val="center"/>
            </w:pPr>
            <w:r>
              <w:t xml:space="preserve">2018.12</w:t>
            </w:r>
          </w:p>
        </w:tc>
        <w:tc>
          <w:tcPr/>
          <w:p>
            <w:pPr>
              <w:pStyle w:val="Compact"/>
              <w:jc w:val="left"/>
            </w:pPr>
            <w:r>
              <w:rPr>
                <w:rFonts w:hint="eastAsia"/>
              </w:rPr>
              <w:t xml:space="preserve">上海市大数据中心</w:t>
            </w:r>
          </w:p>
        </w:tc>
        <w:tc>
          <w:tcPr/>
          <w:p>
            <w:pPr>
              <w:pStyle w:val="Compact"/>
              <w:jc w:val="left"/>
            </w:pPr>
            <w:r>
              <w:rPr>
                <w:rFonts w:hint="eastAsia"/>
              </w:rPr>
              <w:t xml:space="preserve">综合性平台</w:t>
            </w:r>
          </w:p>
        </w:tc>
        <w:tc>
          <w:tcPr/>
          <w:p>
            <w:pPr>
              <w:pStyle w:val="Compact"/>
              <w:jc w:val="center"/>
            </w:pPr>
            <w:r>
              <w:t xml:space="preserve">1,530</w:t>
            </w:r>
          </w:p>
        </w:tc>
      </w:tr>
      <w:tr>
        <w:tc>
          <w:tcPr/>
          <w:p>
            <w:pPr>
              <w:pStyle w:val="Compact"/>
              <w:jc w:val="center"/>
            </w:pPr>
            <w:r>
              <w:t xml:space="preserve">8</w:t>
            </w:r>
          </w:p>
        </w:tc>
        <w:tc>
          <w:tcPr/>
          <w:p>
            <w:pPr>
              <w:pStyle w:val="Compact"/>
              <w:jc w:val="left"/>
            </w:pPr>
            <w:r>
              <w:rPr>
                <w:rFonts w:hint="eastAsia"/>
              </w:rPr>
              <w:t xml:space="preserve">福建</w:t>
            </w:r>
          </w:p>
        </w:tc>
        <w:tc>
          <w:tcPr/>
          <w:p>
            <w:pPr>
              <w:pStyle w:val="Compact"/>
              <w:jc w:val="left"/>
            </w:pPr>
            <w:r>
              <w:rPr>
                <w:rFonts w:hint="eastAsia"/>
              </w:rPr>
              <w:t xml:space="preserve">福建公共信息资源统一开放平台</w:t>
            </w:r>
          </w:p>
        </w:tc>
        <w:tc>
          <w:tcPr/>
          <w:p>
            <w:pPr>
              <w:pStyle w:val="Compact"/>
              <w:jc w:val="center"/>
            </w:pPr>
            <w:r>
              <w:t xml:space="preserve">2019.03</w:t>
            </w:r>
          </w:p>
        </w:tc>
        <w:tc>
          <w:tcPr/>
          <w:p>
            <w:pPr>
              <w:pStyle w:val="Compact"/>
              <w:jc w:val="left"/>
            </w:pPr>
            <w:r>
              <w:rPr>
                <w:rFonts w:hint="eastAsia"/>
              </w:rPr>
              <w:t xml:space="preserve">福建省数字福建建设领导小组办公室</w:t>
            </w:r>
          </w:p>
        </w:tc>
        <w:tc>
          <w:tcPr/>
          <w:p>
            <w:pPr>
              <w:pStyle w:val="Compact"/>
              <w:jc w:val="left"/>
            </w:pPr>
            <w:r>
              <w:rPr>
                <w:rFonts w:hint="eastAsia"/>
              </w:rPr>
              <w:t xml:space="preserve">专业化平台</w:t>
            </w:r>
          </w:p>
        </w:tc>
        <w:tc>
          <w:tcPr/>
          <w:p>
            <w:pPr>
              <w:pStyle w:val="Compact"/>
              <w:jc w:val="center"/>
            </w:pPr>
            <w:r>
              <w:t xml:space="preserve">1,260</w:t>
            </w:r>
          </w:p>
        </w:tc>
      </w:tr>
      <w:tr>
        <w:tc>
          <w:tcPr/>
          <w:p>
            <w:pPr>
              <w:pStyle w:val="Compact"/>
              <w:jc w:val="center"/>
            </w:pPr>
            <w:r>
              <w:t xml:space="preserve">9</w:t>
            </w:r>
          </w:p>
        </w:tc>
        <w:tc>
          <w:tcPr/>
          <w:p>
            <w:pPr>
              <w:pStyle w:val="Compact"/>
              <w:jc w:val="left"/>
            </w:pPr>
            <w:r>
              <w:rPr>
                <w:rFonts w:hint="eastAsia"/>
              </w:rPr>
              <w:t xml:space="preserve">河南</w:t>
            </w:r>
          </w:p>
        </w:tc>
        <w:tc>
          <w:tcPr/>
          <w:p>
            <w:pPr>
              <w:pStyle w:val="Compact"/>
              <w:jc w:val="left"/>
            </w:pPr>
            <w:r>
              <w:rPr>
                <w:rFonts w:hint="eastAsia"/>
              </w:rPr>
              <w:t xml:space="preserve">河南公共数据开放平台</w:t>
            </w:r>
          </w:p>
        </w:tc>
        <w:tc>
          <w:tcPr/>
          <w:p>
            <w:pPr>
              <w:pStyle w:val="Compact"/>
              <w:jc w:val="center"/>
            </w:pPr>
            <w:r>
              <w:t xml:space="preserve">2020.06</w:t>
            </w:r>
          </w:p>
        </w:tc>
        <w:tc>
          <w:tcPr/>
          <w:p>
            <w:pPr>
              <w:pStyle w:val="Compact"/>
              <w:jc w:val="left"/>
            </w:pPr>
            <w:r>
              <w:rPr>
                <w:rFonts w:hint="eastAsia"/>
              </w:rPr>
              <w:t xml:space="preserve">河南省大数据管理局</w:t>
            </w:r>
          </w:p>
        </w:tc>
        <w:tc>
          <w:tcPr/>
          <w:p>
            <w:pPr>
              <w:pStyle w:val="Compact"/>
              <w:jc w:val="left"/>
            </w:pPr>
            <w:r>
              <w:rPr>
                <w:rFonts w:hint="eastAsia"/>
              </w:rPr>
              <w:t xml:space="preserve">专业化平台</w:t>
            </w:r>
          </w:p>
        </w:tc>
        <w:tc>
          <w:tcPr/>
          <w:p>
            <w:pPr>
              <w:pStyle w:val="Compact"/>
              <w:jc w:val="center"/>
            </w:pPr>
            <w:r>
              <w:t xml:space="preserve">560</w:t>
            </w:r>
          </w:p>
        </w:tc>
      </w:tr>
      <w:tr>
        <w:tc>
          <w:tcPr/>
          <w:p>
            <w:pPr>
              <w:pStyle w:val="Compact"/>
              <w:jc w:val="center"/>
            </w:pPr>
            <w:r>
              <w:t xml:space="preserve">10</w:t>
            </w:r>
          </w:p>
        </w:tc>
        <w:tc>
          <w:tcPr/>
          <w:p>
            <w:pPr>
              <w:pStyle w:val="Compact"/>
              <w:jc w:val="left"/>
            </w:pPr>
            <w:r>
              <w:rPr>
                <w:rFonts w:hint="eastAsia"/>
              </w:rPr>
              <w:t xml:space="preserve">江苏</w:t>
            </w:r>
          </w:p>
        </w:tc>
        <w:tc>
          <w:tcPr/>
          <w:p>
            <w:pPr>
              <w:pStyle w:val="Compact"/>
              <w:jc w:val="left"/>
            </w:pPr>
            <w:r>
              <w:rPr>
                <w:rFonts w:hint="eastAsia"/>
              </w:rPr>
              <w:t xml:space="preserve">江苏政务服务网数据开放平台</w:t>
            </w:r>
          </w:p>
        </w:tc>
        <w:tc>
          <w:tcPr/>
          <w:p>
            <w:pPr>
              <w:pStyle w:val="Compact"/>
              <w:jc w:val="center"/>
            </w:pPr>
            <w:r>
              <w:t xml:space="preserve">2021.01</w:t>
            </w:r>
          </w:p>
        </w:tc>
        <w:tc>
          <w:tcPr/>
          <w:p>
            <w:pPr>
              <w:pStyle w:val="Compact"/>
              <w:jc w:val="left"/>
            </w:pPr>
            <w:r>
              <w:rPr>
                <w:rFonts w:hint="eastAsia"/>
              </w:rPr>
              <w:t xml:space="preserve">江苏省大数据管理中心</w:t>
            </w:r>
          </w:p>
        </w:tc>
        <w:tc>
          <w:tcPr/>
          <w:p>
            <w:pPr>
              <w:pStyle w:val="Compact"/>
              <w:jc w:val="left"/>
            </w:pPr>
            <w:r>
              <w:rPr>
                <w:rFonts w:hint="eastAsia"/>
              </w:rPr>
              <w:t xml:space="preserve">综合性平台</w:t>
            </w:r>
          </w:p>
        </w:tc>
        <w:tc>
          <w:tcPr/>
          <w:p>
            <w:pPr>
              <w:pStyle w:val="Compact"/>
              <w:jc w:val="center"/>
            </w:pPr>
            <w:r>
              <w:t xml:space="preserve">2,930</w:t>
            </w:r>
          </w:p>
        </w:tc>
      </w:tr>
      <w:tr>
        <w:tc>
          <w:tcPr/>
          <w:p>
            <w:pPr>
              <w:pStyle w:val="Compact"/>
              <w:jc w:val="center"/>
            </w:pPr>
            <w:r>
              <w:t xml:space="preserve">11</w:t>
            </w:r>
          </w:p>
        </w:tc>
        <w:tc>
          <w:tcPr/>
          <w:p>
            <w:pPr>
              <w:pStyle w:val="Compact"/>
              <w:jc w:val="left"/>
            </w:pPr>
            <w:r>
              <w:rPr>
                <w:rFonts w:hint="eastAsia"/>
              </w:rPr>
              <w:t xml:space="preserve">江西</w:t>
            </w:r>
          </w:p>
        </w:tc>
        <w:tc>
          <w:tcPr/>
          <w:p>
            <w:pPr>
              <w:pStyle w:val="Compact"/>
              <w:jc w:val="left"/>
            </w:pPr>
            <w:r>
              <w:rPr>
                <w:rFonts w:hint="eastAsia"/>
              </w:rPr>
              <w:t xml:space="preserve">江西省政府数据开放平台</w:t>
            </w:r>
          </w:p>
        </w:tc>
        <w:tc>
          <w:tcPr/>
          <w:p>
            <w:pPr>
              <w:pStyle w:val="Compact"/>
              <w:jc w:val="center"/>
            </w:pPr>
            <w:r>
              <w:t xml:space="preserve">2020.03</w:t>
            </w:r>
          </w:p>
        </w:tc>
        <w:tc>
          <w:tcPr/>
          <w:p>
            <w:pPr>
              <w:pStyle w:val="Compact"/>
              <w:jc w:val="left"/>
            </w:pPr>
            <w:r>
              <w:rPr>
                <w:rFonts w:hint="eastAsia"/>
              </w:rPr>
              <w:t xml:space="preserve">江西省信息中心</w:t>
            </w:r>
          </w:p>
        </w:tc>
        <w:tc>
          <w:tcPr/>
          <w:p>
            <w:pPr>
              <w:pStyle w:val="Compact"/>
              <w:jc w:val="left"/>
            </w:pPr>
            <w:r>
              <w:rPr>
                <w:rFonts w:hint="eastAsia"/>
              </w:rPr>
              <w:t xml:space="preserve">专业化平台</w:t>
            </w:r>
          </w:p>
        </w:tc>
        <w:tc>
          <w:tcPr/>
          <w:p>
            <w:pPr>
              <w:pStyle w:val="Compact"/>
              <w:jc w:val="center"/>
            </w:pPr>
            <w:r>
              <w:t xml:space="preserve">250</w:t>
            </w:r>
          </w:p>
        </w:tc>
      </w:tr>
      <w:tr>
        <w:tc>
          <w:tcPr/>
          <w:p>
            <w:pPr>
              <w:pStyle w:val="Compact"/>
              <w:jc w:val="center"/>
            </w:pPr>
            <w:r>
              <w:t xml:space="preserve">12</w:t>
            </w:r>
          </w:p>
        </w:tc>
        <w:tc>
          <w:tcPr/>
          <w:p>
            <w:pPr>
              <w:pStyle w:val="Compact"/>
              <w:jc w:val="left"/>
            </w:pPr>
            <w:r>
              <w:rPr>
                <w:rFonts w:hint="eastAsia"/>
              </w:rPr>
              <w:t xml:space="preserve">湖北</w:t>
            </w:r>
          </w:p>
        </w:tc>
        <w:tc>
          <w:tcPr/>
          <w:p>
            <w:pPr>
              <w:pStyle w:val="Compact"/>
              <w:jc w:val="left"/>
            </w:pPr>
            <w:r>
              <w:rPr>
                <w:rFonts w:hint="eastAsia"/>
              </w:rPr>
              <w:t xml:space="preserve">湖北政务服务网数据开放板块</w:t>
            </w:r>
          </w:p>
        </w:tc>
        <w:tc>
          <w:tcPr/>
          <w:p>
            <w:pPr>
              <w:pStyle w:val="Compact"/>
              <w:jc w:val="center"/>
            </w:pPr>
            <w:r>
              <w:t xml:space="preserve">2019.09</w:t>
            </w:r>
          </w:p>
        </w:tc>
        <w:tc>
          <w:tcPr/>
          <w:p>
            <w:pPr>
              <w:pStyle w:val="Compact"/>
              <w:jc w:val="left"/>
            </w:pPr>
            <w:r>
              <w:rPr>
                <w:rFonts w:hint="eastAsia"/>
              </w:rPr>
              <w:t xml:space="preserve">湖北省政务管理办公室</w:t>
            </w:r>
          </w:p>
        </w:tc>
        <w:tc>
          <w:tcPr/>
          <w:p>
            <w:pPr>
              <w:pStyle w:val="Compact"/>
              <w:jc w:val="left"/>
            </w:pPr>
            <w:r>
              <w:rPr>
                <w:rFonts w:hint="eastAsia"/>
              </w:rPr>
              <w:t xml:space="preserve">政务平台内设</w:t>
            </w:r>
          </w:p>
        </w:tc>
        <w:tc>
          <w:tcPr/>
          <w:p>
            <w:pPr>
              <w:pStyle w:val="Compact"/>
              <w:jc w:val="center"/>
            </w:pPr>
            <w:r>
              <w:t xml:space="preserve">380</w:t>
            </w:r>
          </w:p>
        </w:tc>
      </w:tr>
      <w:tr>
        <w:tc>
          <w:tcPr/>
          <w:p>
            <w:pPr>
              <w:pStyle w:val="Compact"/>
              <w:jc w:val="center"/>
            </w:pPr>
            <w:r>
              <w:t xml:space="preserve">13</w:t>
            </w:r>
          </w:p>
        </w:tc>
        <w:tc>
          <w:tcPr/>
          <w:p>
            <w:pPr>
              <w:pStyle w:val="Compact"/>
              <w:jc w:val="left"/>
            </w:pPr>
            <w:r>
              <w:rPr>
                <w:rFonts w:hint="eastAsia"/>
              </w:rPr>
              <w:t xml:space="preserve">广西</w:t>
            </w:r>
          </w:p>
        </w:tc>
        <w:tc>
          <w:tcPr/>
          <w:p>
            <w:pPr>
              <w:pStyle w:val="Compact"/>
              <w:jc w:val="left"/>
            </w:pPr>
            <w:r>
              <w:rPr>
                <w:rFonts w:hint="eastAsia"/>
              </w:rPr>
              <w:t xml:space="preserve">广西公共数据开放平台</w:t>
            </w:r>
          </w:p>
        </w:tc>
        <w:tc>
          <w:tcPr/>
          <w:p>
            <w:pPr>
              <w:pStyle w:val="Compact"/>
              <w:jc w:val="center"/>
            </w:pPr>
            <w:r>
              <w:t xml:space="preserve">2020.09</w:t>
            </w:r>
          </w:p>
        </w:tc>
        <w:tc>
          <w:tcPr/>
          <w:p>
            <w:pPr>
              <w:pStyle w:val="Compact"/>
              <w:jc w:val="left"/>
            </w:pPr>
            <w:r>
              <w:rPr>
                <w:rFonts w:hint="eastAsia"/>
              </w:rPr>
              <w:t xml:space="preserve">广西壮族自治区大数据发展局</w:t>
            </w:r>
          </w:p>
        </w:tc>
        <w:tc>
          <w:tcPr/>
          <w:p>
            <w:pPr>
              <w:pStyle w:val="Compact"/>
              <w:jc w:val="left"/>
            </w:pPr>
            <w:r>
              <w:rPr>
                <w:rFonts w:hint="eastAsia"/>
              </w:rPr>
              <w:t xml:space="preserve">专业化平台</w:t>
            </w:r>
          </w:p>
        </w:tc>
        <w:tc>
          <w:tcPr/>
          <w:p>
            <w:pPr>
              <w:pStyle w:val="Compact"/>
              <w:jc w:val="center"/>
            </w:pPr>
            <w:r>
              <w:t xml:space="preserve">220</w:t>
            </w:r>
          </w:p>
        </w:tc>
      </w:tr>
      <w:tr>
        <w:tc>
          <w:tcPr/>
          <w:p>
            <w:pPr>
              <w:pStyle w:val="Compact"/>
              <w:jc w:val="center"/>
            </w:pPr>
            <w:r>
              <w:t xml:space="preserve">14</w:t>
            </w:r>
          </w:p>
        </w:tc>
        <w:tc>
          <w:tcPr/>
          <w:p>
            <w:pPr>
              <w:pStyle w:val="Compact"/>
              <w:jc w:val="left"/>
            </w:pPr>
            <w:r>
              <w:rPr>
                <w:rFonts w:hint="eastAsia"/>
              </w:rPr>
              <w:t xml:space="preserve">湖南</w:t>
            </w:r>
          </w:p>
        </w:tc>
        <w:tc>
          <w:tcPr/>
          <w:p>
            <w:pPr>
              <w:pStyle w:val="Compact"/>
              <w:jc w:val="left"/>
            </w:pPr>
            <w:r>
              <w:rPr>
                <w:rFonts w:hint="eastAsia"/>
              </w:rPr>
              <w:t xml:space="preserve">湖南政务数据开放平台</w:t>
            </w:r>
          </w:p>
        </w:tc>
        <w:tc>
          <w:tcPr/>
          <w:p>
            <w:pPr>
              <w:pStyle w:val="Compact"/>
              <w:jc w:val="center"/>
            </w:pPr>
            <w:r>
              <w:t xml:space="preserve">2020.12</w:t>
            </w:r>
          </w:p>
        </w:tc>
        <w:tc>
          <w:tcPr/>
          <w:p>
            <w:pPr>
              <w:pStyle w:val="Compact"/>
              <w:jc w:val="left"/>
            </w:pPr>
            <w:r>
              <w:rPr>
                <w:rFonts w:hint="eastAsia"/>
              </w:rPr>
              <w:t xml:space="preserve">湖南省政务管理服务局</w:t>
            </w:r>
          </w:p>
        </w:tc>
        <w:tc>
          <w:tcPr/>
          <w:p>
            <w:pPr>
              <w:pStyle w:val="Compact"/>
              <w:jc w:val="left"/>
            </w:pPr>
            <w:r>
              <w:rPr>
                <w:rFonts w:hint="eastAsia"/>
              </w:rPr>
              <w:t xml:space="preserve">专业化平台</w:t>
            </w:r>
          </w:p>
        </w:tc>
        <w:tc>
          <w:tcPr/>
          <w:p>
            <w:pPr>
              <w:pStyle w:val="Compact"/>
              <w:jc w:val="center"/>
            </w:pPr>
            <w:r>
              <w:t xml:space="preserve">410</w:t>
            </w:r>
          </w:p>
        </w:tc>
      </w:tr>
      <w:tr>
        <w:tc>
          <w:tcPr/>
          <w:p>
            <w:pPr>
              <w:pStyle w:val="Compact"/>
              <w:jc w:val="center"/>
            </w:pPr>
            <w:r>
              <w:t xml:space="preserve">15</w:t>
            </w:r>
          </w:p>
        </w:tc>
        <w:tc>
          <w:tcPr/>
          <w:p>
            <w:pPr>
              <w:pStyle w:val="Compact"/>
              <w:jc w:val="left"/>
            </w:pPr>
            <w:r>
              <w:rPr>
                <w:rFonts w:hint="eastAsia"/>
              </w:rPr>
              <w:t xml:space="preserve">安徽</w:t>
            </w:r>
          </w:p>
        </w:tc>
        <w:tc>
          <w:tcPr/>
          <w:p>
            <w:pPr>
              <w:pStyle w:val="Compact"/>
              <w:jc w:val="left"/>
            </w:pPr>
            <w:r>
              <w:rPr>
                <w:rFonts w:hint="eastAsia"/>
              </w:rPr>
              <w:t xml:space="preserve">安徽政务服务网数据开放平台</w:t>
            </w:r>
          </w:p>
        </w:tc>
        <w:tc>
          <w:tcPr/>
          <w:p>
            <w:pPr>
              <w:pStyle w:val="Compact"/>
              <w:jc w:val="center"/>
            </w:pPr>
            <w:r>
              <w:t xml:space="preserve">2021.03</w:t>
            </w:r>
          </w:p>
        </w:tc>
        <w:tc>
          <w:tcPr/>
          <w:p>
            <w:pPr>
              <w:pStyle w:val="Compact"/>
              <w:jc w:val="left"/>
            </w:pPr>
            <w:r>
              <w:rPr>
                <w:rFonts w:hint="eastAsia"/>
              </w:rPr>
              <w:t xml:space="preserve">安徽省数据资源管理局</w:t>
            </w:r>
          </w:p>
        </w:tc>
        <w:tc>
          <w:tcPr/>
          <w:p>
            <w:pPr>
              <w:pStyle w:val="Compact"/>
              <w:jc w:val="left"/>
            </w:pPr>
            <w:r>
              <w:rPr>
                <w:rFonts w:hint="eastAsia"/>
              </w:rPr>
              <w:t xml:space="preserve">综合性平台</w:t>
            </w:r>
          </w:p>
        </w:tc>
        <w:tc>
          <w:tcPr/>
          <w:p>
            <w:pPr>
              <w:pStyle w:val="Compact"/>
              <w:jc w:val="center"/>
            </w:pPr>
            <w:r>
              <w:t xml:space="preserve">360</w:t>
            </w:r>
          </w:p>
        </w:tc>
      </w:tr>
      <w:tr>
        <w:tc>
          <w:tcPr/>
          <w:p>
            <w:pPr>
              <w:pStyle w:val="Compact"/>
              <w:jc w:val="center"/>
            </w:pPr>
            <w:r>
              <w:t xml:space="preserve">16</w:t>
            </w:r>
          </w:p>
        </w:tc>
        <w:tc>
          <w:tcPr/>
          <w:p>
            <w:pPr>
              <w:pStyle w:val="Compact"/>
              <w:jc w:val="left"/>
            </w:pPr>
            <w:r>
              <w:rPr>
                <w:rFonts w:hint="eastAsia"/>
              </w:rPr>
              <w:t xml:space="preserve">海南</w:t>
            </w:r>
          </w:p>
        </w:tc>
        <w:tc>
          <w:tcPr/>
          <w:p>
            <w:pPr>
              <w:pStyle w:val="Compact"/>
              <w:jc w:val="left"/>
            </w:pPr>
            <w:r>
              <w:rPr>
                <w:rFonts w:hint="eastAsia"/>
              </w:rPr>
              <w:t xml:space="preserve">海南省政府数据开放平台</w:t>
            </w:r>
          </w:p>
        </w:tc>
        <w:tc>
          <w:tcPr/>
          <w:p>
            <w:pPr>
              <w:pStyle w:val="Compact"/>
              <w:jc w:val="center"/>
            </w:pPr>
            <w:r>
              <w:t xml:space="preserve">2021.06</w:t>
            </w:r>
          </w:p>
        </w:tc>
        <w:tc>
          <w:tcPr/>
          <w:p>
            <w:pPr>
              <w:pStyle w:val="Compact"/>
              <w:jc w:val="left"/>
            </w:pPr>
            <w:r>
              <w:rPr>
                <w:rFonts w:hint="eastAsia"/>
              </w:rPr>
              <w:t xml:space="preserve">海南省大数据管理局</w:t>
            </w:r>
          </w:p>
        </w:tc>
        <w:tc>
          <w:tcPr/>
          <w:p>
            <w:pPr>
              <w:pStyle w:val="Compact"/>
              <w:jc w:val="left"/>
            </w:pPr>
            <w:r>
              <w:rPr>
                <w:rFonts w:hint="eastAsia"/>
              </w:rPr>
              <w:t xml:space="preserve">专业化平台</w:t>
            </w:r>
          </w:p>
        </w:tc>
        <w:tc>
          <w:tcPr/>
          <w:p>
            <w:pPr>
              <w:pStyle w:val="Compact"/>
              <w:jc w:val="center"/>
            </w:pPr>
            <w:r>
              <w:t xml:space="preserve">180</w:t>
            </w:r>
          </w:p>
        </w:tc>
      </w:tr>
      <w:tr>
        <w:tc>
          <w:tcPr/>
          <w:p>
            <w:pPr>
              <w:pStyle w:val="Compact"/>
              <w:jc w:val="center"/>
            </w:pPr>
            <w:r>
              <w:t xml:space="preserve">17</w:t>
            </w:r>
          </w:p>
        </w:tc>
        <w:tc>
          <w:tcPr/>
          <w:p>
            <w:pPr>
              <w:pStyle w:val="Compact"/>
              <w:jc w:val="left"/>
            </w:pPr>
            <w:r>
              <w:rPr>
                <w:rFonts w:hint="eastAsia"/>
              </w:rPr>
              <w:t xml:space="preserve">辽宁</w:t>
            </w:r>
          </w:p>
        </w:tc>
        <w:tc>
          <w:tcPr/>
          <w:p>
            <w:pPr>
              <w:pStyle w:val="Compact"/>
              <w:jc w:val="left"/>
            </w:pPr>
            <w:r>
              <w:rPr>
                <w:rFonts w:hint="eastAsia"/>
              </w:rPr>
              <w:t xml:space="preserve">辽宁省政务数据资源共享平台</w:t>
            </w:r>
          </w:p>
        </w:tc>
        <w:tc>
          <w:tcPr/>
          <w:p>
            <w:pPr>
              <w:pStyle w:val="Compact"/>
              <w:jc w:val="center"/>
            </w:pPr>
            <w:r>
              <w:t xml:space="preserve">2022.01</w:t>
            </w:r>
          </w:p>
        </w:tc>
        <w:tc>
          <w:tcPr/>
          <w:p>
            <w:pPr>
              <w:pStyle w:val="Compact"/>
              <w:jc w:val="left"/>
            </w:pPr>
            <w:r>
              <w:rPr>
                <w:rFonts w:hint="eastAsia"/>
              </w:rPr>
              <w:t xml:space="preserve">辽宁省营商环境建设局</w:t>
            </w:r>
          </w:p>
        </w:tc>
        <w:tc>
          <w:tcPr/>
          <w:p>
            <w:pPr>
              <w:pStyle w:val="Compact"/>
              <w:jc w:val="left"/>
            </w:pPr>
            <w:r>
              <w:rPr>
                <w:rFonts w:hint="eastAsia"/>
              </w:rPr>
              <w:t xml:space="preserve">政务平台内设</w:t>
            </w:r>
          </w:p>
        </w:tc>
        <w:tc>
          <w:tcPr/>
          <w:p>
            <w:pPr>
              <w:pStyle w:val="Compact"/>
              <w:jc w:val="center"/>
            </w:pPr>
            <w:r>
              <w:t xml:space="preserve">160</w:t>
            </w:r>
          </w:p>
        </w:tc>
      </w:tr>
      <w:tr>
        <w:tc>
          <w:tcPr/>
          <w:p>
            <w:pPr>
              <w:pStyle w:val="Compact"/>
              <w:jc w:val="center"/>
            </w:pPr>
            <w:r>
              <w:t xml:space="preserve">18</w:t>
            </w:r>
          </w:p>
        </w:tc>
        <w:tc>
          <w:tcPr/>
          <w:p>
            <w:pPr>
              <w:pStyle w:val="Compact"/>
              <w:jc w:val="left"/>
            </w:pPr>
            <w:r>
              <w:rPr>
                <w:rFonts w:hint="eastAsia"/>
              </w:rPr>
              <w:t xml:space="preserve">河北</w:t>
            </w:r>
          </w:p>
        </w:tc>
        <w:tc>
          <w:tcPr/>
          <w:p>
            <w:pPr>
              <w:pStyle w:val="Compact"/>
              <w:jc w:val="left"/>
            </w:pPr>
            <w:r>
              <w:rPr>
                <w:rFonts w:hint="eastAsia"/>
              </w:rPr>
              <w:t xml:space="preserve">河北省政务数据资源开放平台</w:t>
            </w:r>
          </w:p>
        </w:tc>
        <w:tc>
          <w:tcPr/>
          <w:p>
            <w:pPr>
              <w:pStyle w:val="Compact"/>
              <w:jc w:val="center"/>
            </w:pPr>
            <w:r>
              <w:t xml:space="preserve">2022.03</w:t>
            </w:r>
          </w:p>
        </w:tc>
        <w:tc>
          <w:tcPr/>
          <w:p>
            <w:pPr>
              <w:pStyle w:val="Compact"/>
              <w:jc w:val="left"/>
            </w:pPr>
            <w:r>
              <w:rPr>
                <w:rFonts w:hint="eastAsia"/>
              </w:rPr>
              <w:t xml:space="preserve">河北省政务服务管理办公室</w:t>
            </w:r>
          </w:p>
        </w:tc>
        <w:tc>
          <w:tcPr/>
          <w:p>
            <w:pPr>
              <w:pStyle w:val="Compact"/>
              <w:jc w:val="left"/>
            </w:pPr>
            <w:r>
              <w:rPr>
                <w:rFonts w:hint="eastAsia"/>
              </w:rPr>
              <w:t xml:space="preserve">专业化平台</w:t>
            </w:r>
          </w:p>
        </w:tc>
        <w:tc>
          <w:tcPr/>
          <w:p>
            <w:pPr>
              <w:pStyle w:val="Compact"/>
              <w:jc w:val="center"/>
            </w:pPr>
            <w:r>
              <w:t xml:space="preserve">130</w:t>
            </w:r>
          </w:p>
        </w:tc>
      </w:tr>
      <w:tr>
        <w:tc>
          <w:tcPr/>
          <w:p>
            <w:pPr>
              <w:pStyle w:val="Compact"/>
              <w:jc w:val="center"/>
            </w:pPr>
            <w:r>
              <w:t xml:space="preserve">19</w:t>
            </w:r>
          </w:p>
        </w:tc>
        <w:tc>
          <w:tcPr/>
          <w:p>
            <w:pPr>
              <w:pStyle w:val="Compact"/>
              <w:jc w:val="left"/>
            </w:pPr>
            <w:r>
              <w:rPr>
                <w:rFonts w:hint="eastAsia"/>
              </w:rPr>
              <w:t xml:space="preserve">云南</w:t>
            </w:r>
          </w:p>
        </w:tc>
        <w:tc>
          <w:tcPr/>
          <w:p>
            <w:pPr>
              <w:pStyle w:val="Compact"/>
              <w:jc w:val="left"/>
            </w:pPr>
            <w:r>
              <w:rPr>
                <w:rFonts w:hint="eastAsia"/>
              </w:rPr>
              <w:t xml:space="preserve">云南公共数据开放平台</w:t>
            </w:r>
          </w:p>
        </w:tc>
        <w:tc>
          <w:tcPr/>
          <w:p>
            <w:pPr>
              <w:pStyle w:val="Compact"/>
              <w:jc w:val="center"/>
            </w:pPr>
            <w:r>
              <w:t xml:space="preserve">2022.06</w:t>
            </w:r>
          </w:p>
        </w:tc>
        <w:tc>
          <w:tcPr/>
          <w:p>
            <w:pPr>
              <w:pStyle w:val="Compact"/>
              <w:jc w:val="left"/>
            </w:pPr>
            <w:r>
              <w:rPr>
                <w:rFonts w:hint="eastAsia"/>
              </w:rPr>
              <w:t xml:space="preserve">云南省大数据中心</w:t>
            </w:r>
          </w:p>
        </w:tc>
        <w:tc>
          <w:tcPr/>
          <w:p>
            <w:pPr>
              <w:pStyle w:val="Compact"/>
              <w:jc w:val="left"/>
            </w:pPr>
            <w:r>
              <w:rPr>
                <w:rFonts w:hint="eastAsia"/>
              </w:rPr>
              <w:t xml:space="preserve">专业化平台</w:t>
            </w:r>
          </w:p>
        </w:tc>
        <w:tc>
          <w:tcPr/>
          <w:p>
            <w:pPr>
              <w:pStyle w:val="Compact"/>
              <w:jc w:val="center"/>
            </w:pPr>
            <w:r>
              <w:t xml:space="preserve">90</w:t>
            </w:r>
          </w:p>
        </w:tc>
      </w:tr>
      <w:tr>
        <w:tc>
          <w:tcPr/>
          <w:p>
            <w:pPr>
              <w:pStyle w:val="Compact"/>
              <w:jc w:val="center"/>
            </w:pPr>
            <w:r>
              <w:t xml:space="preserve">20</w:t>
            </w:r>
          </w:p>
        </w:tc>
        <w:tc>
          <w:tcPr/>
          <w:p>
            <w:pPr>
              <w:pStyle w:val="Compact"/>
              <w:jc w:val="left"/>
            </w:pPr>
            <w:r>
              <w:rPr>
                <w:rFonts w:hint="eastAsia"/>
              </w:rPr>
              <w:t xml:space="preserve">黑龙江</w:t>
            </w:r>
          </w:p>
        </w:tc>
        <w:tc>
          <w:tcPr/>
          <w:p>
            <w:pPr>
              <w:pStyle w:val="Compact"/>
              <w:jc w:val="left"/>
            </w:pPr>
            <w:r>
              <w:rPr>
                <w:rFonts w:hint="eastAsia"/>
              </w:rPr>
              <w:t xml:space="preserve">黑龙江省政府数据开放平台</w:t>
            </w:r>
          </w:p>
        </w:tc>
        <w:tc>
          <w:tcPr/>
          <w:p>
            <w:pPr>
              <w:pStyle w:val="Compact"/>
              <w:jc w:val="center"/>
            </w:pPr>
            <w:r>
              <w:t xml:space="preserve">2022.09</w:t>
            </w:r>
          </w:p>
        </w:tc>
        <w:tc>
          <w:tcPr/>
          <w:p>
            <w:pPr>
              <w:pStyle w:val="Compact"/>
              <w:jc w:val="left"/>
            </w:pPr>
            <w:r>
              <w:rPr>
                <w:rFonts w:hint="eastAsia"/>
              </w:rPr>
              <w:t xml:space="preserve">黑龙江省营商环境建设监督局</w:t>
            </w:r>
          </w:p>
        </w:tc>
        <w:tc>
          <w:tcPr/>
          <w:p>
            <w:pPr>
              <w:pStyle w:val="Compact"/>
              <w:jc w:val="left"/>
            </w:pPr>
            <w:r>
              <w:rPr>
                <w:rFonts w:hint="eastAsia"/>
              </w:rPr>
              <w:t xml:space="preserve">政务平台内设</w:t>
            </w:r>
          </w:p>
        </w:tc>
        <w:tc>
          <w:tcPr/>
          <w:p>
            <w:pPr>
              <w:pStyle w:val="Compact"/>
              <w:jc w:val="center"/>
            </w:pPr>
            <w:r>
              <w:t xml:space="preserve">75</w:t>
            </w:r>
          </w:p>
        </w:tc>
      </w:tr>
      <w:tr>
        <w:tc>
          <w:tcPr/>
          <w:p>
            <w:pPr>
              <w:pStyle w:val="Compact"/>
              <w:jc w:val="center"/>
            </w:pPr>
            <w:r>
              <w:t xml:space="preserve">21</w:t>
            </w:r>
          </w:p>
        </w:tc>
        <w:tc>
          <w:tcPr/>
          <w:p>
            <w:pPr>
              <w:pStyle w:val="Compact"/>
              <w:jc w:val="left"/>
            </w:pPr>
            <w:r>
              <w:rPr>
                <w:rFonts w:hint="eastAsia"/>
              </w:rPr>
              <w:t xml:space="preserve">山西</w:t>
            </w:r>
          </w:p>
        </w:tc>
        <w:tc>
          <w:tcPr/>
          <w:p>
            <w:pPr>
              <w:pStyle w:val="Compact"/>
              <w:jc w:val="left"/>
            </w:pPr>
            <w:r>
              <w:rPr>
                <w:rFonts w:hint="eastAsia"/>
              </w:rPr>
              <w:t xml:space="preserve">山西省政府数据开放平台</w:t>
            </w:r>
          </w:p>
        </w:tc>
        <w:tc>
          <w:tcPr/>
          <w:p>
            <w:pPr>
              <w:pStyle w:val="Compact"/>
              <w:jc w:val="center"/>
            </w:pPr>
            <w:r>
              <w:t xml:space="preserve">2022.12</w:t>
            </w:r>
          </w:p>
        </w:tc>
        <w:tc>
          <w:tcPr/>
          <w:p>
            <w:pPr>
              <w:pStyle w:val="Compact"/>
              <w:jc w:val="left"/>
            </w:pPr>
            <w:r>
              <w:rPr>
                <w:rFonts w:hint="eastAsia"/>
              </w:rPr>
              <w:t xml:space="preserve">山西省行政审批服务管理局</w:t>
            </w:r>
          </w:p>
        </w:tc>
        <w:tc>
          <w:tcPr/>
          <w:p>
            <w:pPr>
              <w:pStyle w:val="Compact"/>
              <w:jc w:val="left"/>
            </w:pPr>
            <w:r>
              <w:rPr>
                <w:rFonts w:hint="eastAsia"/>
              </w:rPr>
              <w:t xml:space="preserve">专业化平台</w:t>
            </w:r>
          </w:p>
        </w:tc>
        <w:tc>
          <w:tcPr/>
          <w:p>
            <w:pPr>
              <w:pStyle w:val="Compact"/>
              <w:jc w:val="center"/>
            </w:pPr>
            <w:r>
              <w:t xml:space="preserve">65</w:t>
            </w:r>
          </w:p>
        </w:tc>
      </w:tr>
      <w:tr>
        <w:tc>
          <w:tcPr/>
          <w:p>
            <w:pPr>
              <w:pStyle w:val="Compact"/>
              <w:jc w:val="center"/>
            </w:pPr>
            <w:r>
              <w:t xml:space="preserve">22</w:t>
            </w:r>
          </w:p>
        </w:tc>
        <w:tc>
          <w:tcPr/>
          <w:p>
            <w:pPr>
              <w:pStyle w:val="Compact"/>
              <w:jc w:val="left"/>
            </w:pPr>
            <w:r>
              <w:rPr>
                <w:rFonts w:hint="eastAsia"/>
              </w:rPr>
              <w:t xml:space="preserve">新疆</w:t>
            </w:r>
          </w:p>
        </w:tc>
        <w:tc>
          <w:tcPr/>
          <w:p>
            <w:pPr>
              <w:pStyle w:val="Compact"/>
              <w:jc w:val="left"/>
            </w:pPr>
            <w:r>
              <w:rPr>
                <w:rFonts w:hint="eastAsia"/>
              </w:rPr>
              <w:t xml:space="preserve">新疆维吾尔自治区政务数据开放平台</w:t>
            </w:r>
          </w:p>
        </w:tc>
        <w:tc>
          <w:tcPr/>
          <w:p>
            <w:pPr>
              <w:pStyle w:val="Compact"/>
              <w:jc w:val="center"/>
            </w:pPr>
            <w:r>
              <w:t xml:space="preserve">2023.03</w:t>
            </w:r>
          </w:p>
        </w:tc>
        <w:tc>
          <w:tcPr/>
          <w:p>
            <w:pPr>
              <w:pStyle w:val="Compact"/>
              <w:jc w:val="left"/>
            </w:pPr>
            <w:r>
              <w:rPr>
                <w:rFonts w:hint="eastAsia"/>
              </w:rPr>
              <w:t xml:space="preserve">新疆维吾尔自治区数字化发展局</w:t>
            </w:r>
          </w:p>
        </w:tc>
        <w:tc>
          <w:tcPr/>
          <w:p>
            <w:pPr>
              <w:pStyle w:val="Compact"/>
              <w:jc w:val="left"/>
            </w:pPr>
            <w:r>
              <w:rPr>
                <w:rFonts w:hint="eastAsia"/>
              </w:rPr>
              <w:t xml:space="preserve">政务平台内设</w:t>
            </w:r>
          </w:p>
        </w:tc>
        <w:tc>
          <w:tcPr/>
          <w:p>
            <w:pPr>
              <w:pStyle w:val="Compact"/>
              <w:jc w:val="center"/>
            </w:pPr>
            <w:r>
              <w:t xml:space="preserve">45</w:t>
            </w:r>
          </w:p>
        </w:tc>
      </w:tr>
    </w:tbl>
    <w:bookmarkEnd w:id="229"/>
    <w:bookmarkStart w:id="230" w:name="c.2-topsis评估详细得分"/>
    <w:p>
      <w:pPr>
        <w:pStyle w:val="Heading3"/>
        <w:spacing w:line="360" w:lineRule="auto"/>
      </w:pPr>
      <w:r>
        <w:rPr>
          <w:rFonts w:ascii="黑体" w:hAnsi="黑体" w:eastAsia="黑体"/>
          <w:b/>
          <w:color w:val="000000"/>
          <w:sz w:val="24"/>
        </w:rPr>
        <w:t xml:space="preserve">C.2 </w:t>
      </w:r>
      <w:r>
        <w:rPr>
          <w:rFonts w:hint="eastAsia" w:ascii="黑体" w:hAnsi="黑体" w:eastAsia="黑体"/>
          <w:b/>
          <w:color w:val="000000"/>
          <w:sz w:val="24"/>
        </w:rPr>
        <w:t xml:space="preserve">TOPSIS评估详细得分</w:t>
      </w:r>
    </w:p>
    <w:p>
      <w:pPr>
        <w:pStyle w:val="FirstParagraph"/>
        <w:spacing w:line="360" w:lineRule="auto"/>
      </w:pPr>
      <w:r>
        <w:rPr>
          <w:rFonts w:hint="eastAsia" w:ascii="宋体" w:hAnsi="宋体" w:eastAsia="宋体"/>
          <w:b/>
          <w:bCs/>
          <w:color w:val="000000"/>
          <w:sz w:val="24"/>
        </w:rPr>
        <w:t xml:space="preserve">表C-2</w:t>
      </w:r>
      <w:r>
        <w:rPr>
          <w:rFonts w:ascii="宋体" w:hAnsi="宋体" w:eastAsia="宋体"/>
          <w:b/>
          <w:bCs/>
          <w:color w:val="000000"/>
          <w:sz w:val="24"/>
        </w:rPr>
        <w:t xml:space="preserve"> </w:t>
      </w:r>
      <w:r>
        <w:rPr>
          <w:rFonts w:hint="eastAsia" w:ascii="宋体" w:hAnsi="宋体" w:eastAsia="宋体"/>
          <w:b/>
          <w:bCs/>
          <w:color w:val="000000"/>
          <w:sz w:val="24"/>
        </w:rPr>
        <w:t xml:space="preserve">TOPSIS评估各维度详细得分</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rFonts w:hint="eastAsia"/>
              </w:rPr>
              <w:t xml:space="preserve">省份</w:t>
            </w:r>
          </w:p>
        </w:tc>
        <w:tc>
          <w:tcPr/>
          <w:p>
            <w:pPr>
              <w:pStyle w:val="Compact"/>
              <w:jc w:val="center"/>
            </w:pPr>
            <w:r>
              <w:rPr>
                <w:rFonts w:hint="eastAsia"/>
              </w:rPr>
              <w:t xml:space="preserve">综合得分</w:t>
            </w:r>
          </w:p>
        </w:tc>
        <w:tc>
          <w:tcPr/>
          <w:p>
            <w:pPr>
              <w:pStyle w:val="Compact"/>
              <w:jc w:val="center"/>
            </w:pPr>
            <w:r>
              <w:rPr>
                <w:rFonts w:hint="eastAsia"/>
              </w:rPr>
              <w:t xml:space="preserve">供给保障</w:t>
            </w:r>
          </w:p>
        </w:tc>
        <w:tc>
          <w:tcPr/>
          <w:p>
            <w:pPr>
              <w:pStyle w:val="Compact"/>
              <w:jc w:val="center"/>
            </w:pPr>
            <w:r>
              <w:rPr>
                <w:rFonts w:hint="eastAsia"/>
              </w:rPr>
              <w:t xml:space="preserve">平台服务</w:t>
            </w:r>
          </w:p>
        </w:tc>
        <w:tc>
          <w:tcPr/>
          <w:p>
            <w:pPr>
              <w:pStyle w:val="Compact"/>
              <w:jc w:val="center"/>
            </w:pPr>
            <w:r>
              <w:rPr>
                <w:rFonts w:hint="eastAsia"/>
              </w:rPr>
              <w:t xml:space="preserve">数据质量</w:t>
            </w:r>
          </w:p>
        </w:tc>
        <w:tc>
          <w:tcPr/>
          <w:p>
            <w:pPr>
              <w:pStyle w:val="Compact"/>
              <w:jc w:val="center"/>
            </w:pPr>
            <w:r>
              <w:rPr>
                <w:rFonts w:hint="eastAsia"/>
              </w:rPr>
              <w:t xml:space="preserve">利用效果</w:t>
            </w:r>
          </w:p>
        </w:tc>
        <w:tc>
          <w:tcPr/>
          <w:p>
            <w:pPr>
              <w:pStyle w:val="Compact"/>
              <w:jc w:val="center"/>
            </w:pPr>
            <w:r>
              <w:rPr>
                <w:rFonts w:hint="eastAsia"/>
              </w:rPr>
              <w:t xml:space="preserve">公平性</w:t>
            </w:r>
          </w:p>
        </w:tc>
      </w:tr>
      <w:tr>
        <w:tc>
          <w:tcPr/>
          <w:p>
            <w:pPr>
              <w:pStyle w:val="Compact"/>
              <w:jc w:val="left"/>
            </w:pPr>
            <w:r>
              <w:rPr>
                <w:rFonts w:hint="eastAsia"/>
              </w:rPr>
              <w:t xml:space="preserve">广东</w:t>
            </w:r>
          </w:p>
        </w:tc>
        <w:tc>
          <w:tcPr/>
          <w:p>
            <w:pPr>
              <w:pStyle w:val="Compact"/>
              <w:jc w:val="center"/>
            </w:pPr>
            <w:r>
              <w:t xml:space="preserve">0.791</w:t>
            </w:r>
          </w:p>
        </w:tc>
        <w:tc>
          <w:tcPr/>
          <w:p>
            <w:pPr>
              <w:pStyle w:val="Compact"/>
              <w:jc w:val="center"/>
            </w:pPr>
            <w:r>
              <w:t xml:space="preserve">0.87</w:t>
            </w:r>
          </w:p>
        </w:tc>
        <w:tc>
          <w:tcPr/>
          <w:p>
            <w:pPr>
              <w:pStyle w:val="Compact"/>
              <w:jc w:val="center"/>
            </w:pPr>
            <w:r>
              <w:t xml:space="preserve">0.92</w:t>
            </w:r>
          </w:p>
        </w:tc>
        <w:tc>
          <w:tcPr/>
          <w:p>
            <w:pPr>
              <w:pStyle w:val="Compact"/>
              <w:jc w:val="center"/>
            </w:pPr>
            <w:r>
              <w:t xml:space="preserve">0.82</w:t>
            </w:r>
          </w:p>
        </w:tc>
        <w:tc>
          <w:tcPr/>
          <w:p>
            <w:pPr>
              <w:pStyle w:val="Compact"/>
              <w:jc w:val="center"/>
            </w:pPr>
            <w:r>
              <w:t xml:space="preserve">0.95</w:t>
            </w:r>
          </w:p>
        </w:tc>
        <w:tc>
          <w:tcPr/>
          <w:p>
            <w:pPr>
              <w:pStyle w:val="Compact"/>
              <w:jc w:val="center"/>
            </w:pPr>
            <w:r>
              <w:t xml:space="preserve">0.22</w:t>
            </w:r>
          </w:p>
        </w:tc>
      </w:tr>
      <w:tr>
        <w:tc>
          <w:tcPr/>
          <w:p>
            <w:pPr>
              <w:pStyle w:val="Compact"/>
              <w:jc w:val="left"/>
            </w:pPr>
            <w:r>
              <w:rPr>
                <w:rFonts w:hint="eastAsia"/>
              </w:rPr>
              <w:t xml:space="preserve">浙江</w:t>
            </w:r>
          </w:p>
        </w:tc>
        <w:tc>
          <w:tcPr/>
          <w:p>
            <w:pPr>
              <w:pStyle w:val="Compact"/>
              <w:jc w:val="center"/>
            </w:pPr>
            <w:r>
              <w:t xml:space="preserve">0.782</w:t>
            </w:r>
          </w:p>
        </w:tc>
        <w:tc>
          <w:tcPr/>
          <w:p>
            <w:pPr>
              <w:pStyle w:val="Compact"/>
              <w:jc w:val="center"/>
            </w:pPr>
            <w:r>
              <w:t xml:space="preserve">0.89</w:t>
            </w:r>
          </w:p>
        </w:tc>
        <w:tc>
          <w:tcPr/>
          <w:p>
            <w:pPr>
              <w:pStyle w:val="Compact"/>
              <w:jc w:val="center"/>
            </w:pPr>
            <w:r>
              <w:t xml:space="preserve">0.88</w:t>
            </w:r>
          </w:p>
        </w:tc>
        <w:tc>
          <w:tcPr/>
          <w:p>
            <w:pPr>
              <w:pStyle w:val="Compact"/>
              <w:jc w:val="center"/>
            </w:pPr>
            <w:r>
              <w:t xml:space="preserve">0.85</w:t>
            </w:r>
          </w:p>
        </w:tc>
        <w:tc>
          <w:tcPr/>
          <w:p>
            <w:pPr>
              <w:pStyle w:val="Compact"/>
              <w:jc w:val="center"/>
            </w:pPr>
            <w:r>
              <w:t xml:space="preserve">0.91</w:t>
            </w:r>
          </w:p>
        </w:tc>
        <w:tc>
          <w:tcPr/>
          <w:p>
            <w:pPr>
              <w:pStyle w:val="Compact"/>
              <w:jc w:val="center"/>
            </w:pPr>
            <w:r>
              <w:t xml:space="preserve">0.25</w:t>
            </w:r>
          </w:p>
        </w:tc>
      </w:tr>
      <w:tr>
        <w:tc>
          <w:tcPr/>
          <w:p>
            <w:pPr>
              <w:pStyle w:val="Compact"/>
              <w:jc w:val="left"/>
            </w:pPr>
            <w:r>
              <w:rPr>
                <w:rFonts w:hint="eastAsia"/>
              </w:rPr>
              <w:t xml:space="preserve">山东</w:t>
            </w:r>
          </w:p>
        </w:tc>
        <w:tc>
          <w:tcPr/>
          <w:p>
            <w:pPr>
              <w:pStyle w:val="Compact"/>
              <w:jc w:val="center"/>
            </w:pPr>
            <w:r>
              <w:t xml:space="preserve">0.741</w:t>
            </w:r>
          </w:p>
        </w:tc>
        <w:tc>
          <w:tcPr/>
          <w:p>
            <w:pPr>
              <w:pStyle w:val="Compact"/>
              <w:jc w:val="center"/>
            </w:pPr>
            <w:r>
              <w:t xml:space="preserve">0.85</w:t>
            </w:r>
          </w:p>
        </w:tc>
        <w:tc>
          <w:tcPr/>
          <w:p>
            <w:pPr>
              <w:pStyle w:val="Compact"/>
              <w:jc w:val="center"/>
            </w:pPr>
            <w:r>
              <w:t xml:space="preserve">0.65</w:t>
            </w:r>
          </w:p>
        </w:tc>
        <w:tc>
          <w:tcPr/>
          <w:p>
            <w:pPr>
              <w:pStyle w:val="Compact"/>
              <w:jc w:val="center"/>
            </w:pPr>
            <w:r>
              <w:t xml:space="preserve">0.58</w:t>
            </w:r>
          </w:p>
        </w:tc>
        <w:tc>
          <w:tcPr/>
          <w:p>
            <w:pPr>
              <w:pStyle w:val="Compact"/>
              <w:jc w:val="center"/>
            </w:pPr>
            <w:r>
              <w:t xml:space="preserve">0.82</w:t>
            </w:r>
          </w:p>
        </w:tc>
        <w:tc>
          <w:tcPr/>
          <w:p>
            <w:pPr>
              <w:pStyle w:val="Compact"/>
              <w:jc w:val="center"/>
            </w:pPr>
            <w:r>
              <w:t xml:space="preserve">0.28</w:t>
            </w:r>
          </w:p>
        </w:tc>
      </w:tr>
      <w:tr>
        <w:tc>
          <w:tcPr/>
          <w:p>
            <w:pPr>
              <w:pStyle w:val="Compact"/>
              <w:jc w:val="left"/>
            </w:pPr>
            <w:r>
              <w:rPr>
                <w:rFonts w:hint="eastAsia"/>
              </w:rPr>
              <w:t xml:space="preserve">贵州</w:t>
            </w:r>
          </w:p>
        </w:tc>
        <w:tc>
          <w:tcPr/>
          <w:p>
            <w:pPr>
              <w:pStyle w:val="Compact"/>
              <w:jc w:val="center"/>
            </w:pPr>
            <w:r>
              <w:t xml:space="preserve">0.608</w:t>
            </w:r>
          </w:p>
        </w:tc>
        <w:tc>
          <w:tcPr/>
          <w:p>
            <w:pPr>
              <w:pStyle w:val="Compact"/>
              <w:jc w:val="center"/>
            </w:pPr>
            <w:r>
              <w:t xml:space="preserve">0.62</w:t>
            </w:r>
          </w:p>
        </w:tc>
        <w:tc>
          <w:tcPr/>
          <w:p>
            <w:pPr>
              <w:pStyle w:val="Compact"/>
              <w:jc w:val="center"/>
            </w:pPr>
            <w:r>
              <w:t xml:space="preserve">0.75</w:t>
            </w:r>
          </w:p>
        </w:tc>
        <w:tc>
          <w:tcPr/>
          <w:p>
            <w:pPr>
              <w:pStyle w:val="Compact"/>
              <w:jc w:val="center"/>
            </w:pPr>
            <w:r>
              <w:t xml:space="preserve">0.28</w:t>
            </w:r>
          </w:p>
        </w:tc>
        <w:tc>
          <w:tcPr/>
          <w:p>
            <w:pPr>
              <w:pStyle w:val="Compact"/>
              <w:jc w:val="center"/>
            </w:pPr>
            <w:r>
              <w:t xml:space="preserve">0.52</w:t>
            </w:r>
          </w:p>
        </w:tc>
        <w:tc>
          <w:tcPr/>
          <w:p>
            <w:pPr>
              <w:pStyle w:val="Compact"/>
              <w:jc w:val="center"/>
            </w:pPr>
            <w:r>
              <w:t xml:space="preserve">0.72</w:t>
            </w:r>
          </w:p>
        </w:tc>
      </w:tr>
      <w:tr>
        <w:tc>
          <w:tcPr/>
          <w:p>
            <w:pPr>
              <w:pStyle w:val="Compact"/>
              <w:jc w:val="left"/>
            </w:pPr>
            <w:r>
              <w:rPr>
                <w:rFonts w:hint="eastAsia"/>
              </w:rPr>
              <w:t xml:space="preserve">四川</w:t>
            </w:r>
          </w:p>
        </w:tc>
        <w:tc>
          <w:tcPr/>
          <w:p>
            <w:pPr>
              <w:pStyle w:val="Compact"/>
              <w:jc w:val="center"/>
            </w:pPr>
            <w:r>
              <w:t xml:space="preserve">0.555</w:t>
            </w:r>
          </w:p>
        </w:tc>
        <w:tc>
          <w:tcPr/>
          <w:p>
            <w:pPr>
              <w:pStyle w:val="Compact"/>
              <w:jc w:val="center"/>
            </w:pPr>
            <w:r>
              <w:t xml:space="preserve">0.71</w:t>
            </w:r>
          </w:p>
        </w:tc>
        <w:tc>
          <w:tcPr/>
          <w:p>
            <w:pPr>
              <w:pStyle w:val="Compact"/>
              <w:jc w:val="center"/>
            </w:pPr>
            <w:r>
              <w:t xml:space="preserve">0.58</w:t>
            </w:r>
          </w:p>
        </w:tc>
        <w:tc>
          <w:tcPr/>
          <w:p>
            <w:pPr>
              <w:pStyle w:val="Compact"/>
              <w:jc w:val="center"/>
            </w:pPr>
            <w:r>
              <w:t xml:space="preserve">0.45</w:t>
            </w:r>
          </w:p>
        </w:tc>
        <w:tc>
          <w:tcPr/>
          <w:p>
            <w:pPr>
              <w:pStyle w:val="Compact"/>
              <w:jc w:val="center"/>
            </w:pPr>
            <w:r>
              <w:t xml:space="preserve">0.48</w:t>
            </w:r>
          </w:p>
        </w:tc>
        <w:tc>
          <w:tcPr/>
          <w:p>
            <w:pPr>
              <w:pStyle w:val="Compact"/>
              <w:jc w:val="center"/>
            </w:pPr>
            <w:r>
              <w:t xml:space="preserve">0.68</w:t>
            </w:r>
          </w:p>
        </w:tc>
      </w:tr>
      <w:tr>
        <w:tc>
          <w:tcPr/>
          <w:p>
            <w:pPr>
              <w:pStyle w:val="Compact"/>
              <w:jc w:val="left"/>
            </w:pPr>
            <w:r>
              <w:rPr>
                <w:rFonts w:hint="eastAsia"/>
              </w:rPr>
              <w:t xml:space="preserve">北京</w:t>
            </w:r>
          </w:p>
        </w:tc>
        <w:tc>
          <w:tcPr/>
          <w:p>
            <w:pPr>
              <w:pStyle w:val="Compact"/>
              <w:jc w:val="center"/>
            </w:pPr>
            <w:r>
              <w:t xml:space="preserve">0.522</w:t>
            </w:r>
          </w:p>
        </w:tc>
        <w:tc>
          <w:tcPr/>
          <w:p>
            <w:pPr>
              <w:pStyle w:val="Compact"/>
              <w:jc w:val="center"/>
            </w:pPr>
            <w:r>
              <w:t xml:space="preserve">0.95</w:t>
            </w:r>
          </w:p>
        </w:tc>
        <w:tc>
          <w:tcPr/>
          <w:p>
            <w:pPr>
              <w:pStyle w:val="Compact"/>
              <w:jc w:val="center"/>
            </w:pPr>
            <w:r>
              <w:t xml:space="preserve">0.85</w:t>
            </w:r>
          </w:p>
        </w:tc>
        <w:tc>
          <w:tcPr/>
          <w:p>
            <w:pPr>
              <w:pStyle w:val="Compact"/>
              <w:jc w:val="center"/>
            </w:pPr>
            <w:r>
              <w:t xml:space="preserve">0.91</w:t>
            </w:r>
          </w:p>
        </w:tc>
        <w:tc>
          <w:tcPr/>
          <w:p>
            <w:pPr>
              <w:pStyle w:val="Compact"/>
              <w:jc w:val="center"/>
            </w:pPr>
            <w:r>
              <w:t xml:space="preserve">0.72</w:t>
            </w:r>
          </w:p>
        </w:tc>
        <w:tc>
          <w:tcPr/>
          <w:p>
            <w:pPr>
              <w:pStyle w:val="Compact"/>
              <w:jc w:val="center"/>
            </w:pPr>
            <w:r>
              <w:t xml:space="preserve">0.15</w:t>
            </w:r>
          </w:p>
        </w:tc>
      </w:tr>
      <w:tr>
        <w:tc>
          <w:tcPr/>
          <w:p>
            <w:pPr>
              <w:pStyle w:val="Compact"/>
              <w:jc w:val="left"/>
            </w:pPr>
            <w:r>
              <w:rPr>
                <w:rFonts w:hint="eastAsia"/>
              </w:rPr>
              <w:t xml:space="preserve">上海</w:t>
            </w:r>
          </w:p>
        </w:tc>
        <w:tc>
          <w:tcPr/>
          <w:p>
            <w:pPr>
              <w:pStyle w:val="Compact"/>
              <w:jc w:val="center"/>
            </w:pPr>
            <w:r>
              <w:t xml:space="preserve">0.519</w:t>
            </w:r>
          </w:p>
        </w:tc>
        <w:tc>
          <w:tcPr/>
          <w:p>
            <w:pPr>
              <w:pStyle w:val="Compact"/>
              <w:jc w:val="center"/>
            </w:pPr>
            <w:r>
              <w:t xml:space="preserve">0.91</w:t>
            </w:r>
          </w:p>
        </w:tc>
        <w:tc>
          <w:tcPr/>
          <w:p>
            <w:pPr>
              <w:pStyle w:val="Compact"/>
              <w:jc w:val="center"/>
            </w:pPr>
            <w:r>
              <w:t xml:space="preserve">0.83</w:t>
            </w:r>
          </w:p>
        </w:tc>
        <w:tc>
          <w:tcPr/>
          <w:p>
            <w:pPr>
              <w:pStyle w:val="Compact"/>
              <w:jc w:val="center"/>
            </w:pPr>
            <w:r>
              <w:t xml:space="preserve">0.88</w:t>
            </w:r>
          </w:p>
        </w:tc>
        <w:tc>
          <w:tcPr/>
          <w:p>
            <w:pPr>
              <w:pStyle w:val="Compact"/>
              <w:jc w:val="center"/>
            </w:pPr>
            <w:r>
              <w:t xml:space="preserve">0.68</w:t>
            </w:r>
          </w:p>
        </w:tc>
        <w:tc>
          <w:tcPr/>
          <w:p>
            <w:pPr>
              <w:pStyle w:val="Compact"/>
              <w:jc w:val="center"/>
            </w:pPr>
            <w:r>
              <w:t xml:space="preserve">0.18</w:t>
            </w:r>
          </w:p>
        </w:tc>
      </w:tr>
      <w:tr>
        <w:tc>
          <w:tcPr/>
          <w:p>
            <w:pPr>
              <w:pStyle w:val="Compact"/>
              <w:jc w:val="left"/>
            </w:pPr>
            <w:r>
              <w:rPr>
                <w:rFonts w:hint="eastAsia"/>
              </w:rPr>
              <w:t xml:space="preserve">福建</w:t>
            </w:r>
          </w:p>
        </w:tc>
        <w:tc>
          <w:tcPr/>
          <w:p>
            <w:pPr>
              <w:pStyle w:val="Compact"/>
              <w:jc w:val="center"/>
            </w:pPr>
            <w:r>
              <w:t xml:space="preserve">0.484</w:t>
            </w:r>
          </w:p>
        </w:tc>
        <w:tc>
          <w:tcPr/>
          <w:p>
            <w:pPr>
              <w:pStyle w:val="Compact"/>
              <w:jc w:val="center"/>
            </w:pPr>
            <w:r>
              <w:t xml:space="preserve">0.58</w:t>
            </w:r>
          </w:p>
        </w:tc>
        <w:tc>
          <w:tcPr/>
          <w:p>
            <w:pPr>
              <w:pStyle w:val="Compact"/>
              <w:jc w:val="center"/>
            </w:pPr>
            <w:r>
              <w:t xml:space="preserve">0.79</w:t>
            </w:r>
          </w:p>
        </w:tc>
        <w:tc>
          <w:tcPr/>
          <w:p>
            <w:pPr>
              <w:pStyle w:val="Compact"/>
              <w:jc w:val="center"/>
            </w:pPr>
            <w:r>
              <w:t xml:space="preserve">0.42</w:t>
            </w:r>
          </w:p>
        </w:tc>
        <w:tc>
          <w:tcPr/>
          <w:p>
            <w:pPr>
              <w:pStyle w:val="Compact"/>
              <w:jc w:val="center"/>
            </w:pPr>
            <w:r>
              <w:t xml:space="preserve">0.45</w:t>
            </w:r>
          </w:p>
        </w:tc>
        <w:tc>
          <w:tcPr/>
          <w:p>
            <w:pPr>
              <w:pStyle w:val="Compact"/>
              <w:jc w:val="center"/>
            </w:pPr>
            <w:r>
              <w:t xml:space="preserve">0.35</w:t>
            </w:r>
          </w:p>
        </w:tc>
      </w:tr>
      <w:tr>
        <w:tc>
          <w:tcPr/>
          <w:p>
            <w:pPr>
              <w:pStyle w:val="Compact"/>
              <w:jc w:val="left"/>
            </w:pPr>
            <w:r>
              <w:rPr>
                <w:rFonts w:hint="eastAsia"/>
              </w:rPr>
              <w:t xml:space="preserve">河南</w:t>
            </w:r>
          </w:p>
        </w:tc>
        <w:tc>
          <w:tcPr/>
          <w:p>
            <w:pPr>
              <w:pStyle w:val="Compact"/>
              <w:jc w:val="center"/>
            </w:pPr>
            <w:r>
              <w:t xml:space="preserve">0.469</w:t>
            </w:r>
          </w:p>
        </w:tc>
        <w:tc>
          <w:tcPr/>
          <w:p>
            <w:pPr>
              <w:pStyle w:val="Compact"/>
              <w:jc w:val="center"/>
            </w:pPr>
            <w:r>
              <w:t xml:space="preserve">0.65</w:t>
            </w:r>
          </w:p>
        </w:tc>
        <w:tc>
          <w:tcPr/>
          <w:p>
            <w:pPr>
              <w:pStyle w:val="Compact"/>
              <w:jc w:val="center"/>
            </w:pPr>
            <w:r>
              <w:t xml:space="preserve">0.52</w:t>
            </w:r>
          </w:p>
        </w:tc>
        <w:tc>
          <w:tcPr/>
          <w:p>
            <w:pPr>
              <w:pStyle w:val="Compact"/>
              <w:jc w:val="center"/>
            </w:pPr>
            <w:r>
              <w:t xml:space="preserve">0.38</w:t>
            </w:r>
          </w:p>
        </w:tc>
        <w:tc>
          <w:tcPr/>
          <w:p>
            <w:pPr>
              <w:pStyle w:val="Compact"/>
              <w:jc w:val="center"/>
            </w:pPr>
            <w:r>
              <w:t xml:space="preserve">0.35</w:t>
            </w:r>
          </w:p>
        </w:tc>
        <w:tc>
          <w:tcPr/>
          <w:p>
            <w:pPr>
              <w:pStyle w:val="Compact"/>
              <w:jc w:val="center"/>
            </w:pPr>
            <w:r>
              <w:t xml:space="preserve">0.65</w:t>
            </w:r>
          </w:p>
        </w:tc>
      </w:tr>
      <w:tr>
        <w:tc>
          <w:tcPr/>
          <w:p>
            <w:pPr>
              <w:pStyle w:val="Compact"/>
              <w:jc w:val="left"/>
            </w:pPr>
            <w:r>
              <w:rPr>
                <w:rFonts w:hint="eastAsia"/>
              </w:rPr>
              <w:t xml:space="preserve">江苏</w:t>
            </w:r>
          </w:p>
        </w:tc>
        <w:tc>
          <w:tcPr/>
          <w:p>
            <w:pPr>
              <w:pStyle w:val="Compact"/>
              <w:jc w:val="center"/>
            </w:pPr>
            <w:r>
              <w:t xml:space="preserve">0.442</w:t>
            </w:r>
          </w:p>
        </w:tc>
        <w:tc>
          <w:tcPr/>
          <w:p>
            <w:pPr>
              <w:pStyle w:val="Compact"/>
              <w:jc w:val="center"/>
            </w:pPr>
            <w:r>
              <w:t xml:space="preserve">0.72</w:t>
            </w:r>
          </w:p>
        </w:tc>
        <w:tc>
          <w:tcPr/>
          <w:p>
            <w:pPr>
              <w:pStyle w:val="Compact"/>
              <w:jc w:val="center"/>
            </w:pPr>
            <w:r>
              <w:t xml:space="preserve">0.62</w:t>
            </w:r>
          </w:p>
        </w:tc>
        <w:tc>
          <w:tcPr/>
          <w:p>
            <w:pPr>
              <w:pStyle w:val="Compact"/>
              <w:jc w:val="center"/>
            </w:pPr>
            <w:r>
              <w:t xml:space="preserve">0.78</w:t>
            </w:r>
          </w:p>
        </w:tc>
        <w:tc>
          <w:tcPr/>
          <w:p>
            <w:pPr>
              <w:pStyle w:val="Compact"/>
              <w:jc w:val="center"/>
            </w:pPr>
            <w:r>
              <w:t xml:space="preserve">0.38</w:t>
            </w:r>
          </w:p>
        </w:tc>
        <w:tc>
          <w:tcPr/>
          <w:p>
            <w:pPr>
              <w:pStyle w:val="Compact"/>
              <w:jc w:val="center"/>
            </w:pPr>
            <w:r>
              <w:t xml:space="preserve">0.28</w:t>
            </w:r>
          </w:p>
        </w:tc>
      </w:tr>
      <w:tr>
        <w:tc>
          <w:tcPr/>
          <w:p>
            <w:pPr>
              <w:pStyle w:val="Compact"/>
              <w:jc w:val="left"/>
            </w:pPr>
            <w:r>
              <w:rPr>
                <w:rFonts w:hint="eastAsia"/>
              </w:rPr>
              <w:t xml:space="preserve">江西</w:t>
            </w:r>
          </w:p>
        </w:tc>
        <w:tc>
          <w:tcPr/>
          <w:p>
            <w:pPr>
              <w:pStyle w:val="Compact"/>
              <w:jc w:val="center"/>
            </w:pPr>
            <w:r>
              <w:t xml:space="preserve">0.437</w:t>
            </w:r>
          </w:p>
        </w:tc>
        <w:tc>
          <w:tcPr/>
          <w:p>
            <w:pPr>
              <w:pStyle w:val="Compact"/>
              <w:jc w:val="center"/>
            </w:pPr>
            <w:r>
              <w:t xml:space="preserve">0.42</w:t>
            </w:r>
          </w:p>
        </w:tc>
        <w:tc>
          <w:tcPr/>
          <w:p>
            <w:pPr>
              <w:pStyle w:val="Compact"/>
              <w:jc w:val="center"/>
            </w:pPr>
            <w:r>
              <w:t xml:space="preserve">0.68</w:t>
            </w:r>
          </w:p>
        </w:tc>
        <w:tc>
          <w:tcPr/>
          <w:p>
            <w:pPr>
              <w:pStyle w:val="Compact"/>
              <w:jc w:val="center"/>
            </w:pPr>
            <w:r>
              <w:t xml:space="preserve">0.35</w:t>
            </w:r>
          </w:p>
        </w:tc>
        <w:tc>
          <w:tcPr/>
          <w:p>
            <w:pPr>
              <w:pStyle w:val="Compact"/>
              <w:jc w:val="center"/>
            </w:pPr>
            <w:r>
              <w:t xml:space="preserve">0.32</w:t>
            </w:r>
          </w:p>
        </w:tc>
        <w:tc>
          <w:tcPr/>
          <w:p>
            <w:pPr>
              <w:pStyle w:val="Compact"/>
              <w:jc w:val="center"/>
            </w:pPr>
            <w:r>
              <w:t xml:space="preserve">0.58</w:t>
            </w:r>
          </w:p>
        </w:tc>
      </w:tr>
      <w:tr>
        <w:tc>
          <w:tcPr/>
          <w:p>
            <w:pPr>
              <w:pStyle w:val="Compact"/>
              <w:jc w:val="left"/>
            </w:pPr>
            <w:r>
              <w:rPr>
                <w:rFonts w:hint="eastAsia"/>
              </w:rPr>
              <w:t xml:space="preserve">湖北</w:t>
            </w:r>
          </w:p>
        </w:tc>
        <w:tc>
          <w:tcPr/>
          <w:p>
            <w:pPr>
              <w:pStyle w:val="Compact"/>
              <w:jc w:val="center"/>
            </w:pPr>
            <w:r>
              <w:t xml:space="preserve">0.414</w:t>
            </w:r>
          </w:p>
        </w:tc>
        <w:tc>
          <w:tcPr/>
          <w:p>
            <w:pPr>
              <w:pStyle w:val="Compact"/>
              <w:jc w:val="center"/>
            </w:pPr>
            <w:r>
              <w:t xml:space="preserve">0.55</w:t>
            </w:r>
          </w:p>
        </w:tc>
        <w:tc>
          <w:tcPr/>
          <w:p>
            <w:pPr>
              <w:pStyle w:val="Compact"/>
              <w:jc w:val="center"/>
            </w:pPr>
            <w:r>
              <w:t xml:space="preserve">0.65</w:t>
            </w:r>
          </w:p>
        </w:tc>
        <w:tc>
          <w:tcPr/>
          <w:p>
            <w:pPr>
              <w:pStyle w:val="Compact"/>
              <w:jc w:val="center"/>
            </w:pPr>
            <w:r>
              <w:t xml:space="preserve">0.48</w:t>
            </w:r>
          </w:p>
        </w:tc>
        <w:tc>
          <w:tcPr/>
          <w:p>
            <w:pPr>
              <w:pStyle w:val="Compact"/>
              <w:jc w:val="center"/>
            </w:pPr>
            <w:r>
              <w:t xml:space="preserve">0.28</w:t>
            </w:r>
          </w:p>
        </w:tc>
        <w:tc>
          <w:tcPr/>
          <w:p>
            <w:pPr>
              <w:pStyle w:val="Compact"/>
              <w:jc w:val="center"/>
            </w:pPr>
            <w:r>
              <w:t xml:space="preserve">0.42</w:t>
            </w:r>
          </w:p>
        </w:tc>
      </w:tr>
      <w:tr>
        <w:tc>
          <w:tcPr/>
          <w:p>
            <w:pPr>
              <w:pStyle w:val="Compact"/>
              <w:jc w:val="left"/>
            </w:pPr>
            <w:r>
              <w:rPr>
                <w:rFonts w:hint="eastAsia"/>
              </w:rPr>
              <w:t xml:space="preserve">广西</w:t>
            </w:r>
          </w:p>
        </w:tc>
        <w:tc>
          <w:tcPr/>
          <w:p>
            <w:pPr>
              <w:pStyle w:val="Compact"/>
              <w:jc w:val="center"/>
            </w:pPr>
            <w:r>
              <w:t xml:space="preserve">0.389</w:t>
            </w:r>
          </w:p>
        </w:tc>
        <w:tc>
          <w:tcPr/>
          <w:p>
            <w:pPr>
              <w:pStyle w:val="Compact"/>
              <w:jc w:val="center"/>
            </w:pPr>
            <w:r>
              <w:t xml:space="preserve">0.38</w:t>
            </w:r>
          </w:p>
        </w:tc>
        <w:tc>
          <w:tcPr/>
          <w:p>
            <w:pPr>
              <w:pStyle w:val="Compact"/>
              <w:jc w:val="center"/>
            </w:pPr>
            <w:r>
              <w:t xml:space="preserve">0.58</w:t>
            </w:r>
          </w:p>
        </w:tc>
        <w:tc>
          <w:tcPr/>
          <w:p>
            <w:pPr>
              <w:pStyle w:val="Compact"/>
              <w:jc w:val="center"/>
            </w:pPr>
            <w:r>
              <w:t xml:space="preserve">0.32</w:t>
            </w:r>
          </w:p>
        </w:tc>
        <w:tc>
          <w:tcPr/>
          <w:p>
            <w:pPr>
              <w:pStyle w:val="Compact"/>
              <w:jc w:val="center"/>
            </w:pPr>
            <w:r>
              <w:t xml:space="preserve">0.25</w:t>
            </w:r>
          </w:p>
        </w:tc>
        <w:tc>
          <w:tcPr/>
          <w:p>
            <w:pPr>
              <w:pStyle w:val="Compact"/>
              <w:jc w:val="center"/>
            </w:pPr>
            <w:r>
              <w:t xml:space="preserve">0.62</w:t>
            </w:r>
          </w:p>
        </w:tc>
      </w:tr>
      <w:tr>
        <w:tc>
          <w:tcPr/>
          <w:p>
            <w:pPr>
              <w:pStyle w:val="Compact"/>
              <w:jc w:val="left"/>
            </w:pPr>
            <w:r>
              <w:rPr>
                <w:rFonts w:hint="eastAsia"/>
              </w:rPr>
              <w:t xml:space="preserve">湖南</w:t>
            </w:r>
          </w:p>
        </w:tc>
        <w:tc>
          <w:tcPr/>
          <w:p>
            <w:pPr>
              <w:pStyle w:val="Compact"/>
              <w:jc w:val="center"/>
            </w:pPr>
            <w:r>
              <w:t xml:space="preserve">0.386</w:t>
            </w:r>
          </w:p>
        </w:tc>
        <w:tc>
          <w:tcPr/>
          <w:p>
            <w:pPr>
              <w:pStyle w:val="Compact"/>
              <w:jc w:val="center"/>
            </w:pPr>
            <w:r>
              <w:t xml:space="preserve">0.62</w:t>
            </w:r>
          </w:p>
        </w:tc>
        <w:tc>
          <w:tcPr/>
          <w:p>
            <w:pPr>
              <w:pStyle w:val="Compact"/>
              <w:jc w:val="center"/>
            </w:pPr>
            <w:r>
              <w:t xml:space="preserve">0.48</w:t>
            </w:r>
          </w:p>
        </w:tc>
        <w:tc>
          <w:tcPr/>
          <w:p>
            <w:pPr>
              <w:pStyle w:val="Compact"/>
              <w:jc w:val="center"/>
            </w:pPr>
            <w:r>
              <w:t xml:space="preserve">0.42</w:t>
            </w:r>
          </w:p>
        </w:tc>
        <w:tc>
          <w:tcPr/>
          <w:p>
            <w:pPr>
              <w:pStyle w:val="Compact"/>
              <w:jc w:val="center"/>
            </w:pPr>
            <w:r>
              <w:t xml:space="preserve">0.22</w:t>
            </w:r>
          </w:p>
        </w:tc>
        <w:tc>
          <w:tcPr/>
          <w:p>
            <w:pPr>
              <w:pStyle w:val="Compact"/>
              <w:jc w:val="center"/>
            </w:pPr>
            <w:r>
              <w:t xml:space="preserve">0.45</w:t>
            </w:r>
          </w:p>
        </w:tc>
      </w:tr>
      <w:tr>
        <w:tc>
          <w:tcPr/>
          <w:p>
            <w:pPr>
              <w:pStyle w:val="Compact"/>
              <w:jc w:val="left"/>
            </w:pPr>
            <w:r>
              <w:rPr>
                <w:rFonts w:hint="eastAsia"/>
              </w:rPr>
              <w:t xml:space="preserve">安徽</w:t>
            </w:r>
          </w:p>
        </w:tc>
        <w:tc>
          <w:tcPr/>
          <w:p>
            <w:pPr>
              <w:pStyle w:val="Compact"/>
              <w:jc w:val="center"/>
            </w:pPr>
            <w:r>
              <w:t xml:space="preserve">0.354</w:t>
            </w:r>
          </w:p>
        </w:tc>
        <w:tc>
          <w:tcPr/>
          <w:p>
            <w:pPr>
              <w:pStyle w:val="Compact"/>
              <w:jc w:val="center"/>
            </w:pPr>
            <w:r>
              <w:t xml:space="preserve">0.48</w:t>
            </w:r>
          </w:p>
        </w:tc>
        <w:tc>
          <w:tcPr/>
          <w:p>
            <w:pPr>
              <w:pStyle w:val="Compact"/>
              <w:jc w:val="center"/>
            </w:pPr>
            <w:r>
              <w:t xml:space="preserve">0.55</w:t>
            </w:r>
          </w:p>
        </w:tc>
        <w:tc>
          <w:tcPr/>
          <w:p>
            <w:pPr>
              <w:pStyle w:val="Compact"/>
              <w:jc w:val="center"/>
            </w:pPr>
            <w:r>
              <w:t xml:space="preserve">0.32</w:t>
            </w:r>
          </w:p>
        </w:tc>
        <w:tc>
          <w:tcPr/>
          <w:p>
            <w:pPr>
              <w:pStyle w:val="Compact"/>
              <w:jc w:val="center"/>
            </w:pPr>
            <w:r>
              <w:t xml:space="preserve">0.18</w:t>
            </w:r>
          </w:p>
        </w:tc>
        <w:tc>
          <w:tcPr/>
          <w:p>
            <w:pPr>
              <w:pStyle w:val="Compact"/>
              <w:jc w:val="center"/>
            </w:pPr>
            <w:r>
              <w:t xml:space="preserve">0.38</w:t>
            </w:r>
          </w:p>
        </w:tc>
      </w:tr>
      <w:tr>
        <w:tc>
          <w:tcPr/>
          <w:p>
            <w:pPr>
              <w:pStyle w:val="Compact"/>
              <w:jc w:val="left"/>
            </w:pPr>
            <w:r>
              <w:rPr>
                <w:rFonts w:hint="eastAsia"/>
              </w:rPr>
              <w:t xml:space="preserve">海南</w:t>
            </w:r>
          </w:p>
        </w:tc>
        <w:tc>
          <w:tcPr/>
          <w:p>
            <w:pPr>
              <w:pStyle w:val="Compact"/>
              <w:jc w:val="center"/>
            </w:pPr>
            <w:r>
              <w:t xml:space="preserve">0.346</w:t>
            </w:r>
          </w:p>
        </w:tc>
        <w:tc>
          <w:tcPr/>
          <w:p>
            <w:pPr>
              <w:pStyle w:val="Compact"/>
              <w:jc w:val="center"/>
            </w:pPr>
            <w:r>
              <w:t xml:space="preserve">0.35</w:t>
            </w:r>
          </w:p>
        </w:tc>
        <w:tc>
          <w:tcPr/>
          <w:p>
            <w:pPr>
              <w:pStyle w:val="Compact"/>
              <w:jc w:val="center"/>
            </w:pPr>
            <w:r>
              <w:t xml:space="preserve">0.52</w:t>
            </w:r>
          </w:p>
        </w:tc>
        <w:tc>
          <w:tcPr/>
          <w:p>
            <w:pPr>
              <w:pStyle w:val="Compact"/>
              <w:jc w:val="center"/>
            </w:pPr>
            <w:r>
              <w:t xml:space="preserve">0.28</w:t>
            </w:r>
          </w:p>
        </w:tc>
        <w:tc>
          <w:tcPr/>
          <w:p>
            <w:pPr>
              <w:pStyle w:val="Compact"/>
              <w:jc w:val="center"/>
            </w:pPr>
            <w:r>
              <w:t xml:space="preserve">0.15</w:t>
            </w:r>
          </w:p>
        </w:tc>
        <w:tc>
          <w:tcPr/>
          <w:p>
            <w:pPr>
              <w:pStyle w:val="Compact"/>
              <w:jc w:val="center"/>
            </w:pPr>
            <w:r>
              <w:t xml:space="preserve">0.48</w:t>
            </w:r>
          </w:p>
        </w:tc>
      </w:tr>
      <w:tr>
        <w:tc>
          <w:tcPr/>
          <w:p>
            <w:pPr>
              <w:pStyle w:val="Compact"/>
              <w:jc w:val="left"/>
            </w:pPr>
            <w:r>
              <w:rPr>
                <w:rFonts w:hint="eastAsia"/>
              </w:rPr>
              <w:t xml:space="preserve">辽宁</w:t>
            </w:r>
          </w:p>
        </w:tc>
        <w:tc>
          <w:tcPr/>
          <w:p>
            <w:pPr>
              <w:pStyle w:val="Compact"/>
              <w:jc w:val="center"/>
            </w:pPr>
            <w:r>
              <w:t xml:space="preserve">0.317</w:t>
            </w:r>
          </w:p>
        </w:tc>
        <w:tc>
          <w:tcPr/>
          <w:p>
            <w:pPr>
              <w:pStyle w:val="Compact"/>
              <w:jc w:val="center"/>
            </w:pPr>
            <w:r>
              <w:t xml:space="preserve">0.42</w:t>
            </w:r>
          </w:p>
        </w:tc>
        <w:tc>
          <w:tcPr/>
          <w:p>
            <w:pPr>
              <w:pStyle w:val="Compact"/>
              <w:jc w:val="center"/>
            </w:pPr>
            <w:r>
              <w:t xml:space="preserve">0.38</w:t>
            </w:r>
          </w:p>
        </w:tc>
        <w:tc>
          <w:tcPr/>
          <w:p>
            <w:pPr>
              <w:pStyle w:val="Compact"/>
              <w:jc w:val="center"/>
            </w:pPr>
            <w:r>
              <w:t xml:space="preserve">0.58</w:t>
            </w:r>
          </w:p>
        </w:tc>
        <w:tc>
          <w:tcPr/>
          <w:p>
            <w:pPr>
              <w:pStyle w:val="Compact"/>
              <w:jc w:val="center"/>
            </w:pPr>
            <w:r>
              <w:t xml:space="preserve">0.12</w:t>
            </w:r>
          </w:p>
        </w:tc>
        <w:tc>
          <w:tcPr/>
          <w:p>
            <w:pPr>
              <w:pStyle w:val="Compact"/>
              <w:jc w:val="center"/>
            </w:pPr>
            <w:r>
              <w:t xml:space="preserve">0.35</w:t>
            </w:r>
          </w:p>
        </w:tc>
      </w:tr>
      <w:tr>
        <w:tc>
          <w:tcPr/>
          <w:p>
            <w:pPr>
              <w:pStyle w:val="Compact"/>
              <w:jc w:val="left"/>
            </w:pPr>
            <w:r>
              <w:rPr>
                <w:rFonts w:hint="eastAsia"/>
              </w:rPr>
              <w:t xml:space="preserve">河北</w:t>
            </w:r>
          </w:p>
        </w:tc>
        <w:tc>
          <w:tcPr/>
          <w:p>
            <w:pPr>
              <w:pStyle w:val="Compact"/>
              <w:jc w:val="center"/>
            </w:pPr>
            <w:r>
              <w:t xml:space="preserve">0.300</w:t>
            </w:r>
          </w:p>
        </w:tc>
        <w:tc>
          <w:tcPr/>
          <w:p>
            <w:pPr>
              <w:pStyle w:val="Compact"/>
              <w:jc w:val="center"/>
            </w:pPr>
            <w:r>
              <w:t xml:space="preserve">0.52</w:t>
            </w:r>
          </w:p>
        </w:tc>
        <w:tc>
          <w:tcPr/>
          <w:p>
            <w:pPr>
              <w:pStyle w:val="Compact"/>
              <w:jc w:val="center"/>
            </w:pPr>
            <w:r>
              <w:t xml:space="preserve">0.35</w:t>
            </w:r>
          </w:p>
        </w:tc>
        <w:tc>
          <w:tcPr/>
          <w:p>
            <w:pPr>
              <w:pStyle w:val="Compact"/>
              <w:jc w:val="center"/>
            </w:pPr>
            <w:r>
              <w:t xml:space="preserve">0.38</w:t>
            </w:r>
          </w:p>
        </w:tc>
        <w:tc>
          <w:tcPr/>
          <w:p>
            <w:pPr>
              <w:pStyle w:val="Compact"/>
              <w:jc w:val="center"/>
            </w:pPr>
            <w:r>
              <w:t xml:space="preserve">0.18</w:t>
            </w:r>
          </w:p>
        </w:tc>
        <w:tc>
          <w:tcPr/>
          <w:p>
            <w:pPr>
              <w:pStyle w:val="Compact"/>
              <w:jc w:val="center"/>
            </w:pPr>
            <w:r>
              <w:t xml:space="preserve">0.42</w:t>
            </w:r>
          </w:p>
        </w:tc>
      </w:tr>
      <w:tr>
        <w:tc>
          <w:tcPr/>
          <w:p>
            <w:pPr>
              <w:pStyle w:val="Compact"/>
              <w:jc w:val="left"/>
            </w:pPr>
            <w:r>
              <w:rPr>
                <w:rFonts w:hint="eastAsia"/>
              </w:rPr>
              <w:t xml:space="preserve">云南</w:t>
            </w:r>
          </w:p>
        </w:tc>
        <w:tc>
          <w:tcPr/>
          <w:p>
            <w:pPr>
              <w:pStyle w:val="Compact"/>
              <w:jc w:val="center"/>
            </w:pPr>
            <w:r>
              <w:t xml:space="preserve">0.256</w:t>
            </w:r>
          </w:p>
        </w:tc>
        <w:tc>
          <w:tcPr/>
          <w:p>
            <w:pPr>
              <w:pStyle w:val="Compact"/>
              <w:jc w:val="center"/>
            </w:pPr>
            <w:r>
              <w:t xml:space="preserve">0.28</w:t>
            </w:r>
          </w:p>
        </w:tc>
        <w:tc>
          <w:tcPr/>
          <w:p>
            <w:pPr>
              <w:pStyle w:val="Compact"/>
              <w:jc w:val="center"/>
            </w:pPr>
            <w:r>
              <w:t xml:space="preserve">0.42</w:t>
            </w:r>
          </w:p>
        </w:tc>
        <w:tc>
          <w:tcPr/>
          <w:p>
            <w:pPr>
              <w:pStyle w:val="Compact"/>
              <w:jc w:val="center"/>
            </w:pPr>
            <w:r>
              <w:t xml:space="preserve">0.22</w:t>
            </w:r>
          </w:p>
        </w:tc>
        <w:tc>
          <w:tcPr/>
          <w:p>
            <w:pPr>
              <w:pStyle w:val="Compact"/>
              <w:jc w:val="center"/>
            </w:pPr>
            <w:r>
              <w:t xml:space="preserve">0.14</w:t>
            </w:r>
          </w:p>
        </w:tc>
        <w:tc>
          <w:tcPr/>
          <w:p>
            <w:pPr>
              <w:pStyle w:val="Compact"/>
              <w:jc w:val="center"/>
            </w:pPr>
            <w:r>
              <w:t xml:space="preserve">0.55</w:t>
            </w:r>
          </w:p>
        </w:tc>
      </w:tr>
      <w:tr>
        <w:tc>
          <w:tcPr/>
          <w:p>
            <w:pPr>
              <w:pStyle w:val="Compact"/>
              <w:jc w:val="left"/>
            </w:pPr>
            <w:r>
              <w:rPr>
                <w:rFonts w:hint="eastAsia"/>
              </w:rPr>
              <w:t xml:space="preserve">黑龙江</w:t>
            </w:r>
          </w:p>
        </w:tc>
        <w:tc>
          <w:tcPr/>
          <w:p>
            <w:pPr>
              <w:pStyle w:val="Compact"/>
              <w:jc w:val="center"/>
            </w:pPr>
            <w:r>
              <w:t xml:space="preserve">0.218</w:t>
            </w:r>
          </w:p>
        </w:tc>
        <w:tc>
          <w:tcPr/>
          <w:p>
            <w:pPr>
              <w:pStyle w:val="Compact"/>
              <w:jc w:val="center"/>
            </w:pPr>
            <w:r>
              <w:t xml:space="preserve">0.32</w:t>
            </w:r>
          </w:p>
        </w:tc>
        <w:tc>
          <w:tcPr/>
          <w:p>
            <w:pPr>
              <w:pStyle w:val="Compact"/>
              <w:jc w:val="center"/>
            </w:pPr>
            <w:r>
              <w:t xml:space="preserve">0.28</w:t>
            </w:r>
          </w:p>
        </w:tc>
        <w:tc>
          <w:tcPr/>
          <w:p>
            <w:pPr>
              <w:pStyle w:val="Compact"/>
              <w:jc w:val="center"/>
            </w:pPr>
            <w:r>
              <w:t xml:space="preserve">0.25</w:t>
            </w:r>
          </w:p>
        </w:tc>
        <w:tc>
          <w:tcPr/>
          <w:p>
            <w:pPr>
              <w:pStyle w:val="Compact"/>
              <w:jc w:val="center"/>
            </w:pPr>
            <w:r>
              <w:t xml:space="preserve">0.08</w:t>
            </w:r>
          </w:p>
        </w:tc>
        <w:tc>
          <w:tcPr/>
          <w:p>
            <w:pPr>
              <w:pStyle w:val="Compact"/>
              <w:jc w:val="center"/>
            </w:pPr>
            <w:r>
              <w:t xml:space="preserve">0.32</w:t>
            </w:r>
          </w:p>
        </w:tc>
      </w:tr>
      <w:tr>
        <w:tc>
          <w:tcPr/>
          <w:p>
            <w:pPr>
              <w:pStyle w:val="Compact"/>
              <w:jc w:val="left"/>
            </w:pPr>
            <w:r>
              <w:rPr>
                <w:rFonts w:hint="eastAsia"/>
              </w:rPr>
              <w:t xml:space="preserve">山西</w:t>
            </w:r>
          </w:p>
        </w:tc>
        <w:tc>
          <w:tcPr/>
          <w:p>
            <w:pPr>
              <w:pStyle w:val="Compact"/>
              <w:jc w:val="center"/>
            </w:pPr>
            <w:r>
              <w:t xml:space="preserve">0.196</w:t>
            </w:r>
          </w:p>
        </w:tc>
        <w:tc>
          <w:tcPr/>
          <w:p>
            <w:pPr>
              <w:pStyle w:val="Compact"/>
              <w:jc w:val="center"/>
            </w:pPr>
            <w:r>
              <w:t xml:space="preserve">0.45</w:t>
            </w:r>
          </w:p>
        </w:tc>
        <w:tc>
          <w:tcPr/>
          <w:p>
            <w:pPr>
              <w:pStyle w:val="Compact"/>
              <w:jc w:val="center"/>
            </w:pPr>
            <w:r>
              <w:t xml:space="preserve">0.32</w:t>
            </w:r>
          </w:p>
        </w:tc>
        <w:tc>
          <w:tcPr/>
          <w:p>
            <w:pPr>
              <w:pStyle w:val="Compact"/>
              <w:jc w:val="center"/>
            </w:pPr>
            <w:r>
              <w:t xml:space="preserve">0.28</w:t>
            </w:r>
          </w:p>
        </w:tc>
        <w:tc>
          <w:tcPr/>
          <w:p>
            <w:pPr>
              <w:pStyle w:val="Compact"/>
              <w:jc w:val="center"/>
            </w:pPr>
            <w:r>
              <w:t xml:space="preserve">0.11</w:t>
            </w:r>
          </w:p>
        </w:tc>
        <w:tc>
          <w:tcPr/>
          <w:p>
            <w:pPr>
              <w:pStyle w:val="Compact"/>
              <w:jc w:val="center"/>
            </w:pPr>
            <w:r>
              <w:t xml:space="preserve">0.28</w:t>
            </w:r>
          </w:p>
        </w:tc>
      </w:tr>
      <w:tr>
        <w:tc>
          <w:tcPr/>
          <w:p>
            <w:pPr>
              <w:pStyle w:val="Compact"/>
              <w:jc w:val="left"/>
            </w:pPr>
            <w:r>
              <w:rPr>
                <w:rFonts w:hint="eastAsia"/>
              </w:rPr>
              <w:t xml:space="preserve">新疆</w:t>
            </w:r>
          </w:p>
        </w:tc>
        <w:tc>
          <w:tcPr/>
          <w:p>
            <w:pPr>
              <w:pStyle w:val="Compact"/>
              <w:jc w:val="center"/>
            </w:pPr>
            <w:r>
              <w:t xml:space="preserve">0.157</w:t>
            </w:r>
          </w:p>
        </w:tc>
        <w:tc>
          <w:tcPr/>
          <w:p>
            <w:pPr>
              <w:pStyle w:val="Compact"/>
              <w:jc w:val="center"/>
            </w:pPr>
            <w:r>
              <w:t xml:space="preserve">0.18</w:t>
            </w:r>
          </w:p>
        </w:tc>
        <w:tc>
          <w:tcPr/>
          <w:p>
            <w:pPr>
              <w:pStyle w:val="Compact"/>
              <w:jc w:val="center"/>
            </w:pPr>
            <w:r>
              <w:t xml:space="preserve">0.21</w:t>
            </w:r>
          </w:p>
        </w:tc>
        <w:tc>
          <w:tcPr/>
          <w:p>
            <w:pPr>
              <w:pStyle w:val="Compact"/>
              <w:jc w:val="center"/>
            </w:pPr>
            <w:r>
              <w:t xml:space="preserve">0.15</w:t>
            </w:r>
          </w:p>
        </w:tc>
        <w:tc>
          <w:tcPr/>
          <w:p>
            <w:pPr>
              <w:pStyle w:val="Compact"/>
              <w:jc w:val="center"/>
            </w:pPr>
            <w:r>
              <w:t xml:space="preserve">0.05</w:t>
            </w:r>
          </w:p>
        </w:tc>
        <w:tc>
          <w:tcPr/>
          <w:p>
            <w:pPr>
              <w:pStyle w:val="Compact"/>
              <w:jc w:val="center"/>
            </w:pPr>
            <w:r>
              <w:t xml:space="preserve">0.42</w:t>
            </w:r>
          </w:p>
        </w:tc>
      </w:tr>
    </w:tbl>
    <w:bookmarkEnd w:id="230"/>
    <w:bookmarkStart w:id="231" w:name="c.3-dematel分析完整矩阵"/>
    <w:p>
      <w:pPr>
        <w:pStyle w:val="Heading3"/>
        <w:spacing w:line="360" w:lineRule="auto"/>
      </w:pPr>
      <w:r>
        <w:rPr>
          <w:rFonts w:ascii="黑体" w:hAnsi="黑体" w:eastAsia="黑体"/>
          <w:b/>
          <w:color w:val="000000"/>
          <w:sz w:val="24"/>
        </w:rPr>
        <w:t xml:space="preserve">C.3 </w:t>
      </w:r>
      <w:r>
        <w:rPr>
          <w:rFonts w:hint="eastAsia" w:ascii="黑体" w:hAnsi="黑体" w:eastAsia="黑体"/>
          <w:b/>
          <w:color w:val="000000"/>
          <w:sz w:val="24"/>
        </w:rPr>
        <w:t xml:space="preserve">DEMATEL分析完整矩阵</w:t>
      </w:r>
    </w:p>
    <w:p>
      <w:pPr>
        <w:pStyle w:val="FirstParagraph"/>
        <w:spacing w:line="360" w:lineRule="auto"/>
      </w:pPr>
      <w:r>
        <w:rPr>
          <w:rFonts w:hint="eastAsia" w:ascii="宋体" w:hAnsi="宋体" w:eastAsia="宋体"/>
          <w:b/>
          <w:bCs/>
          <w:color w:val="000000"/>
          <w:sz w:val="24"/>
        </w:rPr>
        <w:t xml:space="preserve">表C-3</w:t>
      </w:r>
      <w:r>
        <w:rPr>
          <w:rFonts w:ascii="宋体" w:hAnsi="宋体" w:eastAsia="宋体"/>
          <w:b/>
          <w:bCs/>
          <w:color w:val="000000"/>
          <w:sz w:val="24"/>
        </w:rPr>
        <w:t xml:space="preserve"> </w:t>
      </w:r>
      <w:r>
        <w:rPr>
          <w:rFonts w:hint="eastAsia" w:ascii="宋体" w:hAnsi="宋体" w:eastAsia="宋体"/>
          <w:b/>
          <w:bCs/>
          <w:color w:val="000000"/>
          <w:sz w:val="24"/>
        </w:rPr>
        <w:t xml:space="preserve">DEMATEL直接影响矩阵（专家评分均值）</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rFonts w:hint="eastAsia"/>
              </w:rPr>
              <w:t xml:space="preserve">因素</w:t>
            </w:r>
          </w:p>
        </w:tc>
        <w:tc>
          <w:tcPr/>
          <w:p>
            <w:pPr>
              <w:pStyle w:val="Compact"/>
              <w:jc w:val="center"/>
            </w:pPr>
            <w:r>
              <w:t xml:space="preserve">PL</w:t>
            </w:r>
          </w:p>
        </w:tc>
        <w:tc>
          <w:tcPr/>
          <w:p>
            <w:pPr>
              <w:pStyle w:val="Compact"/>
              <w:jc w:val="center"/>
            </w:pPr>
            <w:r>
              <w:t xml:space="preserve">OG</w:t>
            </w:r>
          </w:p>
        </w:tc>
        <w:tc>
          <w:tcPr/>
          <w:p>
            <w:pPr>
              <w:pStyle w:val="Compact"/>
              <w:jc w:val="center"/>
            </w:pPr>
            <w:r>
              <w:t xml:space="preserve">PC</w:t>
            </w:r>
          </w:p>
        </w:tc>
        <w:tc>
          <w:tcPr/>
          <w:p>
            <w:pPr>
              <w:pStyle w:val="Compact"/>
              <w:jc w:val="center"/>
            </w:pPr>
            <w:r>
              <w:t xml:space="preserve">DQ</w:t>
            </w:r>
          </w:p>
        </w:tc>
        <w:tc>
          <w:tcPr/>
          <w:p>
            <w:pPr>
              <w:pStyle w:val="Compact"/>
              <w:jc w:val="center"/>
            </w:pPr>
            <w:r>
              <w:t xml:space="preserve">AE</w:t>
            </w:r>
          </w:p>
        </w:tc>
        <w:tc>
          <w:tcPr/>
          <w:p>
            <w:pPr>
              <w:pStyle w:val="Compact"/>
              <w:jc w:val="center"/>
            </w:pPr>
            <w:r>
              <w:t xml:space="preserve">OP</w:t>
            </w:r>
          </w:p>
        </w:tc>
      </w:tr>
      <w:tr>
        <w:tc>
          <w:tcPr/>
          <w:p>
            <w:pPr>
              <w:pStyle w:val="Compact"/>
              <w:jc w:val="left"/>
            </w:pPr>
            <w:r>
              <w:t xml:space="preserve">PL</w:t>
            </w:r>
          </w:p>
        </w:tc>
        <w:tc>
          <w:tcPr/>
          <w:p>
            <w:pPr>
              <w:pStyle w:val="Compact"/>
              <w:jc w:val="center"/>
            </w:pPr>
            <w:r>
              <w:t xml:space="preserve">0</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2</w:t>
            </w:r>
          </w:p>
        </w:tc>
      </w:tr>
      <w:tr>
        <w:tc>
          <w:tcPr/>
          <w:p>
            <w:pPr>
              <w:pStyle w:val="Compact"/>
              <w:jc w:val="left"/>
            </w:pPr>
            <w:r>
              <w:t xml:space="preserve">OG</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2</w:t>
            </w:r>
          </w:p>
        </w:tc>
      </w:tr>
      <w:tr>
        <w:tc>
          <w:tcPr/>
          <w:p>
            <w:pPr>
              <w:pStyle w:val="Compact"/>
              <w:jc w:val="left"/>
            </w:pPr>
            <w:r>
              <w:t xml:space="preserve">PC</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1</w:t>
            </w:r>
          </w:p>
        </w:tc>
      </w:tr>
      <w:tr>
        <w:tc>
          <w:tcPr/>
          <w:p>
            <w:pPr>
              <w:pStyle w:val="Compact"/>
              <w:jc w:val="left"/>
            </w:pPr>
            <w:r>
              <w:t xml:space="preserve">DQ</w:t>
            </w:r>
          </w:p>
        </w:tc>
        <w:tc>
          <w:tcPr/>
          <w:p>
            <w:pPr>
              <w:pStyle w:val="Compact"/>
              <w:jc w:val="center"/>
            </w:pPr>
            <w:r>
              <w:t xml:space="preserve">2</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3</w:t>
            </w:r>
          </w:p>
        </w:tc>
        <w:tc>
          <w:tcPr/>
          <w:p>
            <w:pPr>
              <w:pStyle w:val="Compact"/>
              <w:jc w:val="center"/>
            </w:pPr>
            <w:r>
              <w:t xml:space="preserve">1</w:t>
            </w:r>
          </w:p>
        </w:tc>
      </w:tr>
      <w:tr>
        <w:tc>
          <w:tcPr/>
          <w:p>
            <w:pPr>
              <w:pStyle w:val="Compact"/>
              <w:jc w:val="left"/>
            </w:pPr>
            <w:r>
              <w:t xml:space="preserve">AE</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r>
      <w:tr>
        <w:tc>
          <w:tcPr/>
          <w:p>
            <w:pPr>
              <w:pStyle w:val="Compact"/>
              <w:jc w:val="left"/>
            </w:pPr>
            <w:r>
              <w:t xml:space="preserve">OP</w:t>
            </w:r>
          </w:p>
        </w:tc>
        <w:tc>
          <w:tcPr/>
          <w:p>
            <w:pPr>
              <w:pStyle w:val="Compact"/>
              <w:jc w:val="center"/>
            </w:pPr>
            <w:r>
              <w:t xml:space="preserve">2</w:t>
            </w:r>
          </w:p>
        </w:tc>
        <w:tc>
          <w:tcPr/>
          <w:p>
            <w:pPr>
              <w:pStyle w:val="Compact"/>
              <w:jc w:val="center"/>
            </w:pPr>
            <w:r>
              <w:t xml:space="preserve">2</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0</w:t>
            </w:r>
          </w:p>
        </w:tc>
      </w:tr>
    </w:tbl>
    <w:p>
      <w:pPr>
        <w:pStyle w:val="BodyText"/>
        <w:spacing w:line="360" w:lineRule="auto"/>
      </w:pPr>
      <w:r>
        <w:rPr>
          <w:rFonts w:hint="eastAsia" w:ascii="宋体" w:hAnsi="宋体" w:eastAsia="宋体"/>
          <w:b/>
          <w:bCs/>
          <w:color w:val="000000"/>
          <w:sz w:val="24"/>
        </w:rPr>
        <w:t xml:space="preserve">表C-4</w:t>
      </w:r>
      <w:r>
        <w:rPr>
          <w:rFonts w:ascii="宋体" w:hAnsi="宋体" w:eastAsia="宋体"/>
          <w:b/>
          <w:bCs/>
          <w:color w:val="000000"/>
          <w:sz w:val="24"/>
        </w:rPr>
        <w:t xml:space="preserve"> </w:t>
      </w:r>
      <w:r>
        <w:rPr>
          <w:rFonts w:hint="eastAsia" w:ascii="宋体" w:hAnsi="宋体" w:eastAsia="宋体"/>
          <w:b/>
          <w:bCs/>
          <w:color w:val="000000"/>
          <w:sz w:val="24"/>
        </w:rPr>
        <w:t xml:space="preserve">DEMATEL综合影响矩阵</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rFonts w:hint="eastAsia"/>
              </w:rPr>
              <w:t xml:space="preserve">因素</w:t>
            </w:r>
          </w:p>
        </w:tc>
        <w:tc>
          <w:tcPr/>
          <w:p>
            <w:pPr>
              <w:pStyle w:val="Compact"/>
              <w:jc w:val="center"/>
            </w:pPr>
            <w:r>
              <w:t xml:space="preserve">PL</w:t>
            </w:r>
          </w:p>
        </w:tc>
        <w:tc>
          <w:tcPr/>
          <w:p>
            <w:pPr>
              <w:pStyle w:val="Compact"/>
              <w:jc w:val="center"/>
            </w:pPr>
            <w:r>
              <w:t xml:space="preserve">OG</w:t>
            </w:r>
          </w:p>
        </w:tc>
        <w:tc>
          <w:tcPr/>
          <w:p>
            <w:pPr>
              <w:pStyle w:val="Compact"/>
              <w:jc w:val="center"/>
            </w:pPr>
            <w:r>
              <w:t xml:space="preserve">PC</w:t>
            </w:r>
          </w:p>
        </w:tc>
        <w:tc>
          <w:tcPr/>
          <w:p>
            <w:pPr>
              <w:pStyle w:val="Compact"/>
              <w:jc w:val="center"/>
            </w:pPr>
            <w:r>
              <w:t xml:space="preserve">DQ</w:t>
            </w:r>
          </w:p>
        </w:tc>
        <w:tc>
          <w:tcPr/>
          <w:p>
            <w:pPr>
              <w:pStyle w:val="Compact"/>
              <w:jc w:val="center"/>
            </w:pPr>
            <w:r>
              <w:t xml:space="preserve">AE</w:t>
            </w:r>
          </w:p>
        </w:tc>
        <w:tc>
          <w:tcPr/>
          <w:p>
            <w:pPr>
              <w:pStyle w:val="Compact"/>
              <w:jc w:val="center"/>
            </w:pPr>
            <w:r>
              <w:t xml:space="preserve">OP</w:t>
            </w:r>
          </w:p>
        </w:tc>
      </w:tr>
      <w:tr>
        <w:tc>
          <w:tcPr/>
          <w:p>
            <w:pPr>
              <w:pStyle w:val="Compact"/>
              <w:jc w:val="left"/>
            </w:pPr>
            <w:r>
              <w:t xml:space="preserve">PL</w:t>
            </w:r>
          </w:p>
        </w:tc>
        <w:tc>
          <w:tcPr/>
          <w:p>
            <w:pPr>
              <w:pStyle w:val="Compact"/>
              <w:jc w:val="center"/>
            </w:pPr>
            <w:r>
              <w:t xml:space="preserve">0.42</w:t>
            </w:r>
          </w:p>
        </w:tc>
        <w:tc>
          <w:tcPr/>
          <w:p>
            <w:pPr>
              <w:pStyle w:val="Compact"/>
              <w:jc w:val="center"/>
            </w:pPr>
            <w:r>
              <w:t xml:space="preserve">0.78</w:t>
            </w:r>
          </w:p>
        </w:tc>
        <w:tc>
          <w:tcPr/>
          <w:p>
            <w:pPr>
              <w:pStyle w:val="Compact"/>
              <w:jc w:val="center"/>
            </w:pPr>
            <w:r>
              <w:t xml:space="preserve">0.92</w:t>
            </w:r>
          </w:p>
        </w:tc>
        <w:tc>
          <w:tcPr/>
          <w:p>
            <w:pPr>
              <w:pStyle w:val="Compact"/>
              <w:jc w:val="center"/>
            </w:pPr>
            <w:r>
              <w:t xml:space="preserve">0.95</w:t>
            </w:r>
          </w:p>
        </w:tc>
        <w:tc>
          <w:tcPr/>
          <w:p>
            <w:pPr>
              <w:pStyle w:val="Compact"/>
              <w:jc w:val="center"/>
            </w:pPr>
            <w:r>
              <w:t xml:space="preserve">0.68</w:t>
            </w:r>
          </w:p>
        </w:tc>
        <w:tc>
          <w:tcPr/>
          <w:p>
            <w:pPr>
              <w:pStyle w:val="Compact"/>
              <w:jc w:val="center"/>
            </w:pPr>
            <w:r>
              <w:t xml:space="preserve">0.52</w:t>
            </w:r>
          </w:p>
        </w:tc>
      </w:tr>
      <w:tr>
        <w:tc>
          <w:tcPr/>
          <w:p>
            <w:pPr>
              <w:pStyle w:val="Compact"/>
              <w:jc w:val="left"/>
            </w:pPr>
            <w:r>
              <w:t xml:space="preserve">OG</w:t>
            </w:r>
          </w:p>
        </w:tc>
        <w:tc>
          <w:tcPr/>
          <w:p>
            <w:pPr>
              <w:pStyle w:val="Compact"/>
              <w:jc w:val="center"/>
            </w:pPr>
            <w:r>
              <w:t xml:space="preserve">0.58</w:t>
            </w:r>
          </w:p>
        </w:tc>
        <w:tc>
          <w:tcPr/>
          <w:p>
            <w:pPr>
              <w:pStyle w:val="Compact"/>
              <w:jc w:val="center"/>
            </w:pPr>
            <w:r>
              <w:t xml:space="preserve">0.35</w:t>
            </w:r>
          </w:p>
        </w:tc>
        <w:tc>
          <w:tcPr/>
          <w:p>
            <w:pPr>
              <w:pStyle w:val="Compact"/>
              <w:jc w:val="center"/>
            </w:pPr>
            <w:r>
              <w:t xml:space="preserve">0.88</w:t>
            </w:r>
          </w:p>
        </w:tc>
        <w:tc>
          <w:tcPr/>
          <w:p>
            <w:pPr>
              <w:pStyle w:val="Compact"/>
              <w:jc w:val="center"/>
            </w:pPr>
            <w:r>
              <w:t xml:space="preserve">0.72</w:t>
            </w:r>
          </w:p>
        </w:tc>
        <w:tc>
          <w:tcPr/>
          <w:p>
            <w:pPr>
              <w:pStyle w:val="Compact"/>
              <w:jc w:val="center"/>
            </w:pPr>
            <w:r>
              <w:t xml:space="preserve">0.75</w:t>
            </w:r>
          </w:p>
        </w:tc>
        <w:tc>
          <w:tcPr/>
          <w:p>
            <w:pPr>
              <w:pStyle w:val="Compact"/>
              <w:jc w:val="center"/>
            </w:pPr>
            <w:r>
              <w:t xml:space="preserve">0.48</w:t>
            </w:r>
          </w:p>
        </w:tc>
      </w:tr>
      <w:tr>
        <w:tc>
          <w:tcPr/>
          <w:p>
            <w:pPr>
              <w:pStyle w:val="Compact"/>
              <w:jc w:val="left"/>
            </w:pPr>
            <w:r>
              <w:t xml:space="preserve">PC</w:t>
            </w:r>
          </w:p>
        </w:tc>
        <w:tc>
          <w:tcPr/>
          <w:p>
            <w:pPr>
              <w:pStyle w:val="Compact"/>
              <w:jc w:val="center"/>
            </w:pPr>
            <w:r>
              <w:t xml:space="preserve">0.32</w:t>
            </w:r>
          </w:p>
        </w:tc>
        <w:tc>
          <w:tcPr/>
          <w:p>
            <w:pPr>
              <w:pStyle w:val="Compact"/>
              <w:jc w:val="center"/>
            </w:pPr>
            <w:r>
              <w:t xml:space="preserve">0.45</w:t>
            </w:r>
          </w:p>
        </w:tc>
        <w:tc>
          <w:tcPr/>
          <w:p>
            <w:pPr>
              <w:pStyle w:val="Compact"/>
              <w:jc w:val="center"/>
            </w:pPr>
            <w:r>
              <w:t xml:space="preserve">0.28</w:t>
            </w:r>
          </w:p>
        </w:tc>
        <w:tc>
          <w:tcPr/>
          <w:p>
            <w:pPr>
              <w:pStyle w:val="Compact"/>
              <w:jc w:val="center"/>
            </w:pPr>
            <w:r>
              <w:t xml:space="preserve">0.48</w:t>
            </w:r>
          </w:p>
        </w:tc>
        <w:tc>
          <w:tcPr/>
          <w:p>
            <w:pPr>
              <w:pStyle w:val="Compact"/>
              <w:jc w:val="center"/>
            </w:pPr>
            <w:r>
              <w:t xml:space="preserve">0.62</w:t>
            </w:r>
          </w:p>
        </w:tc>
        <w:tc>
          <w:tcPr/>
          <w:p>
            <w:pPr>
              <w:pStyle w:val="Compact"/>
              <w:jc w:val="center"/>
            </w:pPr>
            <w:r>
              <w:t xml:space="preserve">0.35</w:t>
            </w:r>
          </w:p>
        </w:tc>
      </w:tr>
      <w:tr>
        <w:tc>
          <w:tcPr/>
          <w:p>
            <w:pPr>
              <w:pStyle w:val="Compact"/>
              <w:jc w:val="left"/>
            </w:pPr>
            <w:r>
              <w:t xml:space="preserve">DQ</w:t>
            </w:r>
          </w:p>
        </w:tc>
        <w:tc>
          <w:tcPr/>
          <w:p>
            <w:pPr>
              <w:pStyle w:val="Compact"/>
              <w:jc w:val="center"/>
            </w:pPr>
            <w:r>
              <w:t xml:space="preserve">0.38</w:t>
            </w:r>
          </w:p>
        </w:tc>
        <w:tc>
          <w:tcPr/>
          <w:p>
            <w:pPr>
              <w:pStyle w:val="Compact"/>
              <w:jc w:val="center"/>
            </w:pPr>
            <w:r>
              <w:t xml:space="preserve">0.35</w:t>
            </w:r>
          </w:p>
        </w:tc>
        <w:tc>
          <w:tcPr/>
          <w:p>
            <w:pPr>
              <w:pStyle w:val="Compact"/>
              <w:jc w:val="center"/>
            </w:pPr>
            <w:r>
              <w:t xml:space="preserve">0.42</w:t>
            </w:r>
          </w:p>
        </w:tc>
        <w:tc>
          <w:tcPr/>
          <w:p>
            <w:pPr>
              <w:pStyle w:val="Compact"/>
              <w:jc w:val="center"/>
            </w:pPr>
            <w:r>
              <w:t xml:space="preserve">0.32</w:t>
            </w:r>
          </w:p>
        </w:tc>
        <w:tc>
          <w:tcPr/>
          <w:p>
            <w:pPr>
              <w:pStyle w:val="Compact"/>
              <w:jc w:val="center"/>
            </w:pPr>
            <w:r>
              <w:t xml:space="preserve">0.58</w:t>
            </w:r>
          </w:p>
        </w:tc>
        <w:tc>
          <w:tcPr/>
          <w:p>
            <w:pPr>
              <w:pStyle w:val="Compact"/>
              <w:jc w:val="center"/>
            </w:pPr>
            <w:r>
              <w:t xml:space="preserve">0.28</w:t>
            </w:r>
          </w:p>
        </w:tc>
      </w:tr>
      <w:tr>
        <w:tc>
          <w:tcPr/>
          <w:p>
            <w:pPr>
              <w:pStyle w:val="Compact"/>
              <w:jc w:val="left"/>
            </w:pPr>
            <w:r>
              <w:t xml:space="preserve">AE</w:t>
            </w:r>
          </w:p>
        </w:tc>
        <w:tc>
          <w:tcPr/>
          <w:p>
            <w:pPr>
              <w:pStyle w:val="Compact"/>
              <w:jc w:val="center"/>
            </w:pPr>
            <w:r>
              <w:t xml:space="preserve">0.22</w:t>
            </w:r>
          </w:p>
        </w:tc>
        <w:tc>
          <w:tcPr/>
          <w:p>
            <w:pPr>
              <w:pStyle w:val="Compact"/>
              <w:jc w:val="center"/>
            </w:pPr>
            <w:r>
              <w:t xml:space="preserve">0.28</w:t>
            </w:r>
          </w:p>
        </w:tc>
        <w:tc>
          <w:tcPr/>
          <w:p>
            <w:pPr>
              <w:pStyle w:val="Compact"/>
              <w:jc w:val="center"/>
            </w:pPr>
            <w:r>
              <w:t xml:space="preserve">0.32</w:t>
            </w:r>
          </w:p>
        </w:tc>
        <w:tc>
          <w:tcPr/>
          <w:p>
            <w:pPr>
              <w:pStyle w:val="Compact"/>
              <w:jc w:val="center"/>
            </w:pPr>
            <w:r>
              <w:t xml:space="preserve">0.35</w:t>
            </w:r>
          </w:p>
        </w:tc>
        <w:tc>
          <w:tcPr/>
          <w:p>
            <w:pPr>
              <w:pStyle w:val="Compact"/>
              <w:jc w:val="center"/>
            </w:pPr>
            <w:r>
              <w:t xml:space="preserve">0.18</w:t>
            </w:r>
          </w:p>
        </w:tc>
        <w:tc>
          <w:tcPr/>
          <w:p>
            <w:pPr>
              <w:pStyle w:val="Compact"/>
              <w:jc w:val="center"/>
            </w:pPr>
            <w:r>
              <w:t xml:space="preserve">0.22</w:t>
            </w:r>
          </w:p>
        </w:tc>
      </w:tr>
      <w:tr>
        <w:tc>
          <w:tcPr/>
          <w:p>
            <w:pPr>
              <w:pStyle w:val="Compact"/>
              <w:jc w:val="left"/>
            </w:pPr>
            <w:r>
              <w:t xml:space="preserve">OP</w:t>
            </w:r>
          </w:p>
        </w:tc>
        <w:tc>
          <w:tcPr/>
          <w:p>
            <w:pPr>
              <w:pStyle w:val="Compact"/>
              <w:jc w:val="center"/>
            </w:pPr>
            <w:r>
              <w:t xml:space="preserve">0.35</w:t>
            </w:r>
          </w:p>
        </w:tc>
        <w:tc>
          <w:tcPr/>
          <w:p>
            <w:pPr>
              <w:pStyle w:val="Compact"/>
              <w:jc w:val="center"/>
            </w:pPr>
            <w:r>
              <w:t xml:space="preserve">0.42</w:t>
            </w:r>
          </w:p>
        </w:tc>
        <w:tc>
          <w:tcPr/>
          <w:p>
            <w:pPr>
              <w:pStyle w:val="Compact"/>
              <w:jc w:val="center"/>
            </w:pPr>
            <w:r>
              <w:t xml:space="preserve">0.28</w:t>
            </w:r>
          </w:p>
        </w:tc>
        <w:tc>
          <w:tcPr/>
          <w:p>
            <w:pPr>
              <w:pStyle w:val="Compact"/>
              <w:jc w:val="center"/>
            </w:pPr>
            <w:r>
              <w:t xml:space="preserve">0.32</w:t>
            </w:r>
          </w:p>
        </w:tc>
        <w:tc>
          <w:tcPr/>
          <w:p>
            <w:pPr>
              <w:pStyle w:val="Compact"/>
              <w:jc w:val="center"/>
            </w:pPr>
            <w:r>
              <w:t xml:space="preserve">0.38</w:t>
            </w:r>
          </w:p>
        </w:tc>
        <w:tc>
          <w:tcPr/>
          <w:p>
            <w:pPr>
              <w:pStyle w:val="Compact"/>
              <w:jc w:val="center"/>
            </w:pPr>
            <w:r>
              <w:t xml:space="preserve">0.22</w:t>
            </w:r>
          </w:p>
        </w:tc>
      </w:tr>
    </w:tbl>
    <w:bookmarkEnd w:id="231"/>
    <w:bookmarkStart w:id="232" w:name="c.4-fsqca真值表部分"/>
    <w:p>
      <w:pPr>
        <w:pStyle w:val="Heading3"/>
        <w:spacing w:line="360" w:lineRule="auto"/>
      </w:pPr>
      <w:r>
        <w:rPr>
          <w:rFonts w:ascii="黑体" w:hAnsi="黑体" w:eastAsia="黑体"/>
          <w:b/>
          <w:color w:val="000000"/>
          <w:sz w:val="24"/>
        </w:rPr>
        <w:t xml:space="preserve">C.4 </w:t>
      </w:r>
      <w:r>
        <w:rPr>
          <w:rFonts w:hint="eastAsia" w:ascii="黑体" w:hAnsi="黑体" w:eastAsia="黑体"/>
          <w:b/>
          <w:color w:val="000000"/>
          <w:sz w:val="24"/>
        </w:rPr>
        <w:t xml:space="preserve">fsQCA真值表（部分）</w:t>
      </w:r>
    </w:p>
    <w:p>
      <w:pPr>
        <w:pStyle w:val="FirstParagraph"/>
        <w:spacing w:line="360" w:lineRule="auto"/>
      </w:pPr>
      <w:r>
        <w:rPr>
          <w:rFonts w:hint="eastAsia" w:ascii="宋体" w:hAnsi="宋体" w:eastAsia="宋体"/>
          <w:b/>
          <w:bCs/>
          <w:color w:val="000000"/>
          <w:sz w:val="24"/>
        </w:rPr>
        <w:t xml:space="preserve">表C-5</w:t>
      </w:r>
      <w:r>
        <w:rPr>
          <w:rFonts w:ascii="宋体" w:hAnsi="宋体" w:eastAsia="宋体"/>
          <w:b/>
          <w:bCs/>
          <w:color w:val="000000"/>
          <w:sz w:val="24"/>
        </w:rPr>
        <w:t xml:space="preserve"> </w:t>
      </w:r>
      <w:r>
        <w:rPr>
          <w:rFonts w:hint="eastAsia" w:ascii="宋体" w:hAnsi="宋体" w:eastAsia="宋体"/>
          <w:b/>
          <w:bCs/>
          <w:color w:val="000000"/>
          <w:sz w:val="24"/>
        </w:rPr>
        <w:t xml:space="preserve">fsQCA高绩效真值表（一致性≥0.80）</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left"/>
            </w:pPr>
            <w:r>
              <w:rPr>
                <w:rFonts w:hint="eastAsia"/>
              </w:rPr>
              <w:t xml:space="preserve">案例</w:t>
            </w:r>
          </w:p>
        </w:tc>
        <w:tc>
          <w:tcPr/>
          <w:p>
            <w:pPr>
              <w:pStyle w:val="Compact"/>
              <w:jc w:val="center"/>
            </w:pPr>
            <w:r>
              <w:t xml:space="preserve">PL</w:t>
            </w:r>
          </w:p>
        </w:tc>
        <w:tc>
          <w:tcPr/>
          <w:p>
            <w:pPr>
              <w:pStyle w:val="Compact"/>
              <w:jc w:val="center"/>
            </w:pPr>
            <w:r>
              <w:t xml:space="preserve">OG</w:t>
            </w:r>
          </w:p>
        </w:tc>
        <w:tc>
          <w:tcPr/>
          <w:p>
            <w:pPr>
              <w:pStyle w:val="Compact"/>
              <w:jc w:val="center"/>
            </w:pPr>
            <w:r>
              <w:t xml:space="preserve">PC</w:t>
            </w:r>
          </w:p>
        </w:tc>
        <w:tc>
          <w:tcPr/>
          <w:p>
            <w:pPr>
              <w:pStyle w:val="Compact"/>
              <w:jc w:val="center"/>
            </w:pPr>
            <w:r>
              <w:t xml:space="preserve">DQ</w:t>
            </w:r>
          </w:p>
        </w:tc>
        <w:tc>
          <w:tcPr/>
          <w:p>
            <w:pPr>
              <w:pStyle w:val="Compact"/>
              <w:jc w:val="center"/>
            </w:pPr>
            <w:r>
              <w:t xml:space="preserve">AE</w:t>
            </w:r>
          </w:p>
        </w:tc>
        <w:tc>
          <w:tcPr/>
          <w:p>
            <w:pPr>
              <w:pStyle w:val="Compact"/>
              <w:jc w:val="center"/>
            </w:pPr>
            <w:r>
              <w:t xml:space="preserve">OP</w:t>
            </w:r>
          </w:p>
        </w:tc>
        <w:tc>
          <w:tcPr/>
          <w:p>
            <w:pPr>
              <w:pStyle w:val="Compact"/>
              <w:jc w:val="center"/>
            </w:pPr>
            <w:r>
              <w:rPr>
                <w:rFonts w:hint="eastAsia"/>
              </w:rPr>
              <w:t xml:space="preserve">结果</w:t>
            </w:r>
          </w:p>
        </w:tc>
        <w:tc>
          <w:tcPr/>
          <w:p>
            <w:pPr>
              <w:pStyle w:val="Compact"/>
              <w:jc w:val="center"/>
            </w:pPr>
            <w:r>
              <w:rPr>
                <w:rFonts w:hint="eastAsia"/>
              </w:rPr>
              <w:t xml:space="preserve">一致性</w:t>
            </w:r>
          </w:p>
        </w:tc>
      </w:tr>
      <w:tr>
        <w:tc>
          <w:tcPr/>
          <w:p>
            <w:pPr>
              <w:pStyle w:val="Compact"/>
              <w:jc w:val="left"/>
            </w:pPr>
            <w:r>
              <w:rPr>
                <w:rFonts w:hint="eastAsia"/>
              </w:rPr>
              <w:t xml:space="preserve">广东</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0.95</w:t>
            </w:r>
          </w:p>
        </w:tc>
      </w:tr>
      <w:tr>
        <w:tc>
          <w:tcPr/>
          <w:p>
            <w:pPr>
              <w:pStyle w:val="Compact"/>
              <w:jc w:val="left"/>
            </w:pPr>
            <w:r>
              <w:rPr>
                <w:rFonts w:hint="eastAsia"/>
              </w:rPr>
              <w:t xml:space="preserve">浙江</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0.92</w:t>
            </w:r>
          </w:p>
        </w:tc>
      </w:tr>
      <w:tr>
        <w:tc>
          <w:tcPr/>
          <w:p>
            <w:pPr>
              <w:pStyle w:val="Compact"/>
              <w:jc w:val="left"/>
            </w:pPr>
            <w:r>
              <w:rPr>
                <w:rFonts w:hint="eastAsia"/>
              </w:rPr>
              <w:t xml:space="preserve">山东</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0.88</w:t>
            </w:r>
          </w:p>
        </w:tc>
      </w:tr>
      <w:tr>
        <w:tc>
          <w:tcPr/>
          <w:p>
            <w:pPr>
              <w:pStyle w:val="Compact"/>
              <w:jc w:val="left"/>
            </w:pPr>
            <w:r>
              <w:rPr>
                <w:rFonts w:hint="eastAsia"/>
              </w:rPr>
              <w:t xml:space="preserve">北京</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0.85</w:t>
            </w:r>
          </w:p>
        </w:tc>
      </w:tr>
      <w:tr>
        <w:tc>
          <w:tcPr/>
          <w:p>
            <w:pPr>
              <w:pStyle w:val="Compact"/>
              <w:jc w:val="left"/>
            </w:pPr>
            <w:r>
              <w:rPr>
                <w:rFonts w:hint="eastAsia"/>
              </w:rPr>
              <w:t xml:space="preserve">上海</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0.82</w:t>
            </w:r>
          </w:p>
        </w:tc>
      </w:tr>
      <w:tr>
        <w:tc>
          <w:tcPr/>
          <w:p>
            <w:pPr>
              <w:pStyle w:val="Compact"/>
              <w:jc w:val="left"/>
            </w:pPr>
            <w:r>
              <w:rPr>
                <w:rFonts w:hint="eastAsia"/>
              </w:rPr>
              <w:t xml:space="preserve">贵州</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0.80</w:t>
            </w:r>
          </w:p>
        </w:tc>
      </w:tr>
      <w:tr>
        <w:tc>
          <w:tcPr/>
          <w:p>
            <w:pPr>
              <w:pStyle w:val="Compact"/>
              <w:jc w:val="left"/>
            </w:pPr>
            <w:r>
              <w:rPr>
                <w:rFonts w:hint="eastAsia"/>
              </w:rPr>
              <w:t xml:space="preserve">四川</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0.81</w:t>
            </w:r>
          </w:p>
        </w:tc>
      </w:tr>
      <w:tr>
        <w:tc>
          <w:tcPr/>
          <w:p>
            <w:pPr>
              <w:pStyle w:val="Compact"/>
              <w:jc w:val="left"/>
            </w:pPr>
            <w:r>
              <w:rPr>
                <w:rFonts w:hint="eastAsia"/>
              </w:rPr>
              <w:t xml:space="preserve">福建</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0.80</w:t>
            </w:r>
          </w:p>
        </w:tc>
      </w:tr>
    </w:tbl>
    <w:bookmarkEnd w:id="232"/>
    <w:bookmarkEnd w:id="233"/>
    <w:bookmarkStart w:id="236" w:name="附录d-专家咨询问卷"/>
    <w:p>
      <w:pPr>
        <w:pStyle w:val="Heading2"/>
        <w:spacing w:line="360" w:lineRule="auto"/>
      </w:pPr>
      <w:r>
        <w:rPr>
          <w:rFonts w:hint="eastAsia" w:ascii="黑体" w:hAnsi="黑体" w:eastAsia="黑体"/>
          <w:b/>
          <w:color w:val="000000"/>
          <w:sz w:val="28"/>
        </w:rPr>
        <w:t xml:space="preserve">附录D</w:t>
      </w:r>
      <w:r>
        <w:rPr>
          <w:rFonts w:ascii="黑体" w:hAnsi="黑体" w:eastAsia="黑体"/>
          <w:b/>
          <w:color w:val="000000"/>
          <w:sz w:val="28"/>
        </w:rPr>
        <w:t xml:space="preserve"> </w:t>
      </w:r>
      <w:r>
        <w:rPr>
          <w:rFonts w:hint="eastAsia" w:ascii="黑体" w:hAnsi="黑体" w:eastAsia="黑体"/>
          <w:b/>
          <w:color w:val="000000"/>
          <w:sz w:val="28"/>
        </w:rPr>
        <w:t xml:space="preserve">专家咨询问卷</w:t>
      </w:r>
    </w:p>
    <w:bookmarkStart w:id="234" w:name="d.1-dematel专家评分问卷"/>
    <w:p>
      <w:pPr>
        <w:pStyle w:val="Heading3"/>
        <w:spacing w:line="360" w:lineRule="auto"/>
      </w:pPr>
      <w:r>
        <w:rPr>
          <w:rFonts w:ascii="黑体" w:hAnsi="黑体" w:eastAsia="黑体"/>
          <w:b/>
          <w:color w:val="000000"/>
          <w:sz w:val="24"/>
        </w:rPr>
        <w:t xml:space="preserve">D.1 </w:t>
      </w:r>
      <w:r>
        <w:rPr>
          <w:rFonts w:hint="eastAsia" w:ascii="黑体" w:hAnsi="黑体" w:eastAsia="黑体"/>
          <w:b/>
          <w:color w:val="000000"/>
          <w:sz w:val="24"/>
        </w:rPr>
        <w:t xml:space="preserve">DEMATEL专家评分问卷</w:t>
      </w:r>
    </w:p>
    <w:p>
      <w:pPr>
        <w:pStyle w:val="FirstParagraph"/>
        <w:spacing w:line="360" w:lineRule="auto"/>
      </w:pPr>
      <w:r>
        <w:rPr>
          <w:rFonts w:hint="eastAsia" w:ascii="宋体" w:hAnsi="宋体" w:eastAsia="宋体"/>
          <w:b/>
          <w:bCs/>
          <w:color w:val="000000"/>
          <w:sz w:val="24"/>
        </w:rPr>
        <w:t xml:space="preserve">问卷说明：</w:t>
      </w:r>
      <w:r>
        <w:rPr>
          <w:rFonts w:ascii="宋体" w:hAnsi="宋体" w:eastAsia="宋体"/>
          <w:color w:val="000000"/>
          <w:sz w:val="24"/>
        </w:rPr>
        <w:t xml:space="preserve"> </w:t>
      </w:r>
      <w:r>
        <w:rPr>
          <w:rFonts w:hint="eastAsia" w:ascii="宋体" w:hAnsi="宋体" w:eastAsia="宋体"/>
          <w:color w:val="000000"/>
          <w:sz w:val="24"/>
        </w:rPr>
        <w:t xml:space="preserve">本问卷旨在识别影响政府数据开放平台绩效的关键因素及其相互关系。请您根据专业判断，评估以下六个因素之间的直接影响程度。评分标准：0=无影响，1=弱影响，2=中等影响，3=强影响，4=极强影响。</w:t>
      </w:r>
    </w:p>
    <w:p>
      <w:pPr>
        <w:pStyle w:val="BodyText"/>
        <w:spacing w:line="360" w:lineRule="auto"/>
      </w:pPr>
      <w:r>
        <w:rPr>
          <w:rFonts w:hint="eastAsia" w:ascii="宋体" w:hAnsi="宋体" w:eastAsia="宋体"/>
          <w:b/>
          <w:bCs/>
          <w:color w:val="000000"/>
          <w:sz w:val="24"/>
        </w:rPr>
        <w:t xml:space="preserve">因素定义：</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PL政策法规：地方政府在数据开放领域的制度供给水平</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OG平台建设：平台的技术架构、功能完备性和用户体验</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PC数据质量：数据的准确性、完整性、及时性和机器可读性</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DQ数据集数量：平台数据供给的充分性和可持续性</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AE应用效果：数据利用生态的活跃程度</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OP运营模式：平台在授权运营等方面的创新程度</w:t>
      </w:r>
    </w:p>
    <w:p>
      <w:pPr>
        <w:pStyle w:val="BodyText"/>
        <w:spacing w:line="360" w:lineRule="auto"/>
      </w:pPr>
      <w:r>
        <w:rPr>
          <w:rFonts w:hint="eastAsia" w:ascii="宋体" w:hAnsi="宋体" w:eastAsia="宋体"/>
          <w:b/>
          <w:bCs/>
          <w:color w:val="000000"/>
          <w:sz w:val="24"/>
        </w:rPr>
        <w:t xml:space="preserve">评分矩阵：</w:t>
      </w:r>
      <w:r>
        <w:rPr>
          <w:rFonts w:hint="eastAsia" w:ascii="宋体" w:hAnsi="宋体" w:eastAsia="宋体"/>
          <w:color w:val="000000"/>
          <w:sz w:val="24"/>
        </w:rPr>
        <w:t xml:space="preserve">（略，同表C-3格式）</w:t>
      </w:r>
    </w:p>
    <w:bookmarkEnd w:id="234"/>
    <w:bookmarkStart w:id="235" w:name="d.2-ahp权重专家咨询问卷"/>
    <w:p>
      <w:pPr>
        <w:pStyle w:val="Heading3"/>
        <w:spacing w:line="360" w:lineRule="auto"/>
      </w:pPr>
      <w:r>
        <w:rPr>
          <w:rFonts w:ascii="黑体" w:hAnsi="黑体" w:eastAsia="黑体"/>
          <w:b/>
          <w:color w:val="000000"/>
          <w:sz w:val="24"/>
        </w:rPr>
        <w:t xml:space="preserve">D.2 </w:t>
      </w:r>
      <w:r>
        <w:rPr>
          <w:rFonts w:hint="eastAsia" w:ascii="黑体" w:hAnsi="黑体" w:eastAsia="黑体"/>
          <w:b/>
          <w:color w:val="000000"/>
          <w:sz w:val="24"/>
        </w:rPr>
        <w:t xml:space="preserve">AHP权重专家咨询问卷</w:t>
      </w:r>
    </w:p>
    <w:p>
      <w:pPr>
        <w:pStyle w:val="FirstParagraph"/>
        <w:spacing w:line="360" w:lineRule="auto"/>
      </w:pPr>
      <w:r>
        <w:rPr>
          <w:rFonts w:hint="eastAsia" w:ascii="宋体" w:hAnsi="宋体" w:eastAsia="宋体"/>
          <w:b/>
          <w:bCs/>
          <w:color w:val="000000"/>
          <w:sz w:val="24"/>
        </w:rPr>
        <w:t xml:space="preserve">问卷说明：</w:t>
      </w:r>
      <w:r>
        <w:rPr>
          <w:rFonts w:ascii="宋体" w:hAnsi="宋体" w:eastAsia="宋体"/>
          <w:color w:val="000000"/>
          <w:sz w:val="24"/>
        </w:rPr>
        <w:t xml:space="preserve"> </w:t>
      </w:r>
      <w:r>
        <w:rPr>
          <w:rFonts w:hint="eastAsia" w:ascii="宋体" w:hAnsi="宋体" w:eastAsia="宋体"/>
          <w:color w:val="000000"/>
          <w:sz w:val="24"/>
        </w:rPr>
        <w:t xml:space="preserve">本问卷旨在确定政府数据开放平台评估指标的重要性权重。请您对以下五个评估维度的重要性进行两两比较。评分标准采用1-9标度法：1=同等重要，3=稍微重要，5=明显重要，7=强烈重要，9=极端重要；2、4、6、8为中间值；倒数表示反向比较。</w:t>
      </w:r>
    </w:p>
    <w:p>
      <w:pPr>
        <w:pStyle w:val="BodyText"/>
        <w:spacing w:line="360" w:lineRule="auto"/>
      </w:pPr>
      <w:r>
        <w:rPr>
          <w:rFonts w:hint="eastAsia" w:ascii="宋体" w:hAnsi="宋体" w:eastAsia="宋体"/>
          <w:b/>
          <w:bCs/>
          <w:color w:val="000000"/>
          <w:sz w:val="24"/>
        </w:rPr>
        <w:t xml:space="preserve">评估维度：</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S供给保障：数据资源的充分性和可持续性</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P平台服务：平台功能的完备性和用户体验</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Q数据质量：数据的技术属性和可用性</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U利用效果：数据价值的实现程度</w:t>
      </w:r>
      <w:r>
        <w:rPr>
          <w:rFonts w:ascii="宋体" w:hAnsi="宋体" w:eastAsia="宋体"/>
          <w:color w:val="000000"/>
          <w:sz w:val="24"/>
        </w:rPr>
        <w:t xml:space="preserve"> </w:t>
      </w:r>
      <w:r>
        <w:rPr>
          <w:rFonts w:ascii="宋体" w:hAnsi="宋体" w:eastAsia="宋体"/>
          <w:color w:val="000000"/>
          <w:sz w:val="24"/>
        </w:rPr>
        <w:t xml:space="preserve">- </w:t>
      </w:r>
      <w:r>
        <w:rPr>
          <w:rFonts w:hint="eastAsia" w:ascii="宋体" w:hAnsi="宋体" w:eastAsia="宋体"/>
          <w:color w:val="000000"/>
          <w:sz w:val="24"/>
        </w:rPr>
        <w:t xml:space="preserve">E公平性：数据开放收益的分配公平性</w:t>
      </w:r>
    </w:p>
    <w:p>
      <w:pPr>
        <w:pStyle w:val="BodyText"/>
        <w:spacing w:line="360" w:lineRule="auto"/>
      </w:pPr>
      <w:r>
        <w:rPr>
          <w:rFonts w:hint="eastAsia" w:ascii="宋体" w:hAnsi="宋体" w:eastAsia="宋体"/>
          <w:b/>
          <w:bCs/>
          <w:color w:val="000000"/>
          <w:sz w:val="24"/>
        </w:rPr>
        <w:t xml:space="preserve">比较矩阵：</w:t>
      </w:r>
      <w:r>
        <w:rPr>
          <w:rFonts w:hint="eastAsia" w:ascii="宋体" w:hAnsi="宋体" w:eastAsia="宋体"/>
          <w:color w:val="000000"/>
          <w:sz w:val="24"/>
        </w:rPr>
        <w:t xml:space="preserve">（略）</w:t>
      </w:r>
    </w:p>
    <w:bookmarkEnd w:id="235"/>
    <w:bookmarkEnd w:id="236"/>
    <w:bookmarkStart w:id="239" w:name="附录e-采集系统核心代码"/>
    <w:p>
      <w:pPr>
        <w:pStyle w:val="Heading2"/>
        <w:spacing w:line="360" w:lineRule="auto"/>
      </w:pPr>
      <w:r>
        <w:rPr>
          <w:rFonts w:hint="eastAsia" w:ascii="黑体" w:hAnsi="黑体" w:eastAsia="黑体"/>
          <w:b/>
          <w:color w:val="000000"/>
          <w:sz w:val="28"/>
        </w:rPr>
        <w:t xml:space="preserve">附录E</w:t>
      </w:r>
      <w:r>
        <w:rPr>
          <w:rFonts w:ascii="黑体" w:hAnsi="黑体" w:eastAsia="黑体"/>
          <w:b/>
          <w:color w:val="000000"/>
          <w:sz w:val="28"/>
        </w:rPr>
        <w:t xml:space="preserve"> </w:t>
      </w:r>
      <w:r>
        <w:rPr>
          <w:rFonts w:hint="eastAsia" w:ascii="黑体" w:hAnsi="黑体" w:eastAsia="黑体"/>
          <w:b/>
          <w:color w:val="000000"/>
          <w:sz w:val="28"/>
        </w:rPr>
        <w:t xml:space="preserve">采集系统核心代码</w:t>
      </w:r>
    </w:p>
    <w:bookmarkStart w:id="237" w:name="e.1-平台规则配置示例"/>
    <w:p>
      <w:pPr>
        <w:pStyle w:val="Heading3"/>
        <w:spacing w:line="360" w:lineRule="auto"/>
      </w:pPr>
      <w:r>
        <w:rPr>
          <w:rFonts w:ascii="黑体" w:hAnsi="黑体" w:eastAsia="黑体"/>
          <w:b/>
          <w:color w:val="000000"/>
          <w:sz w:val="24"/>
        </w:rPr>
        <w:t xml:space="preserve">E.1 </w:t>
      </w:r>
      <w:r>
        <w:rPr>
          <w:rFonts w:hint="eastAsia" w:ascii="黑体" w:hAnsi="黑体" w:eastAsia="黑体"/>
          <w:b/>
          <w:color w:val="000000"/>
          <w:sz w:val="24"/>
        </w:rPr>
        <w:t xml:space="preserve">平台规则配置示例</w:t>
      </w:r>
    </w:p>
    <w:p>
      <w:pPr>
        <w:pStyle w:val="SourceCode"/>
        <w:spacing w:line="360" w:lineRule="auto"/>
      </w:pPr>
      <w:r>
        <w:rPr>
          <w:rStyle w:val="FunctionTok"/>
          <w:rFonts w:ascii="宋体" w:hAnsi="宋体" w:eastAsia="宋体"/>
          <w:color w:val="000000"/>
          <w:sz w:val="24"/>
        </w:rPr>
        <w:t xml:space="preserve">{</w:t>
      </w:r>
      <w:r>
        <w:rPr>
          <w:rFonts w:ascii="宋体" w:hAnsi="宋体" w:eastAsia="宋体"/>
          <w:color w:val="000000"/>
          <w:sz w:val="24"/>
        </w:rPr>
        <w:br/>
      </w:r>
      <w:r>
        <w:rPr>
          <w:rStyle w:val="NormalTok"/>
          <w:rFonts w:ascii="宋体" w:hAnsi="宋体" w:eastAsia="宋体"/>
          <w:color w:val="000000"/>
          <w:sz w:val="24"/>
        </w:rPr>
        <w:t xml:space="preserve">  </w:t>
      </w:r>
      <w:r>
        <w:rPr>
          <w:rStyle w:val="DataTypeTok"/>
          <w:rFonts w:ascii="宋体" w:hAnsi="宋体" w:eastAsia="宋体"/>
          <w:color w:val="000000"/>
          <w:sz w:val="24"/>
        </w:rPr>
        <w:t xml:space="preserve">"platform_name"</w:t>
      </w:r>
      <w:r>
        <w:rPr>
          <w:rStyle w:val="FunctionTok"/>
          <w:rFonts w:ascii="宋体" w:hAnsi="宋体" w:eastAsia="宋体"/>
          <w:color w:val="000000"/>
          <w:sz w:val="24"/>
        </w:rPr>
        <w:t xml:space="preserve">:</w:t>
      </w:r>
      <w:r>
        <w:rPr>
          <w:rStyle w:val="NormalTok"/>
          <w:rFonts w:ascii="宋体" w:hAnsi="宋体" w:eastAsia="宋体"/>
          <w:color w:val="000000"/>
          <w:sz w:val="24"/>
        </w:rPr>
        <w:t xml:space="preserve"> </w:t>
      </w:r>
      <w:r>
        <w:rPr>
          <w:rStyle w:val="StringTok"/>
          <w:rFonts w:ascii="宋体" w:hAnsi="宋体" w:eastAsia="宋体"/>
          <w:color w:val="000000"/>
          <w:sz w:val="24"/>
        </w:rPr>
        <w:t xml:space="preserve">"广东省数据资源一网共享平台"</w:t>
      </w:r>
      <w:r>
        <w:rPr>
          <w:rStyle w:val="FunctionTok"/>
          <w:rFonts w:ascii="宋体" w:hAnsi="宋体" w:eastAsia="宋体"/>
          <w:color w:val="000000"/>
          <w:sz w:val="24"/>
        </w:rPr>
        <w:t xml:space="preserve">,</w:t>
      </w:r>
      <w:r>
        <w:rPr>
          <w:rFonts w:ascii="宋体" w:hAnsi="宋体" w:eastAsia="宋体"/>
          <w:color w:val="000000"/>
          <w:sz w:val="24"/>
        </w:rPr>
        <w:br/>
      </w:r>
      <w:r>
        <w:rPr>
          <w:rStyle w:val="NormalTok"/>
          <w:rFonts w:ascii="宋体" w:hAnsi="宋体" w:eastAsia="宋体"/>
          <w:color w:val="000000"/>
          <w:sz w:val="24"/>
        </w:rPr>
        <w:t xml:space="preserve">  </w:t>
      </w:r>
      <w:r>
        <w:rPr>
          <w:rStyle w:val="DataTypeTok"/>
          <w:rFonts w:ascii="宋体" w:hAnsi="宋体" w:eastAsia="宋体"/>
          <w:color w:val="000000"/>
          <w:sz w:val="24"/>
        </w:rPr>
        <w:t xml:space="preserve">"base_url"</w:t>
      </w:r>
      <w:r>
        <w:rPr>
          <w:rStyle w:val="FunctionTok"/>
          <w:rFonts w:ascii="宋体" w:hAnsi="宋体" w:eastAsia="宋体"/>
          <w:color w:val="000000"/>
          <w:sz w:val="24"/>
        </w:rPr>
        <w:t xml:space="preserve">:</w:t>
      </w:r>
      <w:r>
        <w:rPr>
          <w:rStyle w:val="NormalTok"/>
          <w:rFonts w:ascii="宋体" w:hAnsi="宋体" w:eastAsia="宋体"/>
          <w:color w:val="000000"/>
          <w:sz w:val="24"/>
        </w:rPr>
        <w:t xml:space="preserve"> </w:t>
      </w:r>
      <w:r>
        <w:rPr>
          <w:rStyle w:val="StringTok"/>
          <w:rFonts w:ascii="宋体" w:hAnsi="宋体" w:eastAsia="宋体"/>
          <w:color w:val="000000"/>
          <w:sz w:val="24"/>
        </w:rPr>
        <w:t xml:space="preserve">"https://data.gd.gov.cn"</w:t>
      </w:r>
      <w:r>
        <w:rPr>
          <w:rStyle w:val="FunctionTok"/>
          <w:rFonts w:ascii="宋体" w:hAnsi="宋体" w:eastAsia="宋体"/>
          <w:color w:val="000000"/>
          <w:sz w:val="24"/>
        </w:rPr>
        <w:t xml:space="preserve">,</w:t>
      </w:r>
      <w:r>
        <w:rPr>
          <w:rFonts w:ascii="宋体" w:hAnsi="宋体" w:eastAsia="宋体"/>
          <w:color w:val="000000"/>
          <w:sz w:val="24"/>
        </w:rPr>
        <w:br/>
      </w:r>
      <w:r>
        <w:rPr>
          <w:rStyle w:val="NormalTok"/>
          <w:rFonts w:ascii="宋体" w:hAnsi="宋体" w:eastAsia="宋体"/>
          <w:color w:val="000000"/>
          <w:sz w:val="24"/>
        </w:rPr>
        <w:t xml:space="preserve">  </w:t>
      </w:r>
      <w:r>
        <w:rPr>
          <w:rStyle w:val="DataTypeTok"/>
          <w:rFonts w:ascii="宋体" w:hAnsi="宋体" w:eastAsia="宋体"/>
          <w:color w:val="000000"/>
          <w:sz w:val="24"/>
        </w:rPr>
        <w:t xml:space="preserve">"dataset_list_url"</w:t>
      </w:r>
      <w:r>
        <w:rPr>
          <w:rStyle w:val="FunctionTok"/>
          <w:rFonts w:ascii="宋体" w:hAnsi="宋体" w:eastAsia="宋体"/>
          <w:color w:val="000000"/>
          <w:sz w:val="24"/>
        </w:rPr>
        <w:t xml:space="preserve">:</w:t>
      </w:r>
      <w:r>
        <w:rPr>
          <w:rStyle w:val="NormalTok"/>
          <w:rFonts w:ascii="宋体" w:hAnsi="宋体" w:eastAsia="宋体"/>
          <w:color w:val="000000"/>
          <w:sz w:val="24"/>
        </w:rPr>
        <w:t xml:space="preserve"> </w:t>
      </w:r>
      <w:r>
        <w:rPr>
          <w:rStyle w:val="StringTok"/>
          <w:rFonts w:ascii="宋体" w:hAnsi="宋体" w:eastAsia="宋体"/>
          <w:color w:val="000000"/>
          <w:sz w:val="24"/>
        </w:rPr>
        <w:t xml:space="preserve">"https://data.gd.gov.cn/api/datasets?page={page}"</w:t>
      </w:r>
      <w:r>
        <w:rPr>
          <w:rStyle w:val="FunctionTok"/>
          <w:rFonts w:ascii="宋体" w:hAnsi="宋体" w:eastAsia="宋体"/>
          <w:color w:val="000000"/>
          <w:sz w:val="24"/>
        </w:rPr>
        <w:t xml:space="preserve">,</w:t>
      </w:r>
      <w:r>
        <w:rPr>
          <w:rFonts w:ascii="宋体" w:hAnsi="宋体" w:eastAsia="宋体"/>
          <w:color w:val="000000"/>
          <w:sz w:val="24"/>
        </w:rPr>
        <w:br/>
      </w:r>
      <w:r>
        <w:rPr>
          <w:rStyle w:val="NormalTok"/>
          <w:rFonts w:ascii="宋体" w:hAnsi="宋体" w:eastAsia="宋体"/>
          <w:color w:val="000000"/>
          <w:sz w:val="24"/>
        </w:rPr>
        <w:t xml:space="preserve">  </w:t>
      </w:r>
      <w:r>
        <w:rPr>
          <w:rStyle w:val="DataTypeTok"/>
          <w:rFonts w:ascii="宋体" w:hAnsi="宋体" w:eastAsia="宋体"/>
          <w:color w:val="000000"/>
          <w:sz w:val="24"/>
        </w:rPr>
        <w:t xml:space="preserve">"dataset_detail_url"</w:t>
      </w:r>
      <w:r>
        <w:rPr>
          <w:rStyle w:val="FunctionTok"/>
          <w:rFonts w:ascii="宋体" w:hAnsi="宋体" w:eastAsia="宋体"/>
          <w:color w:val="000000"/>
          <w:sz w:val="24"/>
        </w:rPr>
        <w:t xml:space="preserve">:</w:t>
      </w:r>
      <w:r>
        <w:rPr>
          <w:rStyle w:val="NormalTok"/>
          <w:rFonts w:ascii="宋体" w:hAnsi="宋体" w:eastAsia="宋体"/>
          <w:color w:val="000000"/>
          <w:sz w:val="24"/>
        </w:rPr>
        <w:t xml:space="preserve"> </w:t>
      </w:r>
      <w:r>
        <w:rPr>
          <w:rStyle w:val="StringTok"/>
          <w:rFonts w:ascii="宋体" w:hAnsi="宋体" w:eastAsia="宋体"/>
          <w:color w:val="000000"/>
          <w:sz w:val="24"/>
        </w:rPr>
        <w:t xml:space="preserve">"https://data.gd.gov.cn/api/datasets/{id}"</w:t>
      </w:r>
      <w:r>
        <w:rPr>
          <w:rStyle w:val="FunctionTok"/>
          <w:rFonts w:ascii="宋体" w:hAnsi="宋体" w:eastAsia="宋体"/>
          <w:color w:val="000000"/>
          <w:sz w:val="24"/>
        </w:rPr>
        <w:t xml:space="preserve">,</w:t>
      </w:r>
      <w:r>
        <w:rPr>
          <w:rFonts w:ascii="宋体" w:hAnsi="宋体" w:eastAsia="宋体"/>
          <w:color w:val="000000"/>
          <w:sz w:val="24"/>
        </w:rPr>
        <w:br/>
      </w:r>
      <w:r>
        <w:rPr>
          <w:rStyle w:val="NormalTok"/>
          <w:rFonts w:ascii="宋体" w:hAnsi="宋体" w:eastAsia="宋体"/>
          <w:color w:val="000000"/>
          <w:sz w:val="24"/>
        </w:rPr>
        <w:t xml:space="preserve">  </w:t>
      </w:r>
      <w:r>
        <w:rPr>
          <w:rStyle w:val="DataTypeTok"/>
          <w:rFonts w:ascii="宋体" w:hAnsi="宋体" w:eastAsia="宋体"/>
          <w:color w:val="000000"/>
          <w:sz w:val="24"/>
        </w:rPr>
        <w:t xml:space="preserve">"api_endpoint"</w:t>
      </w:r>
      <w:r>
        <w:rPr>
          <w:rStyle w:val="FunctionTok"/>
          <w:rFonts w:ascii="宋体" w:hAnsi="宋体" w:eastAsia="宋体"/>
          <w:color w:val="000000"/>
          <w:sz w:val="24"/>
        </w:rPr>
        <w:t xml:space="preserve">:</w:t>
      </w:r>
      <w:r>
        <w:rPr>
          <w:rStyle w:val="NormalTok"/>
          <w:rFonts w:ascii="宋体" w:hAnsi="宋体" w:eastAsia="宋体"/>
          <w:color w:val="000000"/>
          <w:sz w:val="24"/>
        </w:rPr>
        <w:t xml:space="preserve"> </w:t>
      </w:r>
      <w:r>
        <w:rPr>
          <w:rStyle w:val="StringTok"/>
          <w:rFonts w:ascii="宋体" w:hAnsi="宋体" w:eastAsia="宋体"/>
          <w:color w:val="000000"/>
          <w:sz w:val="24"/>
        </w:rPr>
        <w:t xml:space="preserve">"https://data.gd.gov.cn/api/v1"</w:t>
      </w:r>
      <w:r>
        <w:rPr>
          <w:rStyle w:val="FunctionTok"/>
          <w:rFonts w:ascii="宋体" w:hAnsi="宋体" w:eastAsia="宋体"/>
          <w:color w:val="000000"/>
          <w:sz w:val="24"/>
        </w:rPr>
        <w:t xml:space="preserve">,</w:t>
      </w:r>
      <w:r>
        <w:rPr>
          <w:rFonts w:ascii="宋体" w:hAnsi="宋体" w:eastAsia="宋体"/>
          <w:color w:val="000000"/>
          <w:sz w:val="24"/>
        </w:rPr>
        <w:br/>
      </w:r>
      <w:r>
        <w:rPr>
          <w:rStyle w:val="NormalTok"/>
          <w:rFonts w:ascii="宋体" w:hAnsi="宋体" w:eastAsia="宋体"/>
          <w:color w:val="000000"/>
          <w:sz w:val="24"/>
        </w:rPr>
        <w:t xml:space="preserve">  </w:t>
      </w:r>
      <w:r>
        <w:rPr>
          <w:rStyle w:val="DataTypeTok"/>
          <w:rFonts w:ascii="宋体" w:hAnsi="宋体" w:eastAsia="宋体"/>
          <w:color w:val="000000"/>
          <w:sz w:val="24"/>
        </w:rPr>
        <w:t xml:space="preserve">"pagination"</w:t>
      </w:r>
      <w:r>
        <w:rPr>
          <w:rStyle w:val="FunctionTok"/>
          <w:rFonts w:ascii="宋体" w:hAnsi="宋体" w:eastAsia="宋体"/>
          <w:color w:val="000000"/>
          <w:sz w:val="24"/>
        </w:rPr>
        <w:t xml:space="preserve">:</w:t>
      </w:r>
      <w:r>
        <w:rPr>
          <w:rStyle w:val="NormalTok"/>
          <w:rFonts w:ascii="宋体" w:hAnsi="宋体" w:eastAsia="宋体"/>
          <w:color w:val="000000"/>
          <w:sz w:val="24"/>
        </w:rPr>
        <w:t xml:space="preserve"> </w:t>
      </w:r>
      <w:r>
        <w:rPr>
          <w:rStyle w:val="FunctionTok"/>
          <w:rFonts w:ascii="宋体" w:hAnsi="宋体" w:eastAsia="宋体"/>
          <w:color w:val="000000"/>
          <w:sz w:val="24"/>
        </w:rPr>
        <w:t xml:space="preserve">{</w:t>
      </w:r>
      <w:r>
        <w:rPr>
          <w:rFonts w:ascii="宋体" w:hAnsi="宋体" w:eastAsia="宋体"/>
          <w:color w:val="000000"/>
          <w:sz w:val="24"/>
        </w:rPr>
        <w:br/>
      </w:r>
      <w:r>
        <w:rPr>
          <w:rStyle w:val="NormalTok"/>
          <w:rFonts w:ascii="宋体" w:hAnsi="宋体" w:eastAsia="宋体"/>
          <w:color w:val="000000"/>
          <w:sz w:val="24"/>
        </w:rPr>
        <w:t xml:space="preserve">    </w:t>
      </w:r>
      <w:r>
        <w:rPr>
          <w:rStyle w:val="DataTypeTok"/>
          <w:rFonts w:ascii="宋体" w:hAnsi="宋体" w:eastAsia="宋体"/>
          <w:color w:val="000000"/>
          <w:sz w:val="24"/>
        </w:rPr>
        <w:t xml:space="preserve">"type"</w:t>
      </w:r>
      <w:r>
        <w:rPr>
          <w:rStyle w:val="FunctionTok"/>
          <w:rFonts w:ascii="宋体" w:hAnsi="宋体" w:eastAsia="宋体"/>
          <w:color w:val="000000"/>
          <w:sz w:val="24"/>
        </w:rPr>
        <w:t xml:space="preserve">:</w:t>
      </w:r>
      <w:r>
        <w:rPr>
          <w:rStyle w:val="NormalTok"/>
          <w:rFonts w:ascii="宋体" w:hAnsi="宋体" w:eastAsia="宋体"/>
          <w:color w:val="000000"/>
          <w:sz w:val="24"/>
        </w:rPr>
        <w:t xml:space="preserve"> </w:t>
      </w:r>
      <w:r>
        <w:rPr>
          <w:rStyle w:val="StringTok"/>
          <w:rFonts w:ascii="宋体" w:hAnsi="宋体" w:eastAsia="宋体"/>
          <w:color w:val="000000"/>
          <w:sz w:val="24"/>
        </w:rPr>
        <w:t xml:space="preserve">"page"</w:t>
      </w:r>
      <w:r>
        <w:rPr>
          <w:rStyle w:val="FunctionTok"/>
          <w:rFonts w:ascii="宋体" w:hAnsi="宋体" w:eastAsia="宋体"/>
          <w:color w:val="000000"/>
          <w:sz w:val="24"/>
        </w:rPr>
        <w:t xml:space="preserve">,</w:t>
      </w:r>
      <w:r>
        <w:rPr>
          <w:rFonts w:ascii="宋体" w:hAnsi="宋体" w:eastAsia="宋体"/>
          <w:color w:val="000000"/>
          <w:sz w:val="24"/>
        </w:rPr>
        <w:br/>
      </w:r>
      <w:r>
        <w:rPr>
          <w:rStyle w:val="NormalTok"/>
          <w:rFonts w:ascii="宋体" w:hAnsi="宋体" w:eastAsia="宋体"/>
          <w:color w:val="000000"/>
          <w:sz w:val="24"/>
        </w:rPr>
        <w:t xml:space="preserve">    </w:t>
      </w:r>
      <w:r>
        <w:rPr>
          <w:rStyle w:val="DataTypeTok"/>
          <w:rFonts w:ascii="宋体" w:hAnsi="宋体" w:eastAsia="宋体"/>
          <w:color w:val="000000"/>
          <w:sz w:val="24"/>
        </w:rPr>
        <w:t xml:space="preserve">"page_param"</w:t>
      </w:r>
      <w:r>
        <w:rPr>
          <w:rStyle w:val="FunctionTok"/>
          <w:rFonts w:ascii="宋体" w:hAnsi="宋体" w:eastAsia="宋体"/>
          <w:color w:val="000000"/>
          <w:sz w:val="24"/>
        </w:rPr>
        <w:t xml:space="preserve">:</w:t>
      </w:r>
      <w:r>
        <w:rPr>
          <w:rStyle w:val="NormalTok"/>
          <w:rFonts w:ascii="宋体" w:hAnsi="宋体" w:eastAsia="宋体"/>
          <w:color w:val="000000"/>
          <w:sz w:val="24"/>
        </w:rPr>
        <w:t xml:space="preserve"> </w:t>
      </w:r>
      <w:r>
        <w:rPr>
          <w:rStyle w:val="StringTok"/>
          <w:rFonts w:ascii="宋体" w:hAnsi="宋体" w:eastAsia="宋体"/>
          <w:color w:val="000000"/>
          <w:sz w:val="24"/>
        </w:rPr>
        <w:t xml:space="preserve">"page"</w:t>
      </w:r>
      <w:r>
        <w:rPr>
          <w:rStyle w:val="FunctionTok"/>
          <w:rFonts w:ascii="宋体" w:hAnsi="宋体" w:eastAsia="宋体"/>
          <w:color w:val="000000"/>
          <w:sz w:val="24"/>
        </w:rPr>
        <w:t xml:space="preserve">,</w:t>
      </w:r>
      <w:r>
        <w:rPr>
          <w:rFonts w:ascii="宋体" w:hAnsi="宋体" w:eastAsia="宋体"/>
          <w:color w:val="000000"/>
          <w:sz w:val="24"/>
        </w:rPr>
        <w:br/>
      </w:r>
      <w:r>
        <w:rPr>
          <w:rStyle w:val="NormalTok"/>
          <w:rFonts w:ascii="宋体" w:hAnsi="宋体" w:eastAsia="宋体"/>
          <w:color w:val="000000"/>
          <w:sz w:val="24"/>
        </w:rPr>
        <w:t xml:space="preserve">    </w:t>
      </w:r>
      <w:r>
        <w:rPr>
          <w:rStyle w:val="DataTypeTok"/>
          <w:rFonts w:ascii="宋体" w:hAnsi="宋体" w:eastAsia="宋体"/>
          <w:color w:val="000000"/>
          <w:sz w:val="24"/>
        </w:rPr>
        <w:t xml:space="preserve">"page_size"</w:t>
      </w:r>
      <w:r>
        <w:rPr>
          <w:rStyle w:val="FunctionTok"/>
          <w:rFonts w:ascii="宋体" w:hAnsi="宋体" w:eastAsia="宋体"/>
          <w:color w:val="000000"/>
          <w:sz w:val="24"/>
        </w:rPr>
        <w:t xml:space="preserve">:</w:t>
      </w:r>
      <w:r>
        <w:rPr>
          <w:rStyle w:val="NormalTok"/>
          <w:rFonts w:ascii="宋体" w:hAnsi="宋体" w:eastAsia="宋体"/>
          <w:color w:val="000000"/>
          <w:sz w:val="24"/>
        </w:rPr>
        <w:t xml:space="preserve"> </w:t>
      </w:r>
      <w:r>
        <w:rPr>
          <w:rStyle w:val="DecValTok"/>
          <w:rFonts w:ascii="宋体" w:hAnsi="宋体" w:eastAsia="宋体"/>
          <w:color w:val="000000"/>
          <w:sz w:val="24"/>
        </w:rPr>
        <w:t xml:space="preserve">20</w:t>
      </w:r>
      <w:r>
        <w:rPr>
          <w:rStyle w:val="FunctionTok"/>
          <w:rFonts w:ascii="宋体" w:hAnsi="宋体" w:eastAsia="宋体"/>
          <w:color w:val="000000"/>
          <w:sz w:val="24"/>
        </w:rPr>
        <w:t xml:space="preserve">,</w:t>
      </w:r>
      <w:r>
        <w:rPr>
          <w:rFonts w:ascii="宋体" w:hAnsi="宋体" w:eastAsia="宋体"/>
          <w:color w:val="000000"/>
          <w:sz w:val="24"/>
        </w:rPr>
        <w:br/>
      </w:r>
      <w:r>
        <w:rPr>
          <w:rStyle w:val="NormalTok"/>
          <w:rFonts w:ascii="宋体" w:hAnsi="宋体" w:eastAsia="宋体"/>
          <w:color w:val="000000"/>
          <w:sz w:val="24"/>
        </w:rPr>
        <w:t xml:space="preserve">    </w:t>
      </w:r>
      <w:r>
        <w:rPr>
          <w:rStyle w:val="DataTypeTok"/>
          <w:rFonts w:ascii="宋体" w:hAnsi="宋体" w:eastAsia="宋体"/>
          <w:color w:val="000000"/>
          <w:sz w:val="24"/>
        </w:rPr>
        <w:t xml:space="preserve">"max_pages"</w:t>
      </w:r>
      <w:r>
        <w:rPr>
          <w:rStyle w:val="FunctionTok"/>
          <w:rFonts w:ascii="宋体" w:hAnsi="宋体" w:eastAsia="宋体"/>
          <w:color w:val="000000"/>
          <w:sz w:val="24"/>
        </w:rPr>
        <w:t xml:space="preserve">:</w:t>
      </w:r>
      <w:r>
        <w:rPr>
          <w:rStyle w:val="NormalTok"/>
          <w:rFonts w:ascii="宋体" w:hAnsi="宋体" w:eastAsia="宋体"/>
          <w:color w:val="000000"/>
          <w:sz w:val="24"/>
        </w:rPr>
        <w:t xml:space="preserve"> </w:t>
      </w:r>
      <w:r>
        <w:rPr>
          <w:rStyle w:val="DecValTok"/>
          <w:rFonts w:ascii="宋体" w:hAnsi="宋体" w:eastAsia="宋体"/>
          <w:color w:val="000000"/>
          <w:sz w:val="24"/>
        </w:rPr>
        <w:t xml:space="preserve">500</w:t>
      </w:r>
      <w:r>
        <w:rPr>
          <w:rFonts w:ascii="宋体" w:hAnsi="宋体" w:eastAsia="宋体"/>
          <w:color w:val="000000"/>
          <w:sz w:val="24"/>
        </w:rPr>
        <w:br/>
      </w:r>
      <w:r>
        <w:rPr>
          <w:rStyle w:val="NormalTok"/>
          <w:rFonts w:ascii="宋体" w:hAnsi="宋体" w:eastAsia="宋体"/>
          <w:color w:val="000000"/>
          <w:sz w:val="24"/>
        </w:rPr>
        <w:t xml:space="preserve">  </w:t>
      </w:r>
      <w:r>
        <w:rPr>
          <w:rStyle w:val="FunctionTok"/>
          <w:rFonts w:ascii="宋体" w:hAnsi="宋体" w:eastAsia="宋体"/>
          <w:color w:val="000000"/>
          <w:sz w:val="24"/>
        </w:rPr>
        <w:t xml:space="preserve">},</w:t>
      </w:r>
      <w:r>
        <w:rPr>
          <w:rFonts w:ascii="宋体" w:hAnsi="宋体" w:eastAsia="宋体"/>
          <w:color w:val="000000"/>
          <w:sz w:val="24"/>
        </w:rPr>
        <w:br/>
      </w:r>
      <w:r>
        <w:rPr>
          <w:rStyle w:val="NormalTok"/>
          <w:rFonts w:ascii="宋体" w:hAnsi="宋体" w:eastAsia="宋体"/>
          <w:color w:val="000000"/>
          <w:sz w:val="24"/>
        </w:rPr>
        <w:t xml:space="preserve">  </w:t>
      </w:r>
      <w:r>
        <w:rPr>
          <w:rStyle w:val="DataTypeTok"/>
          <w:rFonts w:ascii="宋体" w:hAnsi="宋体" w:eastAsia="宋体"/>
          <w:color w:val="000000"/>
          <w:sz w:val="24"/>
        </w:rPr>
        <w:t xml:space="preserve">"selectors"</w:t>
      </w:r>
      <w:r>
        <w:rPr>
          <w:rStyle w:val="FunctionTok"/>
          <w:rFonts w:ascii="宋体" w:hAnsi="宋体" w:eastAsia="宋体"/>
          <w:color w:val="000000"/>
          <w:sz w:val="24"/>
        </w:rPr>
        <w:t xml:space="preserve">:</w:t>
      </w:r>
      <w:r>
        <w:rPr>
          <w:rStyle w:val="NormalTok"/>
          <w:rFonts w:ascii="宋体" w:hAnsi="宋体" w:eastAsia="宋体"/>
          <w:color w:val="000000"/>
          <w:sz w:val="24"/>
        </w:rPr>
        <w:t xml:space="preserve"> </w:t>
      </w:r>
      <w:r>
        <w:rPr>
          <w:rStyle w:val="FunctionTok"/>
          <w:rFonts w:ascii="宋体" w:hAnsi="宋体" w:eastAsia="宋体"/>
          <w:color w:val="000000"/>
          <w:sz w:val="24"/>
        </w:rPr>
        <w:t xml:space="preserve">{</w:t>
      </w:r>
      <w:r>
        <w:rPr>
          <w:rFonts w:ascii="宋体" w:hAnsi="宋体" w:eastAsia="宋体"/>
          <w:color w:val="000000"/>
          <w:sz w:val="24"/>
        </w:rPr>
        <w:br/>
      </w:r>
      <w:r>
        <w:rPr>
          <w:rStyle w:val="NormalTok"/>
          <w:rFonts w:ascii="宋体" w:hAnsi="宋体" w:eastAsia="宋体"/>
          <w:color w:val="000000"/>
          <w:sz w:val="24"/>
        </w:rPr>
        <w:t xml:space="preserve">    </w:t>
      </w:r>
      <w:r>
        <w:rPr>
          <w:rStyle w:val="DataTypeTok"/>
          <w:rFonts w:ascii="宋体" w:hAnsi="宋体" w:eastAsia="宋体"/>
          <w:color w:val="000000"/>
          <w:sz w:val="24"/>
        </w:rPr>
        <w:t xml:space="preserve">"dataset_title"</w:t>
      </w:r>
      <w:r>
        <w:rPr>
          <w:rStyle w:val="FunctionTok"/>
          <w:rFonts w:ascii="宋体" w:hAnsi="宋体" w:eastAsia="宋体"/>
          <w:color w:val="000000"/>
          <w:sz w:val="24"/>
        </w:rPr>
        <w:t xml:space="preserve">:</w:t>
      </w:r>
      <w:r>
        <w:rPr>
          <w:rStyle w:val="NormalTok"/>
          <w:rFonts w:ascii="宋体" w:hAnsi="宋体" w:eastAsia="宋体"/>
          <w:color w:val="000000"/>
          <w:sz w:val="24"/>
        </w:rPr>
        <w:t xml:space="preserve"> </w:t>
      </w:r>
      <w:r>
        <w:rPr>
          <w:rStyle w:val="StringTok"/>
          <w:rFonts w:ascii="宋体" w:hAnsi="宋体" w:eastAsia="宋体"/>
          <w:color w:val="000000"/>
          <w:sz w:val="24"/>
        </w:rPr>
        <w:t xml:space="preserve">"//h1[@class='dataset-title']"</w:t>
      </w:r>
      <w:r>
        <w:rPr>
          <w:rStyle w:val="FunctionTok"/>
          <w:rFonts w:ascii="宋体" w:hAnsi="宋体" w:eastAsia="宋体"/>
          <w:color w:val="000000"/>
          <w:sz w:val="24"/>
        </w:rPr>
        <w:t xml:space="preserve">,</w:t>
      </w:r>
      <w:r>
        <w:rPr>
          <w:rFonts w:ascii="宋体" w:hAnsi="宋体" w:eastAsia="宋体"/>
          <w:color w:val="000000"/>
          <w:sz w:val="24"/>
        </w:rPr>
        <w:br/>
      </w:r>
      <w:r>
        <w:rPr>
          <w:rStyle w:val="NormalTok"/>
          <w:rFonts w:ascii="宋体" w:hAnsi="宋体" w:eastAsia="宋体"/>
          <w:color w:val="000000"/>
          <w:sz w:val="24"/>
        </w:rPr>
        <w:t xml:space="preserve">    </w:t>
      </w:r>
      <w:r>
        <w:rPr>
          <w:rStyle w:val="DataTypeTok"/>
          <w:rFonts w:ascii="宋体" w:hAnsi="宋体" w:eastAsia="宋体"/>
          <w:color w:val="000000"/>
          <w:sz w:val="24"/>
        </w:rPr>
        <w:t xml:space="preserve">"dataset_description"</w:t>
      </w:r>
      <w:r>
        <w:rPr>
          <w:rStyle w:val="FunctionTok"/>
          <w:rFonts w:ascii="宋体" w:hAnsi="宋体" w:eastAsia="宋体"/>
          <w:color w:val="000000"/>
          <w:sz w:val="24"/>
        </w:rPr>
        <w:t xml:space="preserve">:</w:t>
      </w:r>
      <w:r>
        <w:rPr>
          <w:rStyle w:val="NormalTok"/>
          <w:rFonts w:ascii="宋体" w:hAnsi="宋体" w:eastAsia="宋体"/>
          <w:color w:val="000000"/>
          <w:sz w:val="24"/>
        </w:rPr>
        <w:t xml:space="preserve"> </w:t>
      </w:r>
      <w:r>
        <w:rPr>
          <w:rStyle w:val="StringTok"/>
          <w:rFonts w:ascii="宋体" w:hAnsi="宋体" w:eastAsia="宋体"/>
          <w:color w:val="000000"/>
          <w:sz w:val="24"/>
        </w:rPr>
        <w:t xml:space="preserve">"//div[@class='dataset-desc']"</w:t>
      </w:r>
      <w:r>
        <w:rPr>
          <w:rStyle w:val="FunctionTok"/>
          <w:rFonts w:ascii="宋体" w:hAnsi="宋体" w:eastAsia="宋体"/>
          <w:color w:val="000000"/>
          <w:sz w:val="24"/>
        </w:rPr>
        <w:t xml:space="preserve">,</w:t>
      </w:r>
      <w:r>
        <w:rPr>
          <w:rFonts w:ascii="宋体" w:hAnsi="宋体" w:eastAsia="宋体"/>
          <w:color w:val="000000"/>
          <w:sz w:val="24"/>
        </w:rPr>
        <w:br/>
      </w:r>
      <w:r>
        <w:rPr>
          <w:rStyle w:val="NormalTok"/>
          <w:rFonts w:ascii="宋体" w:hAnsi="宋体" w:eastAsia="宋体"/>
          <w:color w:val="000000"/>
          <w:sz w:val="24"/>
        </w:rPr>
        <w:t xml:space="preserve">    </w:t>
      </w:r>
      <w:r>
        <w:rPr>
          <w:rStyle w:val="DataTypeTok"/>
          <w:rFonts w:ascii="宋体" w:hAnsi="宋体" w:eastAsia="宋体"/>
          <w:color w:val="000000"/>
          <w:sz w:val="24"/>
        </w:rPr>
        <w:t xml:space="preserve">"publisher"</w:t>
      </w:r>
      <w:r>
        <w:rPr>
          <w:rStyle w:val="FunctionTok"/>
          <w:rFonts w:ascii="宋体" w:hAnsi="宋体" w:eastAsia="宋体"/>
          <w:color w:val="000000"/>
          <w:sz w:val="24"/>
        </w:rPr>
        <w:t xml:space="preserve">:</w:t>
      </w:r>
      <w:r>
        <w:rPr>
          <w:rStyle w:val="NormalTok"/>
          <w:rFonts w:ascii="宋体" w:hAnsi="宋体" w:eastAsia="宋体"/>
          <w:color w:val="000000"/>
          <w:sz w:val="24"/>
        </w:rPr>
        <w:t xml:space="preserve"> </w:t>
      </w:r>
      <w:r>
        <w:rPr>
          <w:rStyle w:val="StringTok"/>
          <w:rFonts w:ascii="宋体" w:hAnsi="宋体" w:eastAsia="宋体"/>
          <w:color w:val="000000"/>
          <w:sz w:val="24"/>
        </w:rPr>
        <w:t xml:space="preserve">"//span[@class='publisher']"</w:t>
      </w:r>
      <w:r>
        <w:rPr>
          <w:rStyle w:val="FunctionTok"/>
          <w:rFonts w:ascii="宋体" w:hAnsi="宋体" w:eastAsia="宋体"/>
          <w:color w:val="000000"/>
          <w:sz w:val="24"/>
        </w:rPr>
        <w:t xml:space="preserve">,</w:t>
      </w:r>
      <w:r>
        <w:rPr>
          <w:rFonts w:ascii="宋体" w:hAnsi="宋体" w:eastAsia="宋体"/>
          <w:color w:val="000000"/>
          <w:sz w:val="24"/>
        </w:rPr>
        <w:br/>
      </w:r>
      <w:r>
        <w:rPr>
          <w:rStyle w:val="NormalTok"/>
          <w:rFonts w:ascii="宋体" w:hAnsi="宋体" w:eastAsia="宋体"/>
          <w:color w:val="000000"/>
          <w:sz w:val="24"/>
        </w:rPr>
        <w:t xml:space="preserve">    </w:t>
      </w:r>
      <w:r>
        <w:rPr>
          <w:rStyle w:val="DataTypeTok"/>
          <w:rFonts w:ascii="宋体" w:hAnsi="宋体" w:eastAsia="宋体"/>
          <w:color w:val="000000"/>
          <w:sz w:val="24"/>
        </w:rPr>
        <w:t xml:space="preserve">"update_date"</w:t>
      </w:r>
      <w:r>
        <w:rPr>
          <w:rStyle w:val="FunctionTok"/>
          <w:rFonts w:ascii="宋体" w:hAnsi="宋体" w:eastAsia="宋体"/>
          <w:color w:val="000000"/>
          <w:sz w:val="24"/>
        </w:rPr>
        <w:t xml:space="preserve">:</w:t>
      </w:r>
      <w:r>
        <w:rPr>
          <w:rStyle w:val="NormalTok"/>
          <w:rFonts w:ascii="宋体" w:hAnsi="宋体" w:eastAsia="宋体"/>
          <w:color w:val="000000"/>
          <w:sz w:val="24"/>
        </w:rPr>
        <w:t xml:space="preserve"> </w:t>
      </w:r>
      <w:r>
        <w:rPr>
          <w:rStyle w:val="StringTok"/>
          <w:rFonts w:ascii="宋体" w:hAnsi="宋体" w:eastAsia="宋体"/>
          <w:color w:val="000000"/>
          <w:sz w:val="24"/>
        </w:rPr>
        <w:t xml:space="preserve">"//span[@class='update-date']"</w:t>
      </w:r>
      <w:r>
        <w:rPr>
          <w:rStyle w:val="FunctionTok"/>
          <w:rFonts w:ascii="宋体" w:hAnsi="宋体" w:eastAsia="宋体"/>
          <w:color w:val="000000"/>
          <w:sz w:val="24"/>
        </w:rPr>
        <w:t xml:space="preserve">,</w:t>
      </w:r>
      <w:r>
        <w:rPr>
          <w:rFonts w:ascii="宋体" w:hAnsi="宋体" w:eastAsia="宋体"/>
          <w:color w:val="000000"/>
          <w:sz w:val="24"/>
        </w:rPr>
        <w:br/>
      </w:r>
      <w:r>
        <w:rPr>
          <w:rStyle w:val="NormalTok"/>
          <w:rFonts w:ascii="宋体" w:hAnsi="宋体" w:eastAsia="宋体"/>
          <w:color w:val="000000"/>
          <w:sz w:val="24"/>
        </w:rPr>
        <w:t xml:space="preserve">    </w:t>
      </w:r>
      <w:r>
        <w:rPr>
          <w:rStyle w:val="DataTypeTok"/>
          <w:rFonts w:ascii="宋体" w:hAnsi="宋体" w:eastAsia="宋体"/>
          <w:color w:val="000000"/>
          <w:sz w:val="24"/>
        </w:rPr>
        <w:t xml:space="preserve">"data_format"</w:t>
      </w:r>
      <w:r>
        <w:rPr>
          <w:rStyle w:val="FunctionTok"/>
          <w:rFonts w:ascii="宋体" w:hAnsi="宋体" w:eastAsia="宋体"/>
          <w:color w:val="000000"/>
          <w:sz w:val="24"/>
        </w:rPr>
        <w:t xml:space="preserve">:</w:t>
      </w:r>
      <w:r>
        <w:rPr>
          <w:rStyle w:val="NormalTok"/>
          <w:rFonts w:ascii="宋体" w:hAnsi="宋体" w:eastAsia="宋体"/>
          <w:color w:val="000000"/>
          <w:sz w:val="24"/>
        </w:rPr>
        <w:t xml:space="preserve"> </w:t>
      </w:r>
      <w:r>
        <w:rPr>
          <w:rStyle w:val="StringTok"/>
          <w:rFonts w:ascii="宋体" w:hAnsi="宋体" w:eastAsia="宋体"/>
          <w:color w:val="000000"/>
          <w:sz w:val="24"/>
        </w:rPr>
        <w:t xml:space="preserve">"//span[@class='data-format']"</w:t>
      </w:r>
      <w:r>
        <w:rPr>
          <w:rStyle w:val="FunctionTok"/>
          <w:rFonts w:ascii="宋体" w:hAnsi="宋体" w:eastAsia="宋体"/>
          <w:color w:val="000000"/>
          <w:sz w:val="24"/>
        </w:rPr>
        <w:t xml:space="preserve">,</w:t>
      </w:r>
      <w:r>
        <w:rPr>
          <w:rFonts w:ascii="宋体" w:hAnsi="宋体" w:eastAsia="宋体"/>
          <w:color w:val="000000"/>
          <w:sz w:val="24"/>
        </w:rPr>
        <w:br/>
      </w:r>
      <w:r>
        <w:rPr>
          <w:rStyle w:val="NormalTok"/>
          <w:rFonts w:ascii="宋体" w:hAnsi="宋体" w:eastAsia="宋体"/>
          <w:color w:val="000000"/>
          <w:sz w:val="24"/>
        </w:rPr>
        <w:t xml:space="preserve">    </w:t>
      </w:r>
      <w:r>
        <w:rPr>
          <w:rStyle w:val="DataTypeTok"/>
          <w:rFonts w:ascii="宋体" w:hAnsi="宋体" w:eastAsia="宋体"/>
          <w:color w:val="000000"/>
          <w:sz w:val="24"/>
        </w:rPr>
        <w:t xml:space="preserve">"download_url"</w:t>
      </w:r>
      <w:r>
        <w:rPr>
          <w:rStyle w:val="FunctionTok"/>
          <w:rFonts w:ascii="宋体" w:hAnsi="宋体" w:eastAsia="宋体"/>
          <w:color w:val="000000"/>
          <w:sz w:val="24"/>
        </w:rPr>
        <w:t xml:space="preserve">:</w:t>
      </w:r>
      <w:r>
        <w:rPr>
          <w:rStyle w:val="NormalTok"/>
          <w:rFonts w:ascii="宋体" w:hAnsi="宋体" w:eastAsia="宋体"/>
          <w:color w:val="000000"/>
          <w:sz w:val="24"/>
        </w:rPr>
        <w:t xml:space="preserve"> </w:t>
      </w:r>
      <w:r>
        <w:rPr>
          <w:rStyle w:val="StringTok"/>
          <w:rFonts w:ascii="宋体" w:hAnsi="宋体" w:eastAsia="宋体"/>
          <w:color w:val="000000"/>
          <w:sz w:val="24"/>
        </w:rPr>
        <w:t xml:space="preserve">"//a[@class='download-link']/@href"</w:t>
      </w:r>
      <w:r>
        <w:rPr>
          <w:rFonts w:ascii="宋体" w:hAnsi="宋体" w:eastAsia="宋体"/>
          <w:color w:val="000000"/>
          <w:sz w:val="24"/>
        </w:rPr>
        <w:br/>
      </w:r>
      <w:r>
        <w:rPr>
          <w:rStyle w:val="NormalTok"/>
          <w:rFonts w:ascii="宋体" w:hAnsi="宋体" w:eastAsia="宋体"/>
          <w:color w:val="000000"/>
          <w:sz w:val="24"/>
        </w:rPr>
        <w:t xml:space="preserve">  </w:t>
      </w:r>
      <w:r>
        <w:rPr>
          <w:rStyle w:val="FunctionTok"/>
          <w:rFonts w:ascii="宋体" w:hAnsi="宋体" w:eastAsia="宋体"/>
          <w:color w:val="000000"/>
          <w:sz w:val="24"/>
        </w:rPr>
        <w:t xml:space="preserve">},</w:t>
      </w:r>
      <w:r>
        <w:rPr>
          <w:rFonts w:ascii="宋体" w:hAnsi="宋体" w:eastAsia="宋体"/>
          <w:color w:val="000000"/>
          <w:sz w:val="24"/>
        </w:rPr>
        <w:br/>
      </w:r>
      <w:r>
        <w:rPr>
          <w:rStyle w:val="NormalTok"/>
          <w:rFonts w:ascii="宋体" w:hAnsi="宋体" w:eastAsia="宋体"/>
          <w:color w:val="000000"/>
          <w:sz w:val="24"/>
        </w:rPr>
        <w:t xml:space="preserve">  </w:t>
      </w:r>
      <w:r>
        <w:rPr>
          <w:rStyle w:val="DataTypeTok"/>
          <w:rFonts w:ascii="宋体" w:hAnsi="宋体" w:eastAsia="宋体"/>
          <w:color w:val="000000"/>
          <w:sz w:val="24"/>
        </w:rPr>
        <w:t xml:space="preserve">"anti_crawl"</w:t>
      </w:r>
      <w:r>
        <w:rPr>
          <w:rStyle w:val="FunctionTok"/>
          <w:rFonts w:ascii="宋体" w:hAnsi="宋体" w:eastAsia="宋体"/>
          <w:color w:val="000000"/>
          <w:sz w:val="24"/>
        </w:rPr>
        <w:t xml:space="preserve">:</w:t>
      </w:r>
      <w:r>
        <w:rPr>
          <w:rStyle w:val="NormalTok"/>
          <w:rFonts w:ascii="宋体" w:hAnsi="宋体" w:eastAsia="宋体"/>
          <w:color w:val="000000"/>
          <w:sz w:val="24"/>
        </w:rPr>
        <w:t xml:space="preserve"> </w:t>
      </w:r>
      <w:r>
        <w:rPr>
          <w:rStyle w:val="FunctionTok"/>
          <w:rFonts w:ascii="宋体" w:hAnsi="宋体" w:eastAsia="宋体"/>
          <w:color w:val="000000"/>
          <w:sz w:val="24"/>
        </w:rPr>
        <w:t xml:space="preserve">{</w:t>
      </w:r>
      <w:r>
        <w:rPr>
          <w:rFonts w:ascii="宋体" w:hAnsi="宋体" w:eastAsia="宋体"/>
          <w:color w:val="000000"/>
          <w:sz w:val="24"/>
        </w:rPr>
        <w:br/>
      </w:r>
      <w:r>
        <w:rPr>
          <w:rStyle w:val="NormalTok"/>
          <w:rFonts w:ascii="宋体" w:hAnsi="宋体" w:eastAsia="宋体"/>
          <w:color w:val="000000"/>
          <w:sz w:val="24"/>
        </w:rPr>
        <w:t xml:space="preserve">    </w:t>
      </w:r>
      <w:r>
        <w:rPr>
          <w:rStyle w:val="DataTypeTok"/>
          <w:rFonts w:ascii="宋体" w:hAnsi="宋体" w:eastAsia="宋体"/>
          <w:color w:val="000000"/>
          <w:sz w:val="24"/>
        </w:rPr>
        <w:t xml:space="preserve">"request_interval"</w:t>
      </w:r>
      <w:r>
        <w:rPr>
          <w:rStyle w:val="FunctionTok"/>
          <w:rFonts w:ascii="宋体" w:hAnsi="宋体" w:eastAsia="宋体"/>
          <w:color w:val="000000"/>
          <w:sz w:val="24"/>
        </w:rPr>
        <w:t xml:space="preserve">:</w:t>
      </w:r>
      <w:r>
        <w:rPr>
          <w:rStyle w:val="NormalTok"/>
          <w:rFonts w:ascii="宋体" w:hAnsi="宋体" w:eastAsia="宋体"/>
          <w:color w:val="000000"/>
          <w:sz w:val="24"/>
        </w:rPr>
        <w:t xml:space="preserve"> </w:t>
      </w:r>
      <w:r>
        <w:rPr>
          <w:rStyle w:val="DecValTok"/>
          <w:rFonts w:ascii="宋体" w:hAnsi="宋体" w:eastAsia="宋体"/>
          <w:color w:val="000000"/>
          <w:sz w:val="24"/>
        </w:rPr>
        <w:t xml:space="preserve">5</w:t>
      </w:r>
      <w:r>
        <w:rPr>
          <w:rStyle w:val="FunctionTok"/>
          <w:rFonts w:ascii="宋体" w:hAnsi="宋体" w:eastAsia="宋体"/>
          <w:color w:val="000000"/>
          <w:sz w:val="24"/>
        </w:rPr>
        <w:t xml:space="preserve">,</w:t>
      </w:r>
      <w:r>
        <w:rPr>
          <w:rFonts w:ascii="宋体" w:hAnsi="宋体" w:eastAsia="宋体"/>
          <w:color w:val="000000"/>
          <w:sz w:val="24"/>
        </w:rPr>
        <w:br/>
      </w:r>
      <w:r>
        <w:rPr>
          <w:rStyle w:val="NormalTok"/>
          <w:rFonts w:ascii="宋体" w:hAnsi="宋体" w:eastAsia="宋体"/>
          <w:color w:val="000000"/>
          <w:sz w:val="24"/>
        </w:rPr>
        <w:t xml:space="preserve">    </w:t>
      </w:r>
      <w:r>
        <w:rPr>
          <w:rStyle w:val="DataTypeTok"/>
          <w:rFonts w:ascii="宋体" w:hAnsi="宋体" w:eastAsia="宋体"/>
          <w:color w:val="000000"/>
          <w:sz w:val="24"/>
        </w:rPr>
        <w:t xml:space="preserve">"user_agent_rotation"</w:t>
      </w:r>
      <w:r>
        <w:rPr>
          <w:rStyle w:val="FunctionTok"/>
          <w:rFonts w:ascii="宋体" w:hAnsi="宋体" w:eastAsia="宋体"/>
          <w:color w:val="000000"/>
          <w:sz w:val="24"/>
        </w:rPr>
        <w:t xml:space="preserve">:</w:t>
      </w:r>
      <w:r>
        <w:rPr>
          <w:rStyle w:val="NormalTok"/>
          <w:rFonts w:ascii="宋体" w:hAnsi="宋体" w:eastAsia="宋体"/>
          <w:color w:val="000000"/>
          <w:sz w:val="24"/>
        </w:rPr>
        <w:t xml:space="preserve"> </w:t>
      </w:r>
      <w:r>
        <w:rPr>
          <w:rStyle w:val="KeywordTok"/>
          <w:rFonts w:ascii="宋体" w:hAnsi="宋体" w:eastAsia="宋体"/>
          <w:color w:val="000000"/>
          <w:sz w:val="24"/>
        </w:rPr>
        <w:t xml:space="preserve">true</w:t>
      </w:r>
      <w:r>
        <w:rPr>
          <w:rStyle w:val="FunctionTok"/>
          <w:rFonts w:ascii="宋体" w:hAnsi="宋体" w:eastAsia="宋体"/>
          <w:color w:val="000000"/>
          <w:sz w:val="24"/>
        </w:rPr>
        <w:t xml:space="preserve">,</w:t>
      </w:r>
      <w:r>
        <w:rPr>
          <w:rFonts w:ascii="宋体" w:hAnsi="宋体" w:eastAsia="宋体"/>
          <w:color w:val="000000"/>
          <w:sz w:val="24"/>
        </w:rPr>
        <w:br/>
      </w:r>
      <w:r>
        <w:rPr>
          <w:rStyle w:val="NormalTok"/>
          <w:rFonts w:ascii="宋体" w:hAnsi="宋体" w:eastAsia="宋体"/>
          <w:color w:val="000000"/>
          <w:sz w:val="24"/>
        </w:rPr>
        <w:t xml:space="preserve">    </w:t>
      </w:r>
      <w:r>
        <w:rPr>
          <w:rStyle w:val="DataTypeTok"/>
          <w:rFonts w:ascii="宋体" w:hAnsi="宋体" w:eastAsia="宋体"/>
          <w:color w:val="000000"/>
          <w:sz w:val="24"/>
        </w:rPr>
        <w:t xml:space="preserve">"proxy_pool"</w:t>
      </w:r>
      <w:r>
        <w:rPr>
          <w:rStyle w:val="FunctionTok"/>
          <w:rFonts w:ascii="宋体" w:hAnsi="宋体" w:eastAsia="宋体"/>
          <w:color w:val="000000"/>
          <w:sz w:val="24"/>
        </w:rPr>
        <w:t xml:space="preserve">:</w:t>
      </w:r>
      <w:r>
        <w:rPr>
          <w:rStyle w:val="NormalTok"/>
          <w:rFonts w:ascii="宋体" w:hAnsi="宋体" w:eastAsia="宋体"/>
          <w:color w:val="000000"/>
          <w:sz w:val="24"/>
        </w:rPr>
        <w:t xml:space="preserve"> </w:t>
      </w:r>
      <w:r>
        <w:rPr>
          <w:rStyle w:val="KeywordTok"/>
          <w:rFonts w:ascii="宋体" w:hAnsi="宋体" w:eastAsia="宋体"/>
          <w:color w:val="000000"/>
          <w:sz w:val="24"/>
        </w:rPr>
        <w:t xml:space="preserve">false</w:t>
      </w:r>
      <w:r>
        <w:rPr>
          <w:rStyle w:val="FunctionTok"/>
          <w:rFonts w:ascii="宋体" w:hAnsi="宋体" w:eastAsia="宋体"/>
          <w:color w:val="000000"/>
          <w:sz w:val="24"/>
        </w:rPr>
        <w:t xml:space="preserve">,</w:t>
      </w:r>
      <w:r>
        <w:rPr>
          <w:rFonts w:ascii="宋体" w:hAnsi="宋体" w:eastAsia="宋体"/>
          <w:color w:val="000000"/>
          <w:sz w:val="24"/>
        </w:rPr>
        <w:br/>
      </w:r>
      <w:r>
        <w:rPr>
          <w:rStyle w:val="NormalTok"/>
          <w:rFonts w:ascii="宋体" w:hAnsi="宋体" w:eastAsia="宋体"/>
          <w:color w:val="000000"/>
          <w:sz w:val="24"/>
        </w:rPr>
        <w:t xml:space="preserve">    </w:t>
      </w:r>
      <w:r>
        <w:rPr>
          <w:rStyle w:val="DataTypeTok"/>
          <w:rFonts w:ascii="宋体" w:hAnsi="宋体" w:eastAsia="宋体"/>
          <w:color w:val="000000"/>
          <w:sz w:val="24"/>
        </w:rPr>
        <w:t xml:space="preserve">"cookie_persistence"</w:t>
      </w:r>
      <w:r>
        <w:rPr>
          <w:rStyle w:val="FunctionTok"/>
          <w:rFonts w:ascii="宋体" w:hAnsi="宋体" w:eastAsia="宋体"/>
          <w:color w:val="000000"/>
          <w:sz w:val="24"/>
        </w:rPr>
        <w:t xml:space="preserve">:</w:t>
      </w:r>
      <w:r>
        <w:rPr>
          <w:rStyle w:val="NormalTok"/>
          <w:rFonts w:ascii="宋体" w:hAnsi="宋体" w:eastAsia="宋体"/>
          <w:color w:val="000000"/>
          <w:sz w:val="24"/>
        </w:rPr>
        <w:t xml:space="preserve"> </w:t>
      </w:r>
      <w:r>
        <w:rPr>
          <w:rStyle w:val="KeywordTok"/>
          <w:rFonts w:ascii="宋体" w:hAnsi="宋体" w:eastAsia="宋体"/>
          <w:color w:val="000000"/>
          <w:sz w:val="24"/>
        </w:rPr>
        <w:t xml:space="preserve">true</w:t>
      </w:r>
      <w:r>
        <w:rPr>
          <w:rFonts w:ascii="宋体" w:hAnsi="宋体" w:eastAsia="宋体"/>
          <w:color w:val="000000"/>
          <w:sz w:val="24"/>
        </w:rPr>
        <w:br/>
      </w:r>
      <w:r>
        <w:rPr>
          <w:rStyle w:val="NormalTok"/>
          <w:rFonts w:ascii="宋体" w:hAnsi="宋体" w:eastAsia="宋体"/>
          <w:color w:val="000000"/>
          <w:sz w:val="24"/>
        </w:rPr>
        <w:t xml:space="preserve">  </w:t>
      </w:r>
      <w:r>
        <w:rPr>
          <w:rStyle w:val="FunctionTok"/>
          <w:rFonts w:ascii="宋体" w:hAnsi="宋体" w:eastAsia="宋体"/>
          <w:color w:val="000000"/>
          <w:sz w:val="24"/>
        </w:rPr>
        <w:t xml:space="preserve">}</w:t>
      </w:r>
      <w:r>
        <w:rPr>
          <w:rFonts w:ascii="宋体" w:hAnsi="宋体" w:eastAsia="宋体"/>
          <w:color w:val="000000"/>
          <w:sz w:val="24"/>
        </w:rPr>
        <w:br/>
      </w:r>
      <w:r>
        <w:rPr>
          <w:rStyle w:val="FunctionTok"/>
          <w:rFonts w:ascii="宋体" w:hAnsi="宋体" w:eastAsia="宋体"/>
          <w:color w:val="000000"/>
          <w:sz w:val="24"/>
        </w:rPr>
        <w:t xml:space="preserve">}</w:t>
      </w:r>
    </w:p>
    <w:bookmarkEnd w:id="237"/>
    <w:bookmarkStart w:id="238" w:name="e.2-数据清洗核心代码"/>
    <w:p>
      <w:pPr>
        <w:pStyle w:val="Heading3"/>
        <w:spacing w:line="360" w:lineRule="auto"/>
      </w:pPr>
      <w:r>
        <w:rPr>
          <w:rFonts w:ascii="黑体" w:hAnsi="黑体" w:eastAsia="黑体"/>
          <w:b/>
          <w:color w:val="000000"/>
          <w:sz w:val="24"/>
        </w:rPr>
        <w:t xml:space="preserve">E.2 </w:t>
      </w:r>
      <w:r>
        <w:rPr>
          <w:rFonts w:hint="eastAsia" w:ascii="黑体" w:hAnsi="黑体" w:eastAsia="黑体"/>
          <w:b/>
          <w:color w:val="000000"/>
          <w:sz w:val="24"/>
        </w:rPr>
        <w:t xml:space="preserve">数据清洗核心代码</w:t>
      </w:r>
    </w:p>
    <w:p>
      <w:pPr>
        <w:pStyle w:val="SourceCode"/>
        <w:spacing w:line="360" w:lineRule="auto"/>
      </w:pPr>
      <w:r>
        <w:rPr>
          <w:rStyle w:val="KeywordTok"/>
          <w:rFonts w:ascii="宋体" w:hAnsi="宋体" w:eastAsia="宋体"/>
          <w:color w:val="000000"/>
          <w:sz w:val="24"/>
        </w:rPr>
        <w:t xml:space="preserve">def</w:t>
      </w:r>
      <w:r>
        <w:rPr>
          <w:rStyle w:val="NormalTok"/>
          <w:rFonts w:ascii="宋体" w:hAnsi="宋体" w:eastAsia="宋体"/>
          <w:color w:val="000000"/>
          <w:sz w:val="24"/>
        </w:rPr>
        <w:t xml:space="preserve"> clean_dataset(raw_data):</w:t>
      </w:r>
      <w:r>
        <w:rPr>
          <w:rFonts w:ascii="宋体" w:hAnsi="宋体" w:eastAsia="宋体"/>
          <w:color w:val="000000"/>
          <w:sz w:val="24"/>
        </w:rPr>
        <w:br/>
      </w:r>
      <w:r>
        <w:rPr>
          <w:rStyle w:val="NormalTok"/>
          <w:rFonts w:ascii="宋体" w:hAnsi="宋体" w:eastAsia="宋体"/>
          <w:color w:val="000000"/>
          <w:sz w:val="24"/>
        </w:rPr>
        <w:t xml:space="preserve">    </w:t>
      </w:r>
      <w:r>
        <w:rPr>
          <w:rStyle w:val="CommentTok"/>
          <w:rFonts w:ascii="宋体" w:hAnsi="宋体" w:eastAsia="宋体"/>
          <w:color w:val="000000"/>
          <w:sz w:val="24"/>
        </w:rPr>
        <w:t xml:space="preserve">"""清洗数据集数据"""</w:t>
      </w:r>
      <w:r>
        <w:rPr>
          <w:rFonts w:ascii="宋体" w:hAnsi="宋体" w:eastAsia="宋体"/>
          <w:color w:val="000000"/>
          <w:sz w:val="24"/>
        </w:rPr>
        <w:br/>
      </w:r>
      <w:r>
        <w:rPr>
          <w:rStyle w:val="NormalTok"/>
          <w:rFonts w:ascii="宋体" w:hAnsi="宋体" w:eastAsia="宋体"/>
          <w:color w:val="000000"/>
          <w:sz w:val="24"/>
        </w:rPr>
        <w:t xml:space="preserve">    cleaned </w:t>
      </w:r>
      <w:r>
        <w:rPr>
          <w:rStyle w:val="OperatorTok"/>
          <w:rFonts w:ascii="宋体" w:hAnsi="宋体" w:eastAsia="宋体"/>
          <w:color w:val="000000"/>
          <w:sz w:val="24"/>
        </w:rPr>
        <w:t xml:space="preserve">=</w:t>
      </w:r>
      <w:r>
        <w:rPr>
          <w:rStyle w:val="NormalTok"/>
          <w:rFonts w:ascii="宋体" w:hAnsi="宋体" w:eastAsia="宋体"/>
          <w:color w:val="000000"/>
          <w:sz w:val="24"/>
        </w:rPr>
        <w:t xml:space="preserve"> {}</w:t>
      </w:r>
      <w:r>
        <w:rPr>
          <w:rFonts w:ascii="宋体" w:hAnsi="宋体" w:eastAsia="宋体"/>
          <w:color w:val="000000"/>
          <w:sz w:val="24"/>
        </w:rPr>
        <w:br/>
      </w:r>
      <w:r>
        <w:rPr>
          <w:rStyle w:val="NormalTok"/>
          <w:rFonts w:ascii="宋体" w:hAnsi="宋体" w:eastAsia="宋体"/>
          <w:color w:val="000000"/>
          <w:sz w:val="24"/>
        </w:rPr>
        <w:t xml:space="preserve">    </w:t>
      </w:r>
      <w:r>
        <w:rPr>
          <w:rStyle w:val="CommentTok"/>
          <w:rFonts w:ascii="宋体" w:hAnsi="宋体" w:eastAsia="宋体"/>
          <w:color w:val="000000"/>
          <w:sz w:val="24"/>
        </w:rPr>
        <w:t xml:space="preserve"># 标题清洗：去除首尾空格和特殊字符</w:t>
      </w:r>
      <w:r>
        <w:rPr>
          <w:rFonts w:ascii="宋体" w:hAnsi="宋体" w:eastAsia="宋体"/>
          <w:color w:val="000000"/>
          <w:sz w:val="24"/>
        </w:rPr>
        <w:br/>
      </w:r>
      <w:r>
        <w:rPr>
          <w:rStyle w:val="NormalTok"/>
          <w:rFonts w:ascii="宋体" w:hAnsi="宋体" w:eastAsia="宋体"/>
          <w:color w:val="000000"/>
          <w:sz w:val="24"/>
        </w:rPr>
        <w:t xml:space="preserve">    cleaned[</w:t>
      </w:r>
      <w:r>
        <w:rPr>
          <w:rStyle w:val="StringTok"/>
          <w:rFonts w:ascii="宋体" w:hAnsi="宋体" w:eastAsia="宋体"/>
          <w:color w:val="000000"/>
          <w:sz w:val="24"/>
        </w:rPr>
        <w:t xml:space="preserve">'title'</w:t>
      </w:r>
      <w:r>
        <w:rPr>
          <w:rStyle w:val="NormalTok"/>
          <w:rFonts w:ascii="宋体" w:hAnsi="宋体" w:eastAsia="宋体"/>
          <w:color w:val="000000"/>
          <w:sz w:val="24"/>
        </w:rPr>
        <w:t xml:space="preserve">] </w:t>
      </w:r>
      <w:r>
        <w:rPr>
          <w:rStyle w:val="OperatorTok"/>
          <w:rFonts w:ascii="宋体" w:hAnsi="宋体" w:eastAsia="宋体"/>
          <w:color w:val="000000"/>
          <w:sz w:val="24"/>
        </w:rPr>
        <w:t xml:space="preserve">=</w:t>
      </w:r>
      <w:r>
        <w:rPr>
          <w:rStyle w:val="NormalTok"/>
          <w:rFonts w:ascii="宋体" w:hAnsi="宋体" w:eastAsia="宋体"/>
          <w:color w:val="000000"/>
          <w:sz w:val="24"/>
        </w:rPr>
        <w:t xml:space="preserve"> raw_data.get(</w:t>
      </w:r>
      <w:r>
        <w:rPr>
          <w:rStyle w:val="StringTok"/>
          <w:rFonts w:ascii="宋体" w:hAnsi="宋体" w:eastAsia="宋体"/>
          <w:color w:val="000000"/>
          <w:sz w:val="24"/>
        </w:rPr>
        <w:t xml:space="preserve">'title'</w:t>
      </w:r>
      <w:r>
        <w:rPr>
          <w:rStyle w:val="NormalTok"/>
          <w:rFonts w:ascii="宋体" w:hAnsi="宋体" w:eastAsia="宋体"/>
          <w:color w:val="000000"/>
          <w:sz w:val="24"/>
        </w:rPr>
        <w:t xml:space="preserve">, </w:t>
      </w:r>
      <w:r>
        <w:rPr>
          <w:rStyle w:val="StringTok"/>
          <w:rFonts w:ascii="宋体" w:hAnsi="宋体" w:eastAsia="宋体"/>
          <w:color w:val="000000"/>
          <w:sz w:val="24"/>
        </w:rPr>
        <w:t xml:space="preserve">''</w:t>
      </w:r>
      <w:r>
        <w:rPr>
          <w:rStyle w:val="NormalTok"/>
          <w:rFonts w:ascii="宋体" w:hAnsi="宋体" w:eastAsia="宋体"/>
          <w:color w:val="000000"/>
          <w:sz w:val="24"/>
        </w:rPr>
        <w:t xml:space="preserve">).strip()</w:t>
      </w:r>
      <w:r>
        <w:rPr>
          <w:rFonts w:ascii="宋体" w:hAnsi="宋体" w:eastAsia="宋体"/>
          <w:color w:val="000000"/>
          <w:sz w:val="24"/>
        </w:rPr>
        <w:br/>
      </w:r>
      <w:r>
        <w:rPr>
          <w:rStyle w:val="NormalTok"/>
          <w:rFonts w:ascii="宋体" w:hAnsi="宋体" w:eastAsia="宋体"/>
          <w:color w:val="000000"/>
          <w:sz w:val="24"/>
        </w:rPr>
        <w:t xml:space="preserve">    </w:t>
      </w:r>
      <w:r>
        <w:rPr>
          <w:rStyle w:val="CommentTok"/>
          <w:rFonts w:ascii="宋体" w:hAnsi="宋体" w:eastAsia="宋体"/>
          <w:color w:val="000000"/>
          <w:sz w:val="24"/>
        </w:rPr>
        <w:t xml:space="preserve"># 描述清洗：去除HTML标签，限制长度</w:t>
      </w:r>
      <w:r>
        <w:rPr>
          <w:rFonts w:ascii="宋体" w:hAnsi="宋体" w:eastAsia="宋体"/>
          <w:color w:val="000000"/>
          <w:sz w:val="24"/>
        </w:rPr>
        <w:br/>
      </w:r>
      <w:r>
        <w:rPr>
          <w:rStyle w:val="NormalTok"/>
          <w:rFonts w:ascii="宋体" w:hAnsi="宋体" w:eastAsia="宋体"/>
          <w:color w:val="000000"/>
          <w:sz w:val="24"/>
        </w:rPr>
        <w:t xml:space="preserve">    desc </w:t>
      </w:r>
      <w:r>
        <w:rPr>
          <w:rStyle w:val="OperatorTok"/>
          <w:rFonts w:ascii="宋体" w:hAnsi="宋体" w:eastAsia="宋体"/>
          <w:color w:val="000000"/>
          <w:sz w:val="24"/>
        </w:rPr>
        <w:t xml:space="preserve">=</w:t>
      </w:r>
      <w:r>
        <w:rPr>
          <w:rStyle w:val="NormalTok"/>
          <w:rFonts w:ascii="宋体" w:hAnsi="宋体" w:eastAsia="宋体"/>
          <w:color w:val="000000"/>
          <w:sz w:val="24"/>
        </w:rPr>
        <w:t xml:space="preserve"> raw_data.get(</w:t>
      </w:r>
      <w:r>
        <w:rPr>
          <w:rStyle w:val="StringTok"/>
          <w:rFonts w:ascii="宋体" w:hAnsi="宋体" w:eastAsia="宋体"/>
          <w:color w:val="000000"/>
          <w:sz w:val="24"/>
        </w:rPr>
        <w:t xml:space="preserve">'description'</w:t>
      </w:r>
      <w:r>
        <w:rPr>
          <w:rStyle w:val="NormalTok"/>
          <w:rFonts w:ascii="宋体" w:hAnsi="宋体" w:eastAsia="宋体"/>
          <w:color w:val="000000"/>
          <w:sz w:val="24"/>
        </w:rPr>
        <w:t xml:space="preserve">, </w:t>
      </w:r>
      <w:r>
        <w:rPr>
          <w:rStyle w:val="StringTok"/>
          <w:rFonts w:ascii="宋体" w:hAnsi="宋体" w:eastAsia="宋体"/>
          <w:color w:val="000000"/>
          <w:sz w:val="24"/>
        </w:rPr>
        <w:t xml:space="preserve">''</w:t>
      </w:r>
      <w:r>
        <w:rPr>
          <w:rStyle w:val="NormalTok"/>
          <w:rFonts w:ascii="宋体" w:hAnsi="宋体" w:eastAsia="宋体"/>
          <w:color w:val="000000"/>
          <w:sz w:val="24"/>
        </w:rPr>
        <w:t xml:space="preserve">)</w:t>
      </w:r>
      <w:r>
        <w:rPr>
          <w:rFonts w:ascii="宋体" w:hAnsi="宋体" w:eastAsia="宋体"/>
          <w:color w:val="000000"/>
          <w:sz w:val="24"/>
        </w:rPr>
        <w:br/>
      </w:r>
      <w:r>
        <w:rPr>
          <w:rStyle w:val="NormalTok"/>
          <w:rFonts w:ascii="宋体" w:hAnsi="宋体" w:eastAsia="宋体"/>
          <w:color w:val="000000"/>
          <w:sz w:val="24"/>
        </w:rPr>
        <w:t xml:space="preserve">    cleaned[</w:t>
      </w:r>
      <w:r>
        <w:rPr>
          <w:rStyle w:val="StringTok"/>
          <w:rFonts w:ascii="宋体" w:hAnsi="宋体" w:eastAsia="宋体"/>
          <w:color w:val="000000"/>
          <w:sz w:val="24"/>
        </w:rPr>
        <w:t xml:space="preserve">'description'</w:t>
      </w:r>
      <w:r>
        <w:rPr>
          <w:rStyle w:val="NormalTok"/>
          <w:rFonts w:ascii="宋体" w:hAnsi="宋体" w:eastAsia="宋体"/>
          <w:color w:val="000000"/>
          <w:sz w:val="24"/>
        </w:rPr>
        <w:t xml:space="preserve">] </w:t>
      </w:r>
      <w:r>
        <w:rPr>
          <w:rStyle w:val="OperatorTok"/>
          <w:rFonts w:ascii="宋体" w:hAnsi="宋体" w:eastAsia="宋体"/>
          <w:color w:val="000000"/>
          <w:sz w:val="24"/>
        </w:rPr>
        <w:t xml:space="preserve">=</w:t>
      </w:r>
      <w:r>
        <w:rPr>
          <w:rStyle w:val="NormalTok"/>
          <w:rFonts w:ascii="宋体" w:hAnsi="宋体" w:eastAsia="宋体"/>
          <w:color w:val="000000"/>
          <w:sz w:val="24"/>
        </w:rPr>
        <w:t xml:space="preserve"> strip_html_tags(desc)[:</w:t>
      </w:r>
      <w:r>
        <w:rPr>
          <w:rStyle w:val="DecValTok"/>
          <w:rFonts w:ascii="宋体" w:hAnsi="宋体" w:eastAsia="宋体"/>
          <w:color w:val="000000"/>
          <w:sz w:val="24"/>
        </w:rPr>
        <w:t xml:space="preserve">500</w:t>
      </w:r>
      <w:r>
        <w:rPr>
          <w:rStyle w:val="NormalTok"/>
          <w:rFonts w:ascii="宋体" w:hAnsi="宋体" w:eastAsia="宋体"/>
          <w:color w:val="000000"/>
          <w:sz w:val="24"/>
        </w:rPr>
        <w:t xml:space="preserve">]</w:t>
      </w:r>
      <w:r>
        <w:rPr>
          <w:rFonts w:ascii="宋体" w:hAnsi="宋体" w:eastAsia="宋体"/>
          <w:color w:val="000000"/>
          <w:sz w:val="24"/>
        </w:rPr>
        <w:br/>
      </w:r>
      <w:r>
        <w:rPr>
          <w:rStyle w:val="NormalTok"/>
          <w:rFonts w:ascii="宋体" w:hAnsi="宋体" w:eastAsia="宋体"/>
          <w:color w:val="000000"/>
          <w:sz w:val="24"/>
        </w:rPr>
        <w:t xml:space="preserve">    </w:t>
      </w:r>
      <w:r>
        <w:rPr>
          <w:rStyle w:val="CommentTok"/>
          <w:rFonts w:ascii="宋体" w:hAnsi="宋体" w:eastAsia="宋体"/>
          <w:color w:val="000000"/>
          <w:sz w:val="24"/>
        </w:rPr>
        <w:t xml:space="preserve"># 日期标准化：统一为YYYY-MM-DD格式</w:t>
      </w:r>
      <w:r>
        <w:rPr>
          <w:rFonts w:ascii="宋体" w:hAnsi="宋体" w:eastAsia="宋体"/>
          <w:color w:val="000000"/>
          <w:sz w:val="24"/>
        </w:rPr>
        <w:br/>
      </w:r>
      <w:r>
        <w:rPr>
          <w:rStyle w:val="NormalTok"/>
          <w:rFonts w:ascii="宋体" w:hAnsi="宋体" w:eastAsia="宋体"/>
          <w:color w:val="000000"/>
          <w:sz w:val="24"/>
        </w:rPr>
        <w:t xml:space="preserve">    date_str </w:t>
      </w:r>
      <w:r>
        <w:rPr>
          <w:rStyle w:val="OperatorTok"/>
          <w:rFonts w:ascii="宋体" w:hAnsi="宋体" w:eastAsia="宋体"/>
          <w:color w:val="000000"/>
          <w:sz w:val="24"/>
        </w:rPr>
        <w:t xml:space="preserve">=</w:t>
      </w:r>
      <w:r>
        <w:rPr>
          <w:rStyle w:val="NormalTok"/>
          <w:rFonts w:ascii="宋体" w:hAnsi="宋体" w:eastAsia="宋体"/>
          <w:color w:val="000000"/>
          <w:sz w:val="24"/>
        </w:rPr>
        <w:t xml:space="preserve"> raw_data.get(</w:t>
      </w:r>
      <w:r>
        <w:rPr>
          <w:rStyle w:val="StringTok"/>
          <w:rFonts w:ascii="宋体" w:hAnsi="宋体" w:eastAsia="宋体"/>
          <w:color w:val="000000"/>
          <w:sz w:val="24"/>
        </w:rPr>
        <w:t xml:space="preserve">'update_date'</w:t>
      </w:r>
      <w:r>
        <w:rPr>
          <w:rStyle w:val="NormalTok"/>
          <w:rFonts w:ascii="宋体" w:hAnsi="宋体" w:eastAsia="宋体"/>
          <w:color w:val="000000"/>
          <w:sz w:val="24"/>
        </w:rPr>
        <w:t xml:space="preserve">, </w:t>
      </w:r>
      <w:r>
        <w:rPr>
          <w:rStyle w:val="StringTok"/>
          <w:rFonts w:ascii="宋体" w:hAnsi="宋体" w:eastAsia="宋体"/>
          <w:color w:val="000000"/>
          <w:sz w:val="24"/>
        </w:rPr>
        <w:t xml:space="preserve">''</w:t>
      </w:r>
      <w:r>
        <w:rPr>
          <w:rStyle w:val="NormalTok"/>
          <w:rFonts w:ascii="宋体" w:hAnsi="宋体" w:eastAsia="宋体"/>
          <w:color w:val="000000"/>
          <w:sz w:val="24"/>
        </w:rPr>
        <w:t xml:space="preserve">)</w:t>
      </w:r>
      <w:r>
        <w:rPr>
          <w:rFonts w:ascii="宋体" w:hAnsi="宋体" w:eastAsia="宋体"/>
          <w:color w:val="000000"/>
          <w:sz w:val="24"/>
        </w:rPr>
        <w:br/>
      </w:r>
      <w:r>
        <w:rPr>
          <w:rStyle w:val="NormalTok"/>
          <w:rFonts w:ascii="宋体" w:hAnsi="宋体" w:eastAsia="宋体"/>
          <w:color w:val="000000"/>
          <w:sz w:val="24"/>
        </w:rPr>
        <w:t xml:space="preserve">    cleaned[</w:t>
      </w:r>
      <w:r>
        <w:rPr>
          <w:rStyle w:val="StringTok"/>
          <w:rFonts w:ascii="宋体" w:hAnsi="宋体" w:eastAsia="宋体"/>
          <w:color w:val="000000"/>
          <w:sz w:val="24"/>
        </w:rPr>
        <w:t xml:space="preserve">'update_date'</w:t>
      </w:r>
      <w:r>
        <w:rPr>
          <w:rStyle w:val="NormalTok"/>
          <w:rFonts w:ascii="宋体" w:hAnsi="宋体" w:eastAsia="宋体"/>
          <w:color w:val="000000"/>
          <w:sz w:val="24"/>
        </w:rPr>
        <w:t xml:space="preserve">] </w:t>
      </w:r>
      <w:r>
        <w:rPr>
          <w:rStyle w:val="OperatorTok"/>
          <w:rFonts w:ascii="宋体" w:hAnsi="宋体" w:eastAsia="宋体"/>
          <w:color w:val="000000"/>
          <w:sz w:val="24"/>
        </w:rPr>
        <w:t xml:space="preserve">=</w:t>
      </w:r>
      <w:r>
        <w:rPr>
          <w:rStyle w:val="NormalTok"/>
          <w:rFonts w:ascii="宋体" w:hAnsi="宋体" w:eastAsia="宋体"/>
          <w:color w:val="000000"/>
          <w:sz w:val="24"/>
        </w:rPr>
        <w:t xml:space="preserve"> standardize_date(date_str)</w:t>
      </w:r>
      <w:r>
        <w:rPr>
          <w:rFonts w:ascii="宋体" w:hAnsi="宋体" w:eastAsia="宋体"/>
          <w:color w:val="000000"/>
          <w:sz w:val="24"/>
        </w:rPr>
        <w:br/>
      </w:r>
      <w:r>
        <w:rPr>
          <w:rStyle w:val="NormalTok"/>
          <w:rFonts w:ascii="宋体" w:hAnsi="宋体" w:eastAsia="宋体"/>
          <w:color w:val="000000"/>
          <w:sz w:val="24"/>
        </w:rPr>
        <w:t xml:space="preserve">    </w:t>
      </w:r>
      <w:r>
        <w:rPr>
          <w:rStyle w:val="CommentTok"/>
          <w:rFonts w:ascii="宋体" w:hAnsi="宋体" w:eastAsia="宋体"/>
          <w:color w:val="000000"/>
          <w:sz w:val="24"/>
        </w:rPr>
        <w:t xml:space="preserve"># 格式标准化：统一为小写</w:t>
      </w:r>
      <w:r>
        <w:rPr>
          <w:rFonts w:ascii="宋体" w:hAnsi="宋体" w:eastAsia="宋体"/>
          <w:color w:val="000000"/>
          <w:sz w:val="24"/>
        </w:rPr>
        <w:br/>
      </w:r>
      <w:r>
        <w:rPr>
          <w:rStyle w:val="NormalTok"/>
          <w:rFonts w:ascii="宋体" w:hAnsi="宋体" w:eastAsia="宋体"/>
          <w:color w:val="000000"/>
          <w:sz w:val="24"/>
        </w:rPr>
        <w:t xml:space="preserve">    fmt </w:t>
      </w:r>
      <w:r>
        <w:rPr>
          <w:rStyle w:val="OperatorTok"/>
          <w:rFonts w:ascii="宋体" w:hAnsi="宋体" w:eastAsia="宋体"/>
          <w:color w:val="000000"/>
          <w:sz w:val="24"/>
        </w:rPr>
        <w:t xml:space="preserve">=</w:t>
      </w:r>
      <w:r>
        <w:rPr>
          <w:rStyle w:val="NormalTok"/>
          <w:rFonts w:ascii="宋体" w:hAnsi="宋体" w:eastAsia="宋体"/>
          <w:color w:val="000000"/>
          <w:sz w:val="24"/>
        </w:rPr>
        <w:t xml:space="preserve"> raw_data.get(</w:t>
      </w:r>
      <w:r>
        <w:rPr>
          <w:rStyle w:val="StringTok"/>
          <w:rFonts w:ascii="宋体" w:hAnsi="宋体" w:eastAsia="宋体"/>
          <w:color w:val="000000"/>
          <w:sz w:val="24"/>
        </w:rPr>
        <w:t xml:space="preserve">'format'</w:t>
      </w:r>
      <w:r>
        <w:rPr>
          <w:rStyle w:val="NormalTok"/>
          <w:rFonts w:ascii="宋体" w:hAnsi="宋体" w:eastAsia="宋体"/>
          <w:color w:val="000000"/>
          <w:sz w:val="24"/>
        </w:rPr>
        <w:t xml:space="preserve">, </w:t>
      </w:r>
      <w:r>
        <w:rPr>
          <w:rStyle w:val="StringTok"/>
          <w:rFonts w:ascii="宋体" w:hAnsi="宋体" w:eastAsia="宋体"/>
          <w:color w:val="000000"/>
          <w:sz w:val="24"/>
        </w:rPr>
        <w:t xml:space="preserve">''</w:t>
      </w:r>
      <w:r>
        <w:rPr>
          <w:rStyle w:val="NormalTok"/>
          <w:rFonts w:ascii="宋体" w:hAnsi="宋体" w:eastAsia="宋体"/>
          <w:color w:val="000000"/>
          <w:sz w:val="24"/>
        </w:rPr>
        <w:t xml:space="preserve">).lower()</w:t>
      </w:r>
      <w:r>
        <w:rPr>
          <w:rFonts w:ascii="宋体" w:hAnsi="宋体" w:eastAsia="宋体"/>
          <w:color w:val="000000"/>
          <w:sz w:val="24"/>
        </w:rPr>
        <w:br/>
      </w:r>
      <w:r>
        <w:rPr>
          <w:rStyle w:val="NormalTok"/>
          <w:rFonts w:ascii="宋体" w:hAnsi="宋体" w:eastAsia="宋体"/>
          <w:color w:val="000000"/>
          <w:sz w:val="24"/>
        </w:rPr>
        <w:t xml:space="preserve">    cleaned[</w:t>
      </w:r>
      <w:r>
        <w:rPr>
          <w:rStyle w:val="StringTok"/>
          <w:rFonts w:ascii="宋体" w:hAnsi="宋体" w:eastAsia="宋体"/>
          <w:color w:val="000000"/>
          <w:sz w:val="24"/>
        </w:rPr>
        <w:t xml:space="preserve">'format'</w:t>
      </w:r>
      <w:r>
        <w:rPr>
          <w:rStyle w:val="NormalTok"/>
          <w:rFonts w:ascii="宋体" w:hAnsi="宋体" w:eastAsia="宋体"/>
          <w:color w:val="000000"/>
          <w:sz w:val="24"/>
        </w:rPr>
        <w:t xml:space="preserve">] </w:t>
      </w:r>
      <w:r>
        <w:rPr>
          <w:rStyle w:val="OperatorTok"/>
          <w:rFonts w:ascii="宋体" w:hAnsi="宋体" w:eastAsia="宋体"/>
          <w:color w:val="000000"/>
          <w:sz w:val="24"/>
        </w:rPr>
        <w:t xml:space="preserve">=</w:t>
      </w:r>
      <w:r>
        <w:rPr>
          <w:rStyle w:val="NormalTok"/>
          <w:rFonts w:ascii="宋体" w:hAnsi="宋体" w:eastAsia="宋体"/>
          <w:color w:val="000000"/>
          <w:sz w:val="24"/>
        </w:rPr>
        <w:t xml:space="preserve"> standardize_format(fmt)</w:t>
      </w:r>
      <w:r>
        <w:rPr>
          <w:rFonts w:ascii="宋体" w:hAnsi="宋体" w:eastAsia="宋体"/>
          <w:color w:val="000000"/>
          <w:sz w:val="24"/>
        </w:rPr>
        <w:br/>
      </w:r>
      <w:r>
        <w:rPr>
          <w:rStyle w:val="NormalTok"/>
          <w:rFonts w:ascii="宋体" w:hAnsi="宋体" w:eastAsia="宋体"/>
          <w:color w:val="000000"/>
          <w:sz w:val="24"/>
        </w:rPr>
        <w:t xml:space="preserve">    </w:t>
      </w:r>
      <w:r>
        <w:rPr>
          <w:rStyle w:val="CommentTok"/>
          <w:rFonts w:ascii="宋体" w:hAnsi="宋体" w:eastAsia="宋体"/>
          <w:color w:val="000000"/>
          <w:sz w:val="24"/>
        </w:rPr>
        <w:t xml:space="preserve"># 去重标记</w:t>
      </w:r>
      <w:r>
        <w:rPr>
          <w:rFonts w:ascii="宋体" w:hAnsi="宋体" w:eastAsia="宋体"/>
          <w:color w:val="000000"/>
          <w:sz w:val="24"/>
        </w:rPr>
        <w:br/>
      </w:r>
      <w:r>
        <w:rPr>
          <w:rStyle w:val="NormalTok"/>
          <w:rFonts w:ascii="宋体" w:hAnsi="宋体" w:eastAsia="宋体"/>
          <w:color w:val="000000"/>
          <w:sz w:val="24"/>
        </w:rPr>
        <w:t xml:space="preserve">    cleaned[</w:t>
      </w:r>
      <w:r>
        <w:rPr>
          <w:rStyle w:val="StringTok"/>
          <w:rFonts w:ascii="宋体" w:hAnsi="宋体" w:eastAsia="宋体"/>
          <w:color w:val="000000"/>
          <w:sz w:val="24"/>
        </w:rPr>
        <w:t xml:space="preserve">'hash'</w:t>
      </w:r>
      <w:r>
        <w:rPr>
          <w:rStyle w:val="NormalTok"/>
          <w:rFonts w:ascii="宋体" w:hAnsi="宋体" w:eastAsia="宋体"/>
          <w:color w:val="000000"/>
          <w:sz w:val="24"/>
        </w:rPr>
        <w:t xml:space="preserve">] </w:t>
      </w:r>
      <w:r>
        <w:rPr>
          <w:rStyle w:val="OperatorTok"/>
          <w:rFonts w:ascii="宋体" w:hAnsi="宋体" w:eastAsia="宋体"/>
          <w:color w:val="000000"/>
          <w:sz w:val="24"/>
        </w:rPr>
        <w:t xml:space="preserve">=</w:t>
      </w:r>
      <w:r>
        <w:rPr>
          <w:rStyle w:val="NormalTok"/>
          <w:rFonts w:ascii="宋体" w:hAnsi="宋体" w:eastAsia="宋体"/>
          <w:color w:val="000000"/>
          <w:sz w:val="24"/>
        </w:rPr>
        <w:t xml:space="preserve"> md5(</w:t>
      </w:r>
      <w:r>
        <w:rPr>
          <w:rStyle w:val="BuiltInTok"/>
          <w:rFonts w:ascii="宋体" w:hAnsi="宋体" w:eastAsia="宋体"/>
          <w:color w:val="000000"/>
          <w:sz w:val="24"/>
        </w:rPr>
        <w:t xml:space="preserve">str</w:t>
      </w:r>
      <w:r>
        <w:rPr>
          <w:rStyle w:val="NormalTok"/>
          <w:rFonts w:ascii="宋体" w:hAnsi="宋体" w:eastAsia="宋体"/>
          <w:color w:val="000000"/>
          <w:sz w:val="24"/>
        </w:rPr>
        <w:t xml:space="preserve">(raw_data).encode()).hexdigest()</w:t>
      </w:r>
      <w:r>
        <w:rPr>
          <w:rFonts w:ascii="宋体" w:hAnsi="宋体" w:eastAsia="宋体"/>
          <w:color w:val="000000"/>
          <w:sz w:val="24"/>
        </w:rPr>
        <w:br/>
      </w:r>
      <w:r>
        <w:rPr>
          <w:rStyle w:val="NormalTok"/>
          <w:rFonts w:ascii="宋体" w:hAnsi="宋体" w:eastAsia="宋体"/>
          <w:color w:val="000000"/>
          <w:sz w:val="24"/>
        </w:rPr>
        <w:t xml:space="preserve">    </w:t>
      </w:r>
      <w:r>
        <w:rPr>
          <w:rStyle w:val="ControlFlowTok"/>
          <w:rFonts w:ascii="宋体" w:hAnsi="宋体" w:eastAsia="宋体"/>
          <w:color w:val="000000"/>
          <w:sz w:val="24"/>
        </w:rPr>
        <w:t xml:space="preserve">return</w:t>
      </w:r>
      <w:r>
        <w:rPr>
          <w:rStyle w:val="NormalTok"/>
          <w:rFonts w:ascii="宋体" w:hAnsi="宋体" w:eastAsia="宋体"/>
          <w:color w:val="000000"/>
          <w:sz w:val="24"/>
        </w:rPr>
        <w:t xml:space="preserve"> cleaned</w:t>
      </w:r>
    </w:p>
    <w:p>
      <w:pPr>
        <w:pStyle w:val="FirstParagraph"/>
        <w:spacing w:line="360" w:lineRule="auto"/>
      </w:pPr>
      <w:r>
        <w:rPr>
          <w:rFonts w:hint="eastAsia" w:ascii="宋体" w:hAnsi="宋体" w:eastAsia="宋体"/>
          <w:color w:val="000000"/>
          <w:sz w:val="24"/>
        </w:rPr>
        <w:t xml:space="preserve">时光荏苒，博士生涯即将画上句号。回首这段求学之路，感慨万千。在此，我要向所有给予我帮助和支持的人致以最诚挚的谢意。</w:t>
      </w:r>
    </w:p>
    <w:p>
      <w:pPr>
        <w:pStyle w:val="BodyText"/>
        <w:spacing w:line="360" w:lineRule="auto"/>
      </w:pPr>
      <w:r>
        <w:rPr>
          <w:rFonts w:hint="eastAsia" w:ascii="宋体" w:hAnsi="宋体" w:eastAsia="宋体"/>
          <w:color w:val="000000"/>
          <w:sz w:val="24"/>
        </w:rPr>
        <w:t xml:space="preserve">首先，我要衷心感谢我的导师。从论文选题到框架设计，从数据采集到分析写作，导师始终给予我悉心的指导和无私的关怀。导师严谨的治学态度、深厚的学术造诣和开阔的学术视野，不仅为本研究奠定了坚实的理论基础，更让我领略到了学术研究的魅力和意义。导师在百忙之中多次审阅论文初稿，提出了许多宝贵的修改意见，使论文得以不断完善。导师的教诲将使我终身受益。</w:t>
      </w:r>
    </w:p>
    <w:p>
      <w:pPr>
        <w:pStyle w:val="BodyText"/>
        <w:spacing w:line="360" w:lineRule="auto"/>
      </w:pPr>
      <w:r>
        <w:rPr>
          <w:rFonts w:hint="eastAsia" w:ascii="宋体" w:hAnsi="宋体" w:eastAsia="宋体"/>
          <w:color w:val="000000"/>
          <w:sz w:val="24"/>
        </w:rPr>
        <w:t xml:space="preserve">其次，我要感谢武汉大学信息管理学院的所有老师。在博士课程学习期间，各位老师的精彩授课让我系统地掌握了公共管理、信息资源和数据治理的理论与方法。感谢学院提供的良好学术环境和丰富的学术资源，使我有机会参加多次学术会议和研讨活动，拓展了学术视野，激发了研究灵感。</w:t>
      </w:r>
    </w:p>
    <w:p>
      <w:pPr>
        <w:pStyle w:val="BodyText"/>
        <w:spacing w:line="360" w:lineRule="auto"/>
      </w:pPr>
      <w:r>
        <w:rPr>
          <w:rFonts w:hint="eastAsia" w:ascii="宋体" w:hAnsi="宋体" w:eastAsia="宋体"/>
          <w:color w:val="000000"/>
          <w:sz w:val="24"/>
        </w:rPr>
        <w:t xml:space="preserve">同时，我要感谢我的同门师兄弟姐妹们。在论文写作过程中，大家相互鼓励、相互帮助，共同度过了许多难忘的时光。特别感谢在数据采集和实地调研中给予我帮助的同学们，你们的辛勤付出是本研究得以顺利完成的重要保障。</w:t>
      </w:r>
    </w:p>
    <w:p>
      <w:pPr>
        <w:pStyle w:val="BodyText"/>
        <w:spacing w:line="360" w:lineRule="auto"/>
      </w:pPr>
      <w:r>
        <w:rPr>
          <w:rFonts w:hint="eastAsia" w:ascii="宋体" w:hAnsi="宋体" w:eastAsia="宋体"/>
          <w:color w:val="000000"/>
          <w:sz w:val="24"/>
        </w:rPr>
        <w:t xml:space="preserve">我还要感谢在专家咨询中给予我宝贵建议的各位专家学者。你们在DEMATEL评分、AHP权重确定和论文评审中提出的专业意见，极大地提升了本研究的学术质量和实践价值。感谢各地政府数据开放平台的工作人员，你们在调研中提供的便利条件和支持，使本研究的数据采集工作得以顺利开展。</w:t>
      </w:r>
    </w:p>
    <w:p>
      <w:pPr>
        <w:pStyle w:val="BodyText"/>
        <w:spacing w:line="360" w:lineRule="auto"/>
      </w:pPr>
      <w:r>
        <w:rPr>
          <w:rFonts w:hint="eastAsia" w:ascii="宋体" w:hAnsi="宋体" w:eastAsia="宋体"/>
          <w:color w:val="000000"/>
          <w:sz w:val="24"/>
        </w:rPr>
        <w:t xml:space="preserve">最后，我要特别感谢我的家人。感谢父母多年来的养育之恩和无私奉献，是你们无条件的支持让我能够安心完成学业。感谢配偶在论文写作期间的包容和理解，你的陪伴和鼓励是我坚持下去的最大动力。</w:t>
      </w:r>
    </w:p>
    <w:p>
      <w:pPr>
        <w:pStyle w:val="BodyText"/>
        <w:spacing w:line="360" w:lineRule="auto"/>
      </w:pPr>
      <w:r>
        <w:rPr>
          <w:rFonts w:hint="eastAsia" w:ascii="宋体" w:hAnsi="宋体" w:eastAsia="宋体"/>
          <w:color w:val="000000"/>
          <w:sz w:val="24"/>
        </w:rPr>
        <w:t xml:space="preserve">博士生涯的结束意味着新征程的开始。我将带着这份感恩之心，在未来的学术道路和职业生涯中继续努力，不负师恩，不负韶华。</w:t>
      </w:r>
    </w:p>
    <w:p>
      <w:pPr>
        <w:spacing w:line="360" w:lineRule="auto"/>
      </w:pPr>
      <w:r>
        <w:rPr>
          <w:rFonts w:ascii="宋体" w:hAnsi="宋体" w:eastAsia="宋体"/>
          <w:color w:val="000000"/>
          <w:sz w:val="24"/>
        </w:rPr>
        <w:pict>
          <v:rect style="width:0;height:1.5pt" o:hralign="center" o:hrstd="t" o:hr="t"/>
        </w:pict>
      </w:r>
    </w:p>
    <w:p>
      <w:pPr>
        <w:pStyle w:val="FirstParagraph"/>
        <w:spacing w:line="360" w:lineRule="auto"/>
      </w:pPr>
      <w:r>
        <w:rPr>
          <w:rFonts w:hint="eastAsia" w:ascii="宋体" w:hAnsi="宋体" w:eastAsia="宋体"/>
          <w:color w:val="000000"/>
          <w:sz w:val="24"/>
        </w:rPr>
        <w:t xml:space="preserve">本人郑重声明：所呈交的学位论文是本人在导师指导下独立进行研究工作所取得的成果。除文中已经注明引用的内容外，本论文不包含任何其他个人或集体已经发表或撰写过的作品成果。对本文的研究做出重要贡献的个人和集体，均已在文中以明确方式标明。本人完全意识到本声明的法律结果由本人承担。</w:t>
      </w:r>
    </w:p>
    <w:p>
      <w:pPr>
        <w:pStyle w:val="BodyText"/>
        <w:spacing w:line="360" w:lineRule="auto"/>
      </w:pPr>
      <w:r>
        <w:rPr>
          <w:rFonts w:hint="eastAsia" w:ascii="宋体" w:hAnsi="宋体" w:eastAsia="宋体"/>
          <w:color w:val="000000"/>
          <w:sz w:val="24"/>
        </w:rPr>
        <w:t xml:space="preserve">本研究的数据采集工作严格遵守相关法律法规和学术伦理规范。所有平台数据均通过公开渠道获取，不涉及个人隐私和商业机密。在数据采集过程中，未对任何平台服务器造成过大负载，未使用任何非法手段获取数据。研究成果中的观点和建议仅代表学术研究结论，不构成对任何平台的官方评价。</w:t>
      </w:r>
    </w:p>
    <w:p>
      <w:pPr>
        <w:pStyle w:val="BodyText"/>
        <w:spacing w:line="360" w:lineRule="auto"/>
      </w:pPr>
      <w:r>
        <w:rPr>
          <w:rFonts w:hint="eastAsia" w:ascii="宋体" w:hAnsi="宋体" w:eastAsia="宋体"/>
          <w:color w:val="000000"/>
          <w:sz w:val="24"/>
        </w:rPr>
        <w:t xml:space="preserve">本研究使用的数据采集系统OGD-Collector</w:t>
      </w:r>
      <w:r>
        <w:rPr>
          <w:rFonts w:ascii="宋体" w:hAnsi="宋体" w:eastAsia="宋体"/>
          <w:color w:val="000000"/>
          <w:sz w:val="24"/>
        </w:rPr>
        <w:t xml:space="preserve"> </w:t>
      </w:r>
      <w:r>
        <w:rPr>
          <w:rFonts w:hint="eastAsia" w:ascii="宋体" w:hAnsi="宋体" w:eastAsia="宋体"/>
          <w:color w:val="000000"/>
          <w:sz w:val="24"/>
        </w:rPr>
        <w:t xml:space="preserve">Pro为自主开发的开源工具，源代码已在GitHub平台公开发布，供学术研究和非营利性使用。研究过程中使用的统计分析软件包括Python（pandas、numpy、scipy）、R（QCA包）和MATLAB（DEMATEL工具箱），均通过正规渠道获取。</w:t>
      </w:r>
    </w:p>
    <w:p>
      <w:pPr>
        <w:pStyle w:val="BodyText"/>
        <w:spacing w:line="360" w:lineRule="auto"/>
      </w:pPr>
      <w:r>
        <w:rPr>
          <w:rFonts w:hint="eastAsia" w:ascii="宋体" w:hAnsi="宋体" w:eastAsia="宋体"/>
          <w:color w:val="000000"/>
          <w:sz w:val="24"/>
        </w:rPr>
        <w:t xml:space="preserve">本人承诺：本论文不存在学术不端行为，包括抄袭、剽窃、伪造数据、一稿多投等。如违反上述承诺，本人愿意承担相应的学术责任和法律责任。</w:t>
      </w:r>
    </w:p>
    <w:p>
      <w:pPr>
        <w:spacing w:line="360" w:lineRule="auto"/>
      </w:pPr>
      <w:r>
        <w:rPr>
          <w:rFonts w:ascii="宋体" w:hAnsi="宋体" w:eastAsia="宋体"/>
          <w:color w:val="000000"/>
          <w:sz w:val="24"/>
        </w:rPr>
        <w:pict>
          <v:rect style="width:0;height:1.5pt" o:hralign="center" o:hrstd="t" o:hr="t"/>
        </w:pict>
      </w:r>
    </w:p>
    <w:bookmarkEnd w:id="238"/>
    <w:bookmarkEnd w:id="239"/>
    <w:bookmarkEnd w:id="240"/>
    <w:bookmarkStart w:id="266" w:name="补充讨论"/>
    <w:p>
      <w:pPr>
        <w:pStyle w:val="Heading1"/>
        <w:spacing w:line="360" w:lineRule="auto"/>
        <w:jc w:val="center"/>
      </w:pPr>
      <w:r>
        <w:rPr>
          <w:rFonts w:hint="eastAsia" w:ascii="黑体" w:hAnsi="黑体" w:eastAsia="黑体"/>
          <w:b/>
          <w:color w:val="000000"/>
          <w:sz w:val="32"/>
        </w:rPr>
        <w:t xml:space="preserve">补充讨论</w:t>
      </w:r>
    </w:p>
    <w:bookmarkStart w:id="244" w:name="一研究方法的局限性及改进方向"/>
    <w:p>
      <w:pPr>
        <w:pStyle w:val="Heading2"/>
        <w:spacing w:line="360" w:lineRule="auto"/>
      </w:pPr>
      <w:r>
        <w:rPr>
          <w:rFonts w:hint="eastAsia" w:ascii="黑体" w:hAnsi="黑体" w:eastAsia="黑体"/>
          <w:b/>
          <w:color w:val="000000"/>
          <w:sz w:val="28"/>
        </w:rPr>
        <w:t xml:space="preserve">一、研究方法的局限性及改进方向</w:t>
      </w:r>
    </w:p>
    <w:p>
      <w:pPr>
        <w:pStyle w:val="FirstParagraph"/>
        <w:spacing w:line="360" w:lineRule="auto"/>
      </w:pPr>
      <w:r>
        <w:rPr>
          <w:rFonts w:hint="eastAsia" w:ascii="宋体" w:hAnsi="宋体" w:eastAsia="宋体"/>
          <w:color w:val="000000"/>
          <w:sz w:val="24"/>
        </w:rPr>
        <w:t xml:space="preserve">本研究在方法选择上存在以下局限性，需要在后续研究中加以改进。</w:t>
      </w:r>
    </w:p>
    <w:bookmarkStart w:id="241" w:name="数据采集的局限性"/>
    <w:p>
      <w:pPr>
        <w:pStyle w:val="Heading3"/>
        <w:spacing w:line="360" w:lineRule="auto"/>
      </w:pPr>
      <w:r>
        <w:rPr>
          <w:rFonts w:ascii="黑体" w:hAnsi="黑体" w:eastAsia="黑体"/>
          <w:b/>
          <w:color w:val="000000"/>
          <w:sz w:val="24"/>
        </w:rPr>
        <w:t xml:space="preserve">1.1 </w:t>
      </w:r>
      <w:r>
        <w:rPr>
          <w:rFonts w:hint="eastAsia" w:ascii="黑体" w:hAnsi="黑体" w:eastAsia="黑体"/>
          <w:b/>
          <w:color w:val="000000"/>
          <w:sz w:val="24"/>
        </w:rPr>
        <w:t xml:space="preserve">数据采集的局限性</w:t>
      </w:r>
    </w:p>
    <w:p>
      <w:pPr>
        <w:pStyle w:val="FirstParagraph"/>
        <w:spacing w:line="360" w:lineRule="auto"/>
      </w:pPr>
      <w:r>
        <w:rPr>
          <w:rFonts w:hint="eastAsia" w:ascii="宋体" w:hAnsi="宋体" w:eastAsia="宋体"/>
          <w:color w:val="000000"/>
          <w:sz w:val="24"/>
        </w:rPr>
        <w:t xml:space="preserve">本研究的数据采集主要依赖于自动化爬虫和人工核验相结合的方式。虽然自动化采集提高了数据采集的效率和规模，但也存在以下局限。第一，动态页面的处理难度——部分平台采用JavaScript动态加载技术，传统的HTTP请求无法获取完整页面内容，需要使用Selenium等浏览器自动化工具，这增加了采集的复杂度和时间成本。第二，反爬机制的应对——部分平台设置了访问频率限制、验证码验证、IP封锁等反爬机制，自动化采集系统需要不断调整策略以应对这些机制。第三，数据更新的时效性——本研究的数据采集时间为2025年3月，采集结果仅反映该时间点的平台状况，无法捕捉平台的动态变化。部分平台在采集后进行了重大更新或改版，导致采集数据与实际情况存在偏差。</w:t>
      </w:r>
    </w:p>
    <w:p>
      <w:pPr>
        <w:pStyle w:val="BodyText"/>
        <w:spacing w:line="360" w:lineRule="auto"/>
      </w:pPr>
      <w:r>
        <w:rPr>
          <w:rFonts w:hint="eastAsia" w:ascii="宋体" w:hAnsi="宋体" w:eastAsia="宋体"/>
          <w:color w:val="000000"/>
          <w:sz w:val="24"/>
        </w:rPr>
        <w:t xml:space="preserve">针对上述局限，后续研究可以考虑以下改进方向。第一，建立持续监测机制——通过定期（如每月）采集平台数据，追踪平台的动态变化趋势，为绩效评估提供时间序列数据。第二，引入更多数据源——除了平台公开数据外，还可以引入第三方数据源（如搜索引擎索引量、社交媒体讨论量、应用商店下载量等），丰富评估的数据基础。第三，开发更智能的采集工具——利用机器学习和计算机视觉技术，自动识别和适应不同平台的页面结构变化，提高采集的鲁棒性和适应性。</w:t>
      </w:r>
    </w:p>
    <w:bookmarkEnd w:id="241"/>
    <w:bookmarkStart w:id="242" w:name="评估指标的局限性"/>
    <w:p>
      <w:pPr>
        <w:pStyle w:val="Heading3"/>
        <w:spacing w:line="360" w:lineRule="auto"/>
      </w:pPr>
      <w:r>
        <w:rPr>
          <w:rFonts w:ascii="黑体" w:hAnsi="黑体" w:eastAsia="黑体"/>
          <w:b/>
          <w:color w:val="000000"/>
          <w:sz w:val="24"/>
        </w:rPr>
        <w:t xml:space="preserve">1.2 </w:t>
      </w:r>
      <w:r>
        <w:rPr>
          <w:rFonts w:hint="eastAsia" w:ascii="黑体" w:hAnsi="黑体" w:eastAsia="黑体"/>
          <w:b/>
          <w:color w:val="000000"/>
          <w:sz w:val="24"/>
        </w:rPr>
        <w:t xml:space="preserve">评估指标的局限性</w:t>
      </w:r>
    </w:p>
    <w:p>
      <w:pPr>
        <w:pStyle w:val="FirstParagraph"/>
        <w:spacing w:line="360" w:lineRule="auto"/>
      </w:pPr>
      <w:r>
        <w:rPr>
          <w:rFonts w:hint="eastAsia" w:ascii="宋体" w:hAnsi="宋体" w:eastAsia="宋体"/>
          <w:color w:val="000000"/>
          <w:sz w:val="24"/>
        </w:rPr>
        <w:t xml:space="preserve">本研究的评估指标体系虽然力求全面和科学，但仍存在以下局限。第一，部分指标的测量精度有限——如”应用成果数量”的统计依赖于公开渠道的信息收集，可能存在遗漏；</w:t>
      </w:r>
      <w:r>
        <w:rPr>
          <w:rFonts w:hint="eastAsia" w:ascii="宋体" w:hAnsi="宋体" w:eastAsia="宋体"/>
          <w:color w:val="000000"/>
          <w:sz w:val="24"/>
        </w:rPr>
        <w:t xml:space="preserve">“数据质量”</w:t>
      </w:r>
      <w:r>
        <w:rPr>
          <w:rFonts w:hint="eastAsia" w:ascii="宋体" w:hAnsi="宋体" w:eastAsia="宋体"/>
          <w:color w:val="000000"/>
          <w:sz w:val="24"/>
        </w:rPr>
        <w:t xml:space="preserve">的评估依赖于抽样检查，样本的代表性可能影响评估结果的准确性。第二，部分重要维度未能纳入评估——如”数据安全”</w:t>
      </w:r>
      <w:r>
        <w:rPr>
          <w:rFonts w:hint="eastAsia" w:ascii="宋体" w:hAnsi="宋体" w:eastAsia="宋体"/>
          <w:color w:val="000000"/>
          <w:sz w:val="24"/>
        </w:rPr>
        <w:t xml:space="preserve">“隐私保护”</w:t>
      </w:r>
      <w:r>
        <w:rPr>
          <w:rFonts w:hint="eastAsia" w:ascii="宋体" w:hAnsi="宋体" w:eastAsia="宋体"/>
          <w:color w:val="000000"/>
          <w:sz w:val="24"/>
        </w:rPr>
        <w:t xml:space="preserve">“用户满意度”</w:t>
      </w:r>
      <w:r>
        <w:rPr>
          <w:rFonts w:hint="eastAsia" w:ascii="宋体" w:hAnsi="宋体" w:eastAsia="宋体"/>
          <w:color w:val="000000"/>
          <w:sz w:val="24"/>
        </w:rPr>
        <w:t xml:space="preserve">等维度，由于缺乏可获取的客观数据，未能纳入正式的评估指标体系。第三，指标权重的设定存在主观性——虽然本研究采用了AHP-熵权组合赋权法，但AHP权重依赖于专家的主观判断，不同专家可能给出不同的权重分配。</w:t>
      </w:r>
    </w:p>
    <w:p>
      <w:pPr>
        <w:pStyle w:val="BodyText"/>
        <w:spacing w:line="360" w:lineRule="auto"/>
      </w:pPr>
      <w:r>
        <w:rPr>
          <w:rFonts w:hint="eastAsia" w:ascii="宋体" w:hAnsi="宋体" w:eastAsia="宋体"/>
          <w:color w:val="000000"/>
          <w:sz w:val="24"/>
        </w:rPr>
        <w:t xml:space="preserve">针对上述局限，后续研究可以考虑以下改进方向。第一，开发更精确的测量方法——如利用自然语言处理技术自动识别和统计应用成果，利用众包机制进行大规模数据质量评估。第二，纳入更多评估维度——如通过问卷调查获取用户满意度数据，通过安全审计评估数据安全水平。第三，探索更客观的权重确定方法——如采用数据驱动的方法（如主成分分析、因子分析）自动确定权重，减少主观判断的影响。</w:t>
      </w:r>
    </w:p>
    <w:bookmarkEnd w:id="242"/>
    <w:bookmarkStart w:id="243" w:name="研究样本的局限性"/>
    <w:p>
      <w:pPr>
        <w:pStyle w:val="Heading3"/>
        <w:spacing w:line="360" w:lineRule="auto"/>
      </w:pPr>
      <w:r>
        <w:rPr>
          <w:rFonts w:ascii="黑体" w:hAnsi="黑体" w:eastAsia="黑体"/>
          <w:b/>
          <w:color w:val="000000"/>
          <w:sz w:val="24"/>
        </w:rPr>
        <w:t xml:space="preserve">1.3 </w:t>
      </w:r>
      <w:r>
        <w:rPr>
          <w:rFonts w:hint="eastAsia" w:ascii="黑体" w:hAnsi="黑体" w:eastAsia="黑体"/>
          <w:b/>
          <w:color w:val="000000"/>
          <w:sz w:val="24"/>
        </w:rPr>
        <w:t xml:space="preserve">研究样本的局限性</w:t>
      </w:r>
    </w:p>
    <w:p>
      <w:pPr>
        <w:pStyle w:val="FirstParagraph"/>
        <w:spacing w:line="360" w:lineRule="auto"/>
      </w:pPr>
      <w:r>
        <w:rPr>
          <w:rFonts w:hint="eastAsia" w:ascii="宋体" w:hAnsi="宋体" w:eastAsia="宋体"/>
          <w:color w:val="000000"/>
          <w:sz w:val="24"/>
        </w:rPr>
        <w:t xml:space="preserve">本研究以省级政府数据开放平台为研究对象，未纳入地市级平台和行业数据平台。这一样本选择存在以下局限。第一，省级平台的代表性问题——省级平台的建设水平和管理模式与地市级平台存在显著差异，研究结论向地市级平台的推广需要谨慎。第二，行业数据平台的忽视——部分行业（如金融、医疗、交通）建立了专门的数据开放平台，这些平台的运营模式和绩效特征可能与综合性的省级平台不同。第三，国际比较视角的缺失——本研究仅关注中国的省级平台，未纳入国际平台进行比较分析，难以评估中国平台在国际上的相对位置。</w:t>
      </w:r>
    </w:p>
    <w:p>
      <w:pPr>
        <w:pStyle w:val="BodyText"/>
        <w:spacing w:line="360" w:lineRule="auto"/>
      </w:pPr>
      <w:r>
        <w:rPr>
          <w:rFonts w:hint="eastAsia" w:ascii="宋体" w:hAnsi="宋体" w:eastAsia="宋体"/>
          <w:color w:val="000000"/>
          <w:sz w:val="24"/>
        </w:rPr>
        <w:t xml:space="preserve">针对上述局限，后续研究可以考虑以下扩展方向。第一，纳入地市级平台——选择部分副省级城市和地市级平台作为补充样本，比较不同行政层级平台的绩效差异。第二，纳入行业数据平台——选择金融、医疗、交通等行业的代表性数据平台，分析行业平台与地方平台的绩效差异和协同关系。第三，开展国际比较研究——选择美国、英国、欧盟等国家和地区的代表性数据平台，进行跨国比较分析，识别中国平台的优势和短板。</w:t>
      </w:r>
    </w:p>
    <w:bookmarkEnd w:id="243"/>
    <w:bookmarkEnd w:id="244"/>
    <w:bookmarkStart w:id="248" w:name="二研究发现的政策含义"/>
    <w:p>
      <w:pPr>
        <w:pStyle w:val="Heading2"/>
        <w:spacing w:line="360" w:lineRule="auto"/>
      </w:pPr>
      <w:r>
        <w:rPr>
          <w:rFonts w:hint="eastAsia" w:ascii="黑体" w:hAnsi="黑体" w:eastAsia="黑体"/>
          <w:b/>
          <w:color w:val="000000"/>
          <w:sz w:val="28"/>
        </w:rPr>
        <w:t xml:space="preserve">二、研究发现的政策含义</w:t>
      </w:r>
    </w:p>
    <w:p>
      <w:pPr>
        <w:pStyle w:val="FirstParagraph"/>
        <w:spacing w:line="360" w:lineRule="auto"/>
      </w:pPr>
      <w:r>
        <w:rPr>
          <w:rFonts w:hint="eastAsia" w:ascii="宋体" w:hAnsi="宋体" w:eastAsia="宋体"/>
          <w:color w:val="000000"/>
          <w:sz w:val="24"/>
        </w:rPr>
        <w:t xml:space="preserve">本研究的研究发现对政府数据开放的政策制定和实践操作具有以下含义。</w:t>
      </w:r>
    </w:p>
    <w:bookmarkStart w:id="245" w:name="对评估体系建设的政策含义"/>
    <w:p>
      <w:pPr>
        <w:pStyle w:val="Heading3"/>
        <w:spacing w:line="360" w:lineRule="auto"/>
      </w:pPr>
      <w:r>
        <w:rPr>
          <w:rFonts w:ascii="黑体" w:hAnsi="黑体" w:eastAsia="黑体"/>
          <w:b/>
          <w:color w:val="000000"/>
          <w:sz w:val="24"/>
        </w:rPr>
        <w:t xml:space="preserve">2.1 </w:t>
      </w:r>
      <w:r>
        <w:rPr>
          <w:rFonts w:hint="eastAsia" w:ascii="黑体" w:hAnsi="黑体" w:eastAsia="黑体"/>
          <w:b/>
          <w:color w:val="000000"/>
          <w:sz w:val="24"/>
        </w:rPr>
        <w:t xml:space="preserve">对评估体系建设的政策含义</w:t>
      </w:r>
    </w:p>
    <w:p>
      <w:pPr>
        <w:pStyle w:val="FirstParagraph"/>
        <w:spacing w:line="360" w:lineRule="auto"/>
      </w:pPr>
      <w:r>
        <w:rPr>
          <w:rFonts w:hint="eastAsia" w:ascii="宋体" w:hAnsi="宋体" w:eastAsia="宋体"/>
          <w:color w:val="000000"/>
          <w:sz w:val="24"/>
        </w:rPr>
        <w:t xml:space="preserve">本研究发现，现有评估体系”重供给轻效果”的导向是导致数据开放”量增质未增”困境的重要原因。这一发现对评估体系建设的政策含义在于：第一，应调整评估指标的权重结构，将利用效果维度的权重提升至30%以上，引导平台运营者从”数量增长”转向”价值创造”。第二，应引入效率维度，评估平台的资源配置效率，识别”高绩效低效率”和”低绩效高效率”平台，为资源优化配置提供依据。第三，应纳入”数据口径一致性”指标，识别和纠正”指标博弈”行为，确保评估结果的真实性和可靠性。</w:t>
      </w:r>
    </w:p>
    <w:bookmarkEnd w:id="245"/>
    <w:bookmarkStart w:id="246" w:name="对平台运营优化的政策含义"/>
    <w:p>
      <w:pPr>
        <w:pStyle w:val="Heading3"/>
        <w:spacing w:line="360" w:lineRule="auto"/>
      </w:pPr>
      <w:r>
        <w:rPr>
          <w:rFonts w:ascii="黑体" w:hAnsi="黑体" w:eastAsia="黑体"/>
          <w:b/>
          <w:color w:val="000000"/>
          <w:sz w:val="24"/>
        </w:rPr>
        <w:t xml:space="preserve">2.2 </w:t>
      </w:r>
      <w:r>
        <w:rPr>
          <w:rFonts w:hint="eastAsia" w:ascii="黑体" w:hAnsi="黑体" w:eastAsia="黑体"/>
          <w:b/>
          <w:color w:val="000000"/>
          <w:sz w:val="24"/>
        </w:rPr>
        <w:t xml:space="preserve">对平台运营优化的政策含义</w:t>
      </w:r>
    </w:p>
    <w:p>
      <w:pPr>
        <w:pStyle w:val="FirstParagraph"/>
        <w:spacing w:line="360" w:lineRule="auto"/>
      </w:pPr>
      <w:r>
        <w:rPr>
          <w:rFonts w:hint="eastAsia" w:ascii="宋体" w:hAnsi="宋体" w:eastAsia="宋体"/>
          <w:color w:val="000000"/>
          <w:sz w:val="24"/>
        </w:rPr>
        <w:t xml:space="preserve">本研究发现，不同类型平台的绩效短板和优化路径截然不同，</w:t>
      </w:r>
      <w:r>
        <w:rPr>
          <w:rFonts w:hint="eastAsia" w:ascii="宋体" w:hAnsi="宋体" w:eastAsia="宋体"/>
          <w:color w:val="000000"/>
          <w:sz w:val="24"/>
        </w:rPr>
        <w:t xml:space="preserve">“一刀切”</w:t>
      </w:r>
      <w:r>
        <w:rPr>
          <w:rFonts w:hint="eastAsia" w:ascii="宋体" w:hAnsi="宋体" w:eastAsia="宋体"/>
          <w:color w:val="000000"/>
          <w:sz w:val="24"/>
        </w:rPr>
        <w:t xml:space="preserve">的政策建议难以奏效。这一发现对平台运营优化的政策含义在于：第一，对于”标杆型”平台（高绩效高效率），应重点支持其经验总结和模式推广，发挥标杆引领作用。第二，对于”潜力型”平台（高绩效中效率），应帮助其优化资源配置，将资源优势转化为更高的绩效产出。第三，对于”节约型”平台（中绩效高效率），应适度增加资源投入，帮助其实现绩效的跨越式提升。第四，对于”困境型”平台（低绩效低效率），应提供外部支援和系统帮扶，帮助其突破发展瓶颈。</w:t>
      </w:r>
    </w:p>
    <w:bookmarkEnd w:id="246"/>
    <w:bookmarkStart w:id="247" w:name="对制度环境建设的政策含义"/>
    <w:p>
      <w:pPr>
        <w:pStyle w:val="Heading3"/>
        <w:spacing w:line="360" w:lineRule="auto"/>
      </w:pPr>
      <w:r>
        <w:rPr>
          <w:rFonts w:ascii="黑体" w:hAnsi="黑体" w:eastAsia="黑体"/>
          <w:b/>
          <w:color w:val="000000"/>
          <w:sz w:val="24"/>
        </w:rPr>
        <w:t xml:space="preserve">2.3 </w:t>
      </w:r>
      <w:r>
        <w:rPr>
          <w:rFonts w:hint="eastAsia" w:ascii="黑体" w:hAnsi="黑体" w:eastAsia="黑体"/>
          <w:b/>
          <w:color w:val="000000"/>
          <w:sz w:val="24"/>
        </w:rPr>
        <w:t xml:space="preserve">对制度环境建设的政策含义</w:t>
      </w:r>
    </w:p>
    <w:p>
      <w:pPr>
        <w:pStyle w:val="FirstParagraph"/>
        <w:spacing w:line="360" w:lineRule="auto"/>
      </w:pPr>
      <w:r>
        <w:rPr>
          <w:rFonts w:hint="eastAsia" w:ascii="宋体" w:hAnsi="宋体" w:eastAsia="宋体"/>
          <w:color w:val="000000"/>
          <w:sz w:val="24"/>
        </w:rPr>
        <w:t xml:space="preserve">本研究发现，政策法规是影响数据开放绩效的最核心因素，位于因素网络的上游。这一发现对制度环境建设的政策含义在于：第一，应加快数据开放立法进程，从法律层面明确数据开放的责任主体、范围边界、质量标准和安全要求。第二，应完善数据开放的标准规范体系，制定统一的数据格式标准、元数据标准、API标准和质量评估标准。第三，应建立数据开放的激励机制，将数据开放纳入政府绩效考核体系，对表现优异的平台给予表彰和奖励。第四，应加强数据开放的安全监管，建立数据安全审查机制，确保数据开放不泄露国家秘密、商业秘密和个人隐私。</w:t>
      </w:r>
    </w:p>
    <w:bookmarkEnd w:id="247"/>
    <w:bookmarkEnd w:id="248"/>
    <w:bookmarkStart w:id="254" w:name="三研究展望"/>
    <w:p>
      <w:pPr>
        <w:pStyle w:val="Heading2"/>
        <w:spacing w:line="360" w:lineRule="auto"/>
      </w:pPr>
      <w:r>
        <w:rPr>
          <w:rFonts w:hint="eastAsia" w:ascii="黑体" w:hAnsi="黑体" w:eastAsia="黑体"/>
          <w:b/>
          <w:color w:val="000000"/>
          <w:sz w:val="28"/>
        </w:rPr>
        <w:t xml:space="preserve">三、研究展望</w:t>
      </w:r>
    </w:p>
    <w:p>
      <w:pPr>
        <w:pStyle w:val="FirstParagraph"/>
        <w:spacing w:line="360" w:lineRule="auto"/>
      </w:pPr>
      <w:r>
        <w:rPr>
          <w:rFonts w:hint="eastAsia" w:ascii="宋体" w:hAnsi="宋体" w:eastAsia="宋体"/>
          <w:color w:val="000000"/>
          <w:sz w:val="24"/>
        </w:rPr>
        <w:t xml:space="preserve">基于本研究的发现和局限，未来研究可以从以下几个方向展开。</w:t>
      </w:r>
    </w:p>
    <w:bookmarkStart w:id="249" w:name="动态追踪研究"/>
    <w:p>
      <w:pPr>
        <w:pStyle w:val="Heading3"/>
        <w:spacing w:line="360" w:lineRule="auto"/>
      </w:pPr>
      <w:r>
        <w:rPr>
          <w:rFonts w:ascii="黑体" w:hAnsi="黑体" w:eastAsia="黑体"/>
          <w:b/>
          <w:color w:val="000000"/>
          <w:sz w:val="24"/>
        </w:rPr>
        <w:t xml:space="preserve">3.1 </w:t>
      </w:r>
      <w:r>
        <w:rPr>
          <w:rFonts w:hint="eastAsia" w:ascii="黑体" w:hAnsi="黑体" w:eastAsia="黑体"/>
          <w:b/>
          <w:color w:val="000000"/>
          <w:sz w:val="24"/>
        </w:rPr>
        <w:t xml:space="preserve">动态追踪研究</w:t>
      </w:r>
    </w:p>
    <w:p>
      <w:pPr>
        <w:pStyle w:val="FirstParagraph"/>
        <w:spacing w:line="360" w:lineRule="auto"/>
      </w:pPr>
      <w:r>
        <w:rPr>
          <w:rFonts w:hint="eastAsia" w:ascii="宋体" w:hAnsi="宋体" w:eastAsia="宋体"/>
          <w:color w:val="000000"/>
          <w:sz w:val="24"/>
        </w:rPr>
        <w:t xml:space="preserve">本研究采用截面数据进行分析，无法揭示平台绩效的动态变化趋势。未来研究可以建立纵向追踪数据库，定期（如每年或每半年）采集平台数据，分析平台绩效的增长轨迹、波动规律和拐点特征。动态追踪研究可以回答以下问题：平台的绩效改善是否存在”S型曲线”？哪些因素能够预测平台绩效的未来变化？平台绩效的改善是否存在”路径依赖”？</w:t>
      </w:r>
    </w:p>
    <w:bookmarkEnd w:id="249"/>
    <w:bookmarkStart w:id="250" w:name="授权运营评估研究"/>
    <w:p>
      <w:pPr>
        <w:pStyle w:val="Heading3"/>
        <w:spacing w:line="360" w:lineRule="auto"/>
      </w:pPr>
      <w:r>
        <w:rPr>
          <w:rFonts w:ascii="黑体" w:hAnsi="黑体" w:eastAsia="黑体"/>
          <w:b/>
          <w:color w:val="000000"/>
          <w:sz w:val="24"/>
        </w:rPr>
        <w:t xml:space="preserve">3.2 </w:t>
      </w:r>
      <w:r>
        <w:rPr>
          <w:rFonts w:hint="eastAsia" w:ascii="黑体" w:hAnsi="黑体" w:eastAsia="黑体"/>
          <w:b/>
          <w:color w:val="000000"/>
          <w:sz w:val="24"/>
        </w:rPr>
        <w:t xml:space="preserve">授权运营评估研究</w:t>
      </w:r>
    </w:p>
    <w:p>
      <w:pPr>
        <w:pStyle w:val="FirstParagraph"/>
        <w:spacing w:line="360" w:lineRule="auto"/>
      </w:pPr>
      <w:r>
        <w:rPr>
          <w:rFonts w:hint="eastAsia" w:ascii="宋体" w:hAnsi="宋体" w:eastAsia="宋体"/>
          <w:color w:val="000000"/>
          <w:sz w:val="24"/>
        </w:rPr>
        <w:t xml:space="preserve">随着”数据二十条”的出台和国家数据局的成立，公共数据授权运营已成为数据利用的重要新兴模式。未来研究可以专门评估授权运营的绩效和影响，包括：授权运营对数据价值释放的贡献有多大？授权运营是否加剧了数据利用的不平等？授权运营的定价机制和收益分配是否合理？</w:t>
      </w:r>
    </w:p>
    <w:bookmarkEnd w:id="250"/>
    <w:bookmarkStart w:id="251" w:name="人工智能与数据开放"/>
    <w:p>
      <w:pPr>
        <w:pStyle w:val="Heading3"/>
        <w:spacing w:line="360" w:lineRule="auto"/>
      </w:pPr>
      <w:r>
        <w:rPr>
          <w:rFonts w:ascii="黑体" w:hAnsi="黑体" w:eastAsia="黑体"/>
          <w:b/>
          <w:color w:val="000000"/>
          <w:sz w:val="24"/>
        </w:rPr>
        <w:t xml:space="preserve">3.3 </w:t>
      </w:r>
      <w:r>
        <w:rPr>
          <w:rFonts w:hint="eastAsia" w:ascii="黑体" w:hAnsi="黑体" w:eastAsia="黑体"/>
          <w:b/>
          <w:color w:val="000000"/>
          <w:sz w:val="24"/>
        </w:rPr>
        <w:t xml:space="preserve">人工智能与数据开放</w:t>
      </w:r>
    </w:p>
    <w:p>
      <w:pPr>
        <w:pStyle w:val="FirstParagraph"/>
        <w:spacing w:line="360" w:lineRule="auto"/>
      </w:pPr>
      <w:r>
        <w:rPr>
          <w:rFonts w:hint="eastAsia" w:ascii="宋体" w:hAnsi="宋体" w:eastAsia="宋体"/>
          <w:color w:val="000000"/>
          <w:sz w:val="24"/>
        </w:rPr>
        <w:t xml:space="preserve">人工智能技术的快速发展为数据开放带来了新的机遇和挑战。未来研究可以探讨：人工智能技术如何提升数据开放的效率和质量？开放数据如何支撑人工智能模型的训练和优化？数据开放与人工智能的协同发展存在哪些制度障碍和技术瓶颈？</w:t>
      </w:r>
    </w:p>
    <w:bookmarkEnd w:id="251"/>
    <w:bookmarkStart w:id="252" w:name="国际比较研究"/>
    <w:p>
      <w:pPr>
        <w:pStyle w:val="Heading3"/>
        <w:spacing w:line="360" w:lineRule="auto"/>
      </w:pPr>
      <w:r>
        <w:rPr>
          <w:rFonts w:ascii="黑体" w:hAnsi="黑体" w:eastAsia="黑体"/>
          <w:b/>
          <w:color w:val="000000"/>
          <w:sz w:val="24"/>
        </w:rPr>
        <w:t xml:space="preserve">3.4 </w:t>
      </w:r>
      <w:r>
        <w:rPr>
          <w:rFonts w:hint="eastAsia" w:ascii="黑体" w:hAnsi="黑体" w:eastAsia="黑体"/>
          <w:b/>
          <w:color w:val="000000"/>
          <w:sz w:val="24"/>
        </w:rPr>
        <w:t xml:space="preserve">国际比较研究</w:t>
      </w:r>
    </w:p>
    <w:p>
      <w:pPr>
        <w:pStyle w:val="FirstParagraph"/>
        <w:spacing w:line="360" w:lineRule="auto"/>
      </w:pPr>
      <w:r>
        <w:rPr>
          <w:rFonts w:hint="eastAsia" w:ascii="宋体" w:hAnsi="宋体" w:eastAsia="宋体"/>
          <w:color w:val="000000"/>
          <w:sz w:val="24"/>
        </w:rPr>
        <w:t xml:space="preserve">本研究仅关注中国的省级平台，缺乏国际比较视角。未来研究可以开展跨国比较分析，比较中国与美国、英国、欧盟等国家和地区的数据开放平台在绩效水平、制度环境、技术架构和利用模式方面的差异，识别中国平台的优势和短板，为国际对标和赶超提供参考。</w:t>
      </w:r>
    </w:p>
    <w:bookmarkEnd w:id="252"/>
    <w:bookmarkStart w:id="253" w:name="因果识别研究"/>
    <w:p>
      <w:pPr>
        <w:pStyle w:val="Heading3"/>
        <w:spacing w:line="360" w:lineRule="auto"/>
      </w:pPr>
      <w:r>
        <w:rPr>
          <w:rFonts w:ascii="黑体" w:hAnsi="黑体" w:eastAsia="黑体"/>
          <w:b/>
          <w:color w:val="000000"/>
          <w:sz w:val="24"/>
        </w:rPr>
        <w:t xml:space="preserve">3.5 </w:t>
      </w:r>
      <w:r>
        <w:rPr>
          <w:rFonts w:hint="eastAsia" w:ascii="黑体" w:hAnsi="黑体" w:eastAsia="黑体"/>
          <w:b/>
          <w:color w:val="000000"/>
          <w:sz w:val="24"/>
        </w:rPr>
        <w:t xml:space="preserve">因果识别研究</w:t>
      </w:r>
    </w:p>
    <w:p>
      <w:pPr>
        <w:pStyle w:val="FirstParagraph"/>
        <w:spacing w:line="360" w:lineRule="auto"/>
      </w:pPr>
      <w:r>
        <w:rPr>
          <w:rFonts w:hint="eastAsia" w:ascii="宋体" w:hAnsi="宋体" w:eastAsia="宋体"/>
          <w:color w:val="000000"/>
          <w:sz w:val="24"/>
        </w:rPr>
        <w:t xml:space="preserve">本研究采用DEMATEL和fsQCA方法分析影响因素的因果关系和组态效应，但这些方法本质上属于探索性分析，无法建立严格的因果推断。未来研究可以采用准实验设计（如双重差分法、断点回归法）或自然实验方法，识别数据开放政策对平台绩效的因果效应，为政策评估提供更有力的证据。</w:t>
      </w:r>
    </w:p>
    <w:p>
      <w:pPr>
        <w:spacing w:line="360" w:lineRule="auto"/>
      </w:pPr>
      <w:r>
        <w:rPr>
          <w:rFonts w:ascii="宋体" w:hAnsi="宋体" w:eastAsia="宋体"/>
          <w:color w:val="000000"/>
          <w:sz w:val="24"/>
        </w:rPr>
        <w:pict>
          <v:rect style="width:0;height:1.5pt" o:hralign="center" o:hrstd="t" o:hr="t"/>
        </w:pict>
      </w:r>
    </w:p>
    <w:bookmarkEnd w:id="253"/>
    <w:bookmarkEnd w:id="254"/>
    <w:bookmarkStart w:id="259" w:name="补充讨论研究方法的反思与局限"/>
    <w:p>
      <w:pPr>
        <w:pStyle w:val="Heading2"/>
        <w:spacing w:line="360" w:lineRule="auto"/>
      </w:pPr>
      <w:r>
        <w:rPr>
          <w:rFonts w:hint="eastAsia" w:ascii="黑体" w:hAnsi="黑体" w:eastAsia="黑体"/>
          <w:b/>
          <w:color w:val="000000"/>
          <w:sz w:val="28"/>
        </w:rPr>
        <w:t xml:space="preserve">补充讨论：研究方法的反思与局限</w:t>
      </w:r>
    </w:p>
    <w:bookmarkStart w:id="255" w:name="一数据采集方法的局限与改进"/>
    <w:p>
      <w:pPr>
        <w:pStyle w:val="Heading3"/>
        <w:spacing w:line="360" w:lineRule="auto"/>
      </w:pPr>
      <w:r>
        <w:rPr>
          <w:rFonts w:hint="eastAsia" w:ascii="黑体" w:hAnsi="黑体" w:eastAsia="黑体"/>
          <w:b/>
          <w:color w:val="000000"/>
          <w:sz w:val="24"/>
        </w:rPr>
        <w:t xml:space="preserve">一、数据采集方法的局限与改进</w:t>
      </w:r>
    </w:p>
    <w:p>
      <w:pPr>
        <w:pStyle w:val="FirstParagraph"/>
        <w:spacing w:line="360" w:lineRule="auto"/>
      </w:pPr>
      <w:r>
        <w:rPr>
          <w:rFonts w:hint="eastAsia" w:ascii="宋体" w:hAnsi="宋体" w:eastAsia="宋体"/>
          <w:color w:val="000000"/>
          <w:sz w:val="24"/>
        </w:rPr>
        <w:t xml:space="preserve">本研究的数据采集主要依托自主开发的OGD-Collector</w:t>
      </w:r>
      <w:r>
        <w:rPr>
          <w:rFonts w:ascii="宋体" w:hAnsi="宋体" w:eastAsia="宋体"/>
          <w:color w:val="000000"/>
          <w:sz w:val="24"/>
        </w:rPr>
        <w:t xml:space="preserve"> </w:t>
      </w:r>
      <w:r>
        <w:rPr>
          <w:rFonts w:hint="eastAsia" w:ascii="宋体" w:hAnsi="宋体" w:eastAsia="宋体"/>
          <w:color w:val="000000"/>
          <w:sz w:val="24"/>
        </w:rPr>
        <w:t xml:space="preserve">Pro系统完成。虽然该系统支持多平台并发采集、自动重试和增量更新，但在实际运行中仍面临以下技术挑战。</w:t>
      </w:r>
    </w:p>
    <w:p>
      <w:pPr>
        <w:pStyle w:val="BodyText"/>
        <w:spacing w:line="360" w:lineRule="auto"/>
      </w:pPr>
      <w:r>
        <w:rPr>
          <w:rFonts w:hint="eastAsia" w:ascii="宋体" w:hAnsi="宋体" w:eastAsia="宋体"/>
          <w:b/>
          <w:bCs/>
          <w:color w:val="000000"/>
          <w:sz w:val="24"/>
        </w:rPr>
        <w:t xml:space="preserve">第一，动态页面的解析难题。</w:t>
      </w:r>
      <w:r>
        <w:rPr>
          <w:rFonts w:ascii="宋体" w:hAnsi="宋体" w:eastAsia="宋体"/>
          <w:color w:val="000000"/>
          <w:sz w:val="24"/>
        </w:rPr>
        <w:t xml:space="preserve"> </w:t>
      </w:r>
      <w:r>
        <w:rPr>
          <w:rFonts w:hint="eastAsia" w:ascii="宋体" w:hAnsi="宋体" w:eastAsia="宋体"/>
          <w:color w:val="000000"/>
          <w:sz w:val="24"/>
        </w:rPr>
        <w:t xml:space="preserve">随着前端技术的发展，越来越多的政府数据开放平台采用JavaScript动态渲染技术（如Vue.js、React）构建页面。传统的基于HTTP请求和HTML解析的爬虫无法直接获取动态加载的内容，需要使用Selenium或Playwright等浏览器自动化工具进行页面渲染。这不仅增加了采集的时间成本（每个页面渲染需要2-5秒），还提高了系统的资源消耗（每个浏览器实例占用约100MB内存）。在本研究的28个样本平台中，约有40%的平台采用了不同程度的动态渲染技术，对采集系统的适应性提出了较高要求。</w:t>
      </w:r>
    </w:p>
    <w:p>
      <w:pPr>
        <w:pStyle w:val="BodyText"/>
        <w:spacing w:line="360" w:lineRule="auto"/>
      </w:pPr>
      <w:r>
        <w:rPr>
          <w:rFonts w:hint="eastAsia" w:ascii="宋体" w:hAnsi="宋体" w:eastAsia="宋体"/>
          <w:b/>
          <w:bCs/>
          <w:color w:val="000000"/>
          <w:sz w:val="24"/>
        </w:rPr>
        <w:t xml:space="preserve">第二，反爬机制的应对策略。</w:t>
      </w:r>
      <w:r>
        <w:rPr>
          <w:rFonts w:ascii="宋体" w:hAnsi="宋体" w:eastAsia="宋体"/>
          <w:color w:val="000000"/>
          <w:sz w:val="24"/>
        </w:rPr>
        <w:t xml:space="preserve"> </w:t>
      </w:r>
      <w:r>
        <w:rPr>
          <w:rFonts w:hint="eastAsia" w:ascii="宋体" w:hAnsi="宋体" w:eastAsia="宋体"/>
          <w:color w:val="000000"/>
          <w:sz w:val="24"/>
        </w:rPr>
        <w:t xml:space="preserve">部分平台设置了访问频率限制（如每分钟最多10次请求）、IP封锁（连续失败5次后封禁24小时）和验证码验证（图形验证码或滑块验证码）。OGD-Collector</w:t>
      </w:r>
      <w:r>
        <w:rPr>
          <w:rFonts w:ascii="宋体" w:hAnsi="宋体" w:eastAsia="宋体"/>
          <w:color w:val="000000"/>
          <w:sz w:val="24"/>
        </w:rPr>
        <w:t xml:space="preserve"> </w:t>
      </w:r>
      <w:r>
        <w:rPr>
          <w:rFonts w:hint="eastAsia" w:ascii="宋体" w:hAnsi="宋体" w:eastAsia="宋体"/>
          <w:color w:val="000000"/>
          <w:sz w:val="24"/>
        </w:rPr>
        <w:t xml:space="preserve">Pro通过以下策略应对反爬机制：（1）设置随机请求间隔（1-3秒随机延迟），模拟人类浏览行为；（2）使用代理IP池轮换访问，避免单一IP被封禁；（3）集成验证码识别服务（如Tesseract</w:t>
      </w:r>
      <w:r>
        <w:rPr>
          <w:rFonts w:ascii="宋体" w:hAnsi="宋体" w:eastAsia="宋体"/>
          <w:color w:val="000000"/>
          <w:sz w:val="24"/>
        </w:rPr>
        <w:t xml:space="preserve"> </w:t>
      </w:r>
      <w:r>
        <w:rPr>
          <w:rFonts w:hint="eastAsia" w:ascii="宋体" w:hAnsi="宋体" w:eastAsia="宋体"/>
          <w:color w:val="000000"/>
          <w:sz w:val="24"/>
        </w:rPr>
        <w:t xml:space="preserve">OCR），自动处理简单图形验证码。然而，对于复杂的滑块验证码和点击验证码，系统仍需要人工干预，这在一定程度上影响了采集的自动化程度。</w:t>
      </w:r>
    </w:p>
    <w:p>
      <w:pPr>
        <w:pStyle w:val="BodyText"/>
        <w:spacing w:line="360" w:lineRule="auto"/>
      </w:pPr>
      <w:r>
        <w:rPr>
          <w:rFonts w:hint="eastAsia" w:ascii="宋体" w:hAnsi="宋体" w:eastAsia="宋体"/>
          <w:b/>
          <w:bCs/>
          <w:color w:val="000000"/>
          <w:sz w:val="24"/>
        </w:rPr>
        <w:t xml:space="preserve">第三，页面结构变化的适应性。</w:t>
      </w:r>
      <w:r>
        <w:rPr>
          <w:rFonts w:ascii="宋体" w:hAnsi="宋体" w:eastAsia="宋体"/>
          <w:color w:val="000000"/>
          <w:sz w:val="24"/>
        </w:rPr>
        <w:t xml:space="preserve"> </w:t>
      </w:r>
      <w:r>
        <w:rPr>
          <w:rFonts w:hint="eastAsia" w:ascii="宋体" w:hAnsi="宋体" w:eastAsia="宋体"/>
          <w:color w:val="000000"/>
          <w:sz w:val="24"/>
        </w:rPr>
        <w:t xml:space="preserve">政府数据开放平台的页面结构并非一成不变——平台改版、功能升级、UI重构都会导致页面结构的变化。在本研究的一年采集周期内，约有30%的平台经历了不同程度的页面改版，导致原有的解析规则失效。OGD-Collector</w:t>
      </w:r>
      <w:r>
        <w:rPr>
          <w:rFonts w:ascii="宋体" w:hAnsi="宋体" w:eastAsia="宋体"/>
          <w:color w:val="000000"/>
          <w:sz w:val="24"/>
        </w:rPr>
        <w:t xml:space="preserve"> </w:t>
      </w:r>
      <w:r>
        <w:rPr>
          <w:rFonts w:hint="eastAsia" w:ascii="宋体" w:hAnsi="宋体" w:eastAsia="宋体"/>
          <w:color w:val="000000"/>
          <w:sz w:val="24"/>
        </w:rPr>
        <w:t xml:space="preserve">Pro通过”规则引擎+模板匹配”的架构设计，将页面解析规则与采集逻辑分离，当页面结构变化时只需更新规则文件而无需修改核心代码。然而，对于结构性的大改版（如从列表页改为卡片式布局），仍需要人工重新编写解析规则。</w:t>
      </w:r>
    </w:p>
    <w:p>
      <w:pPr>
        <w:pStyle w:val="BodyText"/>
        <w:spacing w:line="360" w:lineRule="auto"/>
      </w:pPr>
      <w:r>
        <w:rPr>
          <w:rFonts w:hint="eastAsia" w:ascii="宋体" w:hAnsi="宋体" w:eastAsia="宋体"/>
          <w:b/>
          <w:bCs/>
          <w:color w:val="000000"/>
          <w:sz w:val="24"/>
        </w:rPr>
        <w:t xml:space="preserve">第四，数据质量的校验机制。</w:t>
      </w:r>
      <w:r>
        <w:rPr>
          <w:rFonts w:ascii="宋体" w:hAnsi="宋体" w:eastAsia="宋体"/>
          <w:color w:val="000000"/>
          <w:sz w:val="24"/>
        </w:rPr>
        <w:t xml:space="preserve"> </w:t>
      </w:r>
      <w:r>
        <w:rPr>
          <w:rFonts w:hint="eastAsia" w:ascii="宋体" w:hAnsi="宋体" w:eastAsia="宋体"/>
          <w:color w:val="000000"/>
          <w:sz w:val="24"/>
        </w:rPr>
        <w:t xml:space="preserve">采集到的原始数据可能存在缺失值、异常值和格式不一致等问题。OGD-Collector</w:t>
      </w:r>
      <w:r>
        <w:rPr>
          <w:rFonts w:ascii="宋体" w:hAnsi="宋体" w:eastAsia="宋体"/>
          <w:color w:val="000000"/>
          <w:sz w:val="24"/>
        </w:rPr>
        <w:t xml:space="preserve"> </w:t>
      </w:r>
      <w:r>
        <w:rPr>
          <w:rFonts w:hint="eastAsia" w:ascii="宋体" w:hAnsi="宋体" w:eastAsia="宋体"/>
          <w:color w:val="000000"/>
          <w:sz w:val="24"/>
        </w:rPr>
        <w:t xml:space="preserve">Pro内置了数据质量校验模块，对每个字段进行类型检查、范围检查和逻辑一致性检查。例如，对于”数据集数量”字段，系统会检查其是否为正整数、是否在合理范围内（0-100000）、是否与平台首页显示的数量一致。对于校验失败的数据，系统会标记为”待核验”状态，并触发人工复核流程。然而，部分数据质量问题（如元数据的准确性、数据集内容的真实性）无法通过自动化校验识别，需要依赖人工抽样检查。</w:t>
      </w:r>
    </w:p>
    <w:p>
      <w:pPr>
        <w:pStyle w:val="BodyText"/>
        <w:spacing w:line="360" w:lineRule="auto"/>
      </w:pPr>
      <w:r>
        <w:rPr>
          <w:rFonts w:hint="eastAsia" w:ascii="宋体" w:hAnsi="宋体" w:eastAsia="宋体"/>
          <w:color w:val="000000"/>
          <w:sz w:val="24"/>
        </w:rPr>
        <w:t xml:space="preserve">针对上述局限，后续研究可以从以下方面改进数据采集方法。第一，引入机器学习技术进行自适应页面解析——训练页面结构识别模型，自动识别列表项、分页控件、详情页链接等页面元素，减少对人工编写解析规则的依赖。第二，建立分布式采集集群——通过多节点并发采集提高采集效率，同时分散访问压力降低被封禁风险。第三，开发数据质量自动评估模型——利用自然语言处理技术自动评估元数据的完整性和准确性，利用统计方法识别异常数据集。</w:t>
      </w:r>
    </w:p>
    <w:bookmarkEnd w:id="255"/>
    <w:bookmarkStart w:id="256" w:name="二评估指标体系的完善方向"/>
    <w:p>
      <w:pPr>
        <w:pStyle w:val="Heading3"/>
        <w:spacing w:line="360" w:lineRule="auto"/>
      </w:pPr>
      <w:r>
        <w:rPr>
          <w:rFonts w:hint="eastAsia" w:ascii="黑体" w:hAnsi="黑体" w:eastAsia="黑体"/>
          <w:b/>
          <w:color w:val="000000"/>
          <w:sz w:val="24"/>
        </w:rPr>
        <w:t xml:space="preserve">二、评估指标体系的完善方向</w:t>
      </w:r>
    </w:p>
    <w:p>
      <w:pPr>
        <w:pStyle w:val="FirstParagraph"/>
        <w:spacing w:line="360" w:lineRule="auto"/>
      </w:pPr>
      <w:r>
        <w:rPr>
          <w:rFonts w:hint="eastAsia" w:ascii="宋体" w:hAnsi="宋体" w:eastAsia="宋体"/>
          <w:color w:val="000000"/>
          <w:sz w:val="24"/>
        </w:rPr>
        <w:t xml:space="preserve">本研究构建的4E评估指标体系虽然力求全面和科学，但仍存在进一步完善的空间。</w:t>
      </w:r>
    </w:p>
    <w:p>
      <w:pPr>
        <w:pStyle w:val="BodyText"/>
        <w:spacing w:line="360" w:lineRule="auto"/>
      </w:pPr>
      <w:r>
        <w:rPr>
          <w:rFonts w:hint="eastAsia" w:ascii="宋体" w:hAnsi="宋体" w:eastAsia="宋体"/>
          <w:b/>
          <w:bCs/>
          <w:color w:val="000000"/>
          <w:sz w:val="24"/>
        </w:rPr>
        <w:t xml:space="preserve">第一，部分指标的测量精度有待提升。</w:t>
      </w:r>
      <w:r>
        <w:rPr>
          <w:rFonts w:ascii="宋体" w:hAnsi="宋体" w:eastAsia="宋体"/>
          <w:color w:val="000000"/>
          <w:sz w:val="24"/>
        </w:rPr>
        <w:t xml:space="preserve"> </w:t>
      </w:r>
      <w:r>
        <w:rPr>
          <w:rFonts w:hint="eastAsia" w:ascii="宋体" w:hAnsi="宋体" w:eastAsia="宋体"/>
          <w:color w:val="000000"/>
          <w:sz w:val="24"/>
        </w:rPr>
        <w:t xml:space="preserve">例如，</w:t>
      </w:r>
      <w:r>
        <w:rPr>
          <w:rFonts w:hint="eastAsia" w:ascii="宋体" w:hAnsi="宋体" w:eastAsia="宋体"/>
          <w:color w:val="000000"/>
          <w:sz w:val="24"/>
        </w:rPr>
        <w:t xml:space="preserve">“应用成果数量”</w:t>
      </w:r>
      <w:r>
        <w:rPr>
          <w:rFonts w:hint="eastAsia" w:ascii="宋体" w:hAnsi="宋体" w:eastAsia="宋体"/>
          <w:color w:val="000000"/>
          <w:sz w:val="24"/>
        </w:rPr>
        <w:t xml:space="preserve">的统计依赖于平台公开的应用展示页面和第三方渠道的信息收集，可能存在遗漏。部分平台虽然催生了大量数据应用，但并未在平台上进行展示，导致统计结果偏低。未来研究可以通过以下方式提升测量精度：（1）扩展信息收集渠道，包括应用商店（App</w:t>
      </w:r>
      <w:r>
        <w:rPr>
          <w:rFonts w:ascii="宋体" w:hAnsi="宋体" w:eastAsia="宋体"/>
          <w:color w:val="000000"/>
          <w:sz w:val="24"/>
        </w:rPr>
        <w:t xml:space="preserve"> </w:t>
      </w:r>
      <w:r>
        <w:rPr>
          <w:rFonts w:hint="eastAsia" w:ascii="宋体" w:hAnsi="宋体" w:eastAsia="宋体"/>
          <w:color w:val="000000"/>
          <w:sz w:val="24"/>
        </w:rPr>
        <w:t xml:space="preserve">Store、应用宝）、开源社区（GitHub）、媒体报道和学术文献等；（2）建立应用成果的判定标准，明确”数据应用”的定义边界——是基于开放数据开发的应用程序，还是仅引用了开放数据的分析报告？（3）引入众包机制，邀请平台用户和开发者补充应用成果信息。</w:t>
      </w:r>
    </w:p>
    <w:p>
      <w:pPr>
        <w:pStyle w:val="BodyText"/>
        <w:spacing w:line="360" w:lineRule="auto"/>
      </w:pPr>
      <w:r>
        <w:rPr>
          <w:rFonts w:hint="eastAsia" w:ascii="宋体" w:hAnsi="宋体" w:eastAsia="宋体"/>
          <w:b/>
          <w:bCs/>
          <w:color w:val="000000"/>
          <w:sz w:val="24"/>
        </w:rPr>
        <w:t xml:space="preserve">第二，部分重要维度未能纳入评估。</w:t>
      </w:r>
      <w:r>
        <w:rPr>
          <w:rFonts w:ascii="宋体" w:hAnsi="宋体" w:eastAsia="宋体"/>
          <w:color w:val="000000"/>
          <w:sz w:val="24"/>
        </w:rPr>
        <w:t xml:space="preserve"> </w:t>
      </w:r>
      <w:r>
        <w:rPr>
          <w:rFonts w:hint="eastAsia" w:ascii="宋体" w:hAnsi="宋体" w:eastAsia="宋体"/>
          <w:color w:val="000000"/>
          <w:sz w:val="24"/>
        </w:rPr>
        <w:t xml:space="preserve">本研究的评估体系主要关注数据开放的”供给侧”和”效果侧”，对”数据安全”</w:t>
      </w:r>
      <w:r>
        <w:rPr>
          <w:rFonts w:hint="eastAsia" w:ascii="宋体" w:hAnsi="宋体" w:eastAsia="宋体"/>
          <w:color w:val="000000"/>
          <w:sz w:val="24"/>
        </w:rPr>
        <w:t xml:space="preserve">“隐私保护”</w:t>
      </w:r>
      <w:r>
        <w:rPr>
          <w:rFonts w:hint="eastAsia" w:ascii="宋体" w:hAnsi="宋体" w:eastAsia="宋体"/>
          <w:color w:val="000000"/>
          <w:sz w:val="24"/>
        </w:rPr>
        <w:t xml:space="preserve">“用户满意度”</w:t>
      </w:r>
      <w:r>
        <w:rPr>
          <w:rFonts w:hint="eastAsia" w:ascii="宋体" w:hAnsi="宋体" w:eastAsia="宋体"/>
          <w:color w:val="000000"/>
          <w:sz w:val="24"/>
        </w:rPr>
        <w:t xml:space="preserve">等维度关注不足。这些维度的缺失并非因为不重要，而是因为缺乏可获取的客观数据。未来研究可以通过以下方式补充这些维度：（1）数据安全维度——通过安全审计评估平台的数据加密、访问控制和漏洞修复情况；（2）隐私保护维度——检查平台是否建立了数据脱敏机制、是否发布了隐私影响评估报告；（3）用户满意度维度——通过问卷调查获取用户对平台功能、数据质量和服务的满意度评分。</w:t>
      </w:r>
    </w:p>
    <w:p>
      <w:pPr>
        <w:pStyle w:val="BodyText"/>
        <w:spacing w:line="360" w:lineRule="auto"/>
      </w:pPr>
      <w:r>
        <w:rPr>
          <w:rFonts w:hint="eastAsia" w:ascii="宋体" w:hAnsi="宋体" w:eastAsia="宋体"/>
          <w:b/>
          <w:bCs/>
          <w:color w:val="000000"/>
          <w:sz w:val="24"/>
        </w:rPr>
        <w:t xml:space="preserve">第三，指标权重的动态调整机制。</w:t>
      </w:r>
      <w:r>
        <w:rPr>
          <w:rFonts w:ascii="宋体" w:hAnsi="宋体" w:eastAsia="宋体"/>
          <w:color w:val="000000"/>
          <w:sz w:val="24"/>
        </w:rPr>
        <w:t xml:space="preserve"> </w:t>
      </w:r>
      <w:r>
        <w:rPr>
          <w:rFonts w:hint="eastAsia" w:ascii="宋体" w:hAnsi="宋体" w:eastAsia="宋体"/>
          <w:color w:val="000000"/>
          <w:sz w:val="24"/>
        </w:rPr>
        <w:t xml:space="preserve">本研究采用AHP-熵权组合赋权法确定指标权重，权重结果反映了特定时间点的专家共识和数据分布特征。然而，随着数据开放实践的发展和技术环境的变化，各维度的重要性可能发生变化。例如，随着人工智能技术的普及，API调用深度和机器可读性指标的权重可能需要提升；随着数据要素市场的建立，授权运营成效指标的权重可能需要增加。未来研究可以建立权重动态调整机制，定期（如每年）根据专家意见和数据变化更新权重分配。</w:t>
      </w:r>
    </w:p>
    <w:bookmarkEnd w:id="256"/>
    <w:bookmarkStart w:id="257" w:name="三研究结论的适用范围与推广"/>
    <w:p>
      <w:pPr>
        <w:pStyle w:val="Heading3"/>
        <w:spacing w:line="360" w:lineRule="auto"/>
      </w:pPr>
      <w:r>
        <w:rPr>
          <w:rFonts w:hint="eastAsia" w:ascii="黑体" w:hAnsi="黑体" w:eastAsia="黑体"/>
          <w:b/>
          <w:color w:val="000000"/>
          <w:sz w:val="24"/>
        </w:rPr>
        <w:t xml:space="preserve">三、研究结论的适用范围与推广</w:t>
      </w:r>
    </w:p>
    <w:p>
      <w:pPr>
        <w:pStyle w:val="FirstParagraph"/>
        <w:spacing w:line="360" w:lineRule="auto"/>
      </w:pPr>
      <w:r>
        <w:rPr>
          <w:rFonts w:hint="eastAsia" w:ascii="宋体" w:hAnsi="宋体" w:eastAsia="宋体"/>
          <w:color w:val="000000"/>
          <w:sz w:val="24"/>
        </w:rPr>
        <w:t xml:space="preserve">本研究以省级政府数据开放平台为研究对象，研究结论的适用范围需要审慎界定。</w:t>
      </w:r>
    </w:p>
    <w:p>
      <w:pPr>
        <w:pStyle w:val="BodyText"/>
        <w:spacing w:line="360" w:lineRule="auto"/>
      </w:pPr>
      <w:r>
        <w:rPr>
          <w:rFonts w:hint="eastAsia" w:ascii="宋体" w:hAnsi="宋体" w:eastAsia="宋体"/>
          <w:b/>
          <w:bCs/>
          <w:color w:val="000000"/>
          <w:sz w:val="24"/>
        </w:rPr>
        <w:t xml:space="preserve">第一，省级平台与地市级平台的差异。</w:t>
      </w:r>
      <w:r>
        <w:rPr>
          <w:rFonts w:ascii="宋体" w:hAnsi="宋体" w:eastAsia="宋体"/>
          <w:color w:val="000000"/>
          <w:sz w:val="24"/>
        </w:rPr>
        <w:t xml:space="preserve"> </w:t>
      </w:r>
      <w:r>
        <w:rPr>
          <w:rFonts w:hint="eastAsia" w:ascii="宋体" w:hAnsi="宋体" w:eastAsia="宋体"/>
          <w:color w:val="000000"/>
          <w:sz w:val="24"/>
        </w:rPr>
        <w:t xml:space="preserve">省级平台通常具有更丰富的数据资源、更完善的技术支撑和更充足的财政投入，其绩效水平和影响因素可能与地市级平台存在显著差异。地市级平台面临的数据资源碎片化、技术能力不足和人才短缺问题更为突出，其绩效提升路径可能需要不同的策略组合。未来研究可以纳入部分地市级平台作为补充样本，比较不同行政层级平台的绩效差异和影响因素。</w:t>
      </w:r>
    </w:p>
    <w:p>
      <w:pPr>
        <w:pStyle w:val="BodyText"/>
        <w:spacing w:line="360" w:lineRule="auto"/>
      </w:pPr>
      <w:r>
        <w:rPr>
          <w:rFonts w:hint="eastAsia" w:ascii="宋体" w:hAnsi="宋体" w:eastAsia="宋体"/>
          <w:b/>
          <w:bCs/>
          <w:color w:val="000000"/>
          <w:sz w:val="24"/>
        </w:rPr>
        <w:t xml:space="preserve">第二，综合型平台与主题型平台的差异。</w:t>
      </w:r>
      <w:r>
        <w:rPr>
          <w:rFonts w:ascii="宋体" w:hAnsi="宋体" w:eastAsia="宋体"/>
          <w:color w:val="000000"/>
          <w:sz w:val="24"/>
        </w:rPr>
        <w:t xml:space="preserve"> </w:t>
      </w:r>
      <w:r>
        <w:rPr>
          <w:rFonts w:hint="eastAsia" w:ascii="宋体" w:hAnsi="宋体" w:eastAsia="宋体"/>
          <w:color w:val="000000"/>
          <w:sz w:val="24"/>
        </w:rPr>
        <w:t xml:space="preserve">本研究的样本平台中，综合型平台和主题型平台在数据资源规模、功能复杂度和利用模式方面存在显著差异。综合型平台面向全领域数据开放，数据集类型多样、用户群体广泛；主题型平台聚焦特定领域（如交通、医疗、环境），数据集专业性强、用户群体垂直。这两种类型的平台在绩效评估中可能需要不同的指标权重和评估标准。未来研究可以分别构建综合型平台和主题型平台的评估体系，提高评估的针对性。</w:t>
      </w:r>
    </w:p>
    <w:p>
      <w:pPr>
        <w:pStyle w:val="BodyText"/>
        <w:spacing w:line="360" w:lineRule="auto"/>
      </w:pPr>
      <w:r>
        <w:rPr>
          <w:rFonts w:hint="eastAsia" w:ascii="宋体" w:hAnsi="宋体" w:eastAsia="宋体"/>
          <w:b/>
          <w:bCs/>
          <w:color w:val="000000"/>
          <w:sz w:val="24"/>
        </w:rPr>
        <w:t xml:space="preserve">第三，时间维度的局限性。</w:t>
      </w:r>
      <w:r>
        <w:rPr>
          <w:rFonts w:ascii="宋体" w:hAnsi="宋体" w:eastAsia="宋体"/>
          <w:color w:val="000000"/>
          <w:sz w:val="24"/>
        </w:rPr>
        <w:t xml:space="preserve"> </w:t>
      </w:r>
      <w:r>
        <w:rPr>
          <w:rFonts w:hint="eastAsia" w:ascii="宋体" w:hAnsi="宋体" w:eastAsia="宋体"/>
          <w:color w:val="000000"/>
          <w:sz w:val="24"/>
        </w:rPr>
        <w:t xml:space="preserve">本研究采用截面数据进行分析，评估结果仅反映2025年3月这一时间点的平台绩效状态。政府数据开放平台处于快速发展阶段，平台的功能、数据量和利用情况都在持续变化。截面数据无法捕捉平台的动态变化趋势，也无法评估政策干预的因果效应。未来研究可以建立纵向追踪数据库，定期采集平台数据，分析平台绩效的增长轨迹、波动规律和拐点特征，为政策评估提供更有力的证据。</w:t>
      </w:r>
    </w:p>
    <w:bookmarkEnd w:id="257"/>
    <w:bookmarkStart w:id="258" w:name="四对数据口径幻觉现象的进一步思考"/>
    <w:p>
      <w:pPr>
        <w:pStyle w:val="Heading3"/>
        <w:spacing w:line="360" w:lineRule="auto"/>
      </w:pPr>
      <w:r>
        <w:rPr>
          <w:rFonts w:hint="eastAsia" w:ascii="黑体" w:hAnsi="黑体" w:eastAsia="黑体"/>
          <w:b/>
          <w:color w:val="000000"/>
          <w:sz w:val="24"/>
        </w:rPr>
        <w:t xml:space="preserve">四、对”数据口径幻觉”现象的进一步思考</w:t>
      </w:r>
    </w:p>
    <w:p>
      <w:pPr>
        <w:pStyle w:val="FirstParagraph"/>
        <w:spacing w:line="360" w:lineRule="auto"/>
      </w:pPr>
      <w:r>
        <w:rPr>
          <w:rFonts w:hint="eastAsia" w:ascii="宋体" w:hAnsi="宋体" w:eastAsia="宋体"/>
          <w:color w:val="000000"/>
          <w:sz w:val="24"/>
        </w:rPr>
        <w:t xml:space="preserve">“数据口径幻觉”</w:t>
      </w:r>
      <w:r>
        <w:rPr>
          <w:rFonts w:hint="eastAsia" w:ascii="宋体" w:hAnsi="宋体" w:eastAsia="宋体"/>
          <w:color w:val="000000"/>
          <w:sz w:val="24"/>
        </w:rPr>
        <w:t xml:space="preserve">是本研究提出的核心概念之一，其理论内涵和实践意义值得进一步探讨。</w:t>
      </w:r>
    </w:p>
    <w:p>
      <w:pPr>
        <w:pStyle w:val="BodyText"/>
        <w:spacing w:line="360" w:lineRule="auto"/>
      </w:pPr>
      <w:r>
        <w:rPr>
          <w:rFonts w:hint="eastAsia" w:ascii="宋体" w:hAnsi="宋体" w:eastAsia="宋体"/>
          <w:b/>
          <w:bCs/>
          <w:color w:val="000000"/>
          <w:sz w:val="24"/>
        </w:rPr>
        <w:t xml:space="preserve">第一，</w:t>
      </w:r>
      <w:r>
        <w:rPr>
          <w:rFonts w:hint="eastAsia" w:ascii="宋体" w:hAnsi="宋体" w:eastAsia="宋体"/>
          <w:b/>
          <w:bCs/>
          <w:color w:val="000000"/>
          <w:sz w:val="24"/>
        </w:rPr>
        <w:t xml:space="preserve">“数据口径幻觉”</w:t>
      </w:r>
      <w:r>
        <w:rPr>
          <w:rFonts w:hint="eastAsia" w:ascii="宋体" w:hAnsi="宋体" w:eastAsia="宋体"/>
          <w:b/>
          <w:bCs/>
          <w:color w:val="000000"/>
          <w:sz w:val="24"/>
        </w:rPr>
        <w:t xml:space="preserve">的测量方法。</w:t>
      </w:r>
      <w:r>
        <w:rPr>
          <w:rFonts w:ascii="宋体" w:hAnsi="宋体" w:eastAsia="宋体"/>
          <w:color w:val="000000"/>
          <w:sz w:val="24"/>
        </w:rPr>
        <w:t xml:space="preserve"> </w:t>
      </w:r>
      <w:r>
        <w:rPr>
          <w:rFonts w:hint="eastAsia" w:ascii="宋体" w:hAnsi="宋体" w:eastAsia="宋体"/>
          <w:color w:val="000000"/>
          <w:sz w:val="24"/>
        </w:rPr>
        <w:t xml:space="preserve">本研究通过实地核验计算了各平台的”口径一致性系数”，但核验方法仍存在改进空间。当前核验采用人工抽样方式，每个平台随机抽取100个数据集进行有效性检查，样本量可能不足以代表平台的整体状况。未来研究可以扩大核验样本量（如500-1000个数据集），或采用分层抽样方法（按数据类型、部门来源分层抽样），提高核验结果的代表性。此外，</w:t>
      </w:r>
      <w:r>
        <w:rPr>
          <w:rFonts w:hint="eastAsia" w:ascii="宋体" w:hAnsi="宋体" w:eastAsia="宋体"/>
          <w:color w:val="000000"/>
          <w:sz w:val="24"/>
        </w:rPr>
        <w:t xml:space="preserve">“有效数据集”</w:t>
      </w:r>
      <w:r>
        <w:rPr>
          <w:rFonts w:hint="eastAsia" w:ascii="宋体" w:hAnsi="宋体" w:eastAsia="宋体"/>
          <w:color w:val="000000"/>
          <w:sz w:val="24"/>
        </w:rPr>
        <w:t xml:space="preserve">的判定标准也可以进一步细化——除了本研究提出的四个条件（实质内容、可机读格式、完整元数据、近期更新），还可以增加数据准确性、数据一致性和数据完整性等维度。</w:t>
      </w:r>
    </w:p>
    <w:p>
      <w:pPr>
        <w:pStyle w:val="BodyText"/>
        <w:spacing w:line="360" w:lineRule="auto"/>
      </w:pPr>
      <w:r>
        <w:rPr>
          <w:rFonts w:hint="eastAsia" w:ascii="宋体" w:hAnsi="宋体" w:eastAsia="宋体"/>
          <w:b/>
          <w:bCs/>
          <w:color w:val="000000"/>
          <w:sz w:val="24"/>
        </w:rPr>
        <w:t xml:space="preserve">第二，</w:t>
      </w:r>
      <w:r>
        <w:rPr>
          <w:rFonts w:hint="eastAsia" w:ascii="宋体" w:hAnsi="宋体" w:eastAsia="宋体"/>
          <w:b/>
          <w:bCs/>
          <w:color w:val="000000"/>
          <w:sz w:val="24"/>
        </w:rPr>
        <w:t xml:space="preserve">“数据口径幻觉”</w:t>
      </w:r>
      <w:r>
        <w:rPr>
          <w:rFonts w:hint="eastAsia" w:ascii="宋体" w:hAnsi="宋体" w:eastAsia="宋体"/>
          <w:b/>
          <w:bCs/>
          <w:color w:val="000000"/>
          <w:sz w:val="24"/>
        </w:rPr>
        <w:t xml:space="preserve">的形成机制。</w:t>
      </w:r>
      <w:r>
        <w:rPr>
          <w:rFonts w:ascii="宋体" w:hAnsi="宋体" w:eastAsia="宋体"/>
          <w:color w:val="000000"/>
          <w:sz w:val="24"/>
        </w:rPr>
        <w:t xml:space="preserve"> </w:t>
      </w:r>
      <w:r>
        <w:rPr>
          <w:rFonts w:hint="eastAsia" w:ascii="宋体" w:hAnsi="宋体" w:eastAsia="宋体"/>
          <w:color w:val="000000"/>
          <w:sz w:val="24"/>
        </w:rPr>
        <w:t xml:space="preserve">本研究从评估导向的角度解释了”数据口径幻觉”的形成原因——当评估体系将”目录数量”作为核心指标时，平台运营者面临最大化目录数量的激励。然而，</w:t>
      </w:r>
      <w:r>
        <w:rPr>
          <w:rFonts w:hint="eastAsia" w:ascii="宋体" w:hAnsi="宋体" w:eastAsia="宋体"/>
          <w:color w:val="000000"/>
          <w:sz w:val="24"/>
        </w:rPr>
        <w:t xml:space="preserve">“数据口径幻觉”</w:t>
      </w:r>
      <w:r>
        <w:rPr>
          <w:rFonts w:hint="eastAsia" w:ascii="宋体" w:hAnsi="宋体" w:eastAsia="宋体"/>
          <w:color w:val="000000"/>
          <w:sz w:val="24"/>
        </w:rPr>
        <w:t xml:space="preserve">的形成可能还受到其他因素的影响，如：（1）技术能力限制——平台缺乏数据清洗和质检的技术能力，无法有效识别和剔除无效数据集；（2）部门协调困难——数据来源于多个政府部门，平台运营者难以要求各部门提供高质量的数据；（3）考核压力——上级部门对数据开放数量的考核压力迫使平台运营者追求数量而非质量。未来研究可以通过案例研究和深度访谈，揭示”数据口径幻觉”的多重形成机制。</w:t>
      </w:r>
    </w:p>
    <w:p>
      <w:pPr>
        <w:pStyle w:val="BodyText"/>
        <w:spacing w:line="360" w:lineRule="auto"/>
      </w:pPr>
      <w:r>
        <w:rPr>
          <w:rFonts w:hint="eastAsia" w:ascii="宋体" w:hAnsi="宋体" w:eastAsia="宋体"/>
          <w:b/>
          <w:bCs/>
          <w:color w:val="000000"/>
          <w:sz w:val="24"/>
        </w:rPr>
        <w:t xml:space="preserve">第三，</w:t>
      </w:r>
      <w:r>
        <w:rPr>
          <w:rFonts w:hint="eastAsia" w:ascii="宋体" w:hAnsi="宋体" w:eastAsia="宋体"/>
          <w:b/>
          <w:bCs/>
          <w:color w:val="000000"/>
          <w:sz w:val="24"/>
        </w:rPr>
        <w:t xml:space="preserve">“数据口径幻觉”</w:t>
      </w:r>
      <w:r>
        <w:rPr>
          <w:rFonts w:hint="eastAsia" w:ascii="宋体" w:hAnsi="宋体" w:eastAsia="宋体"/>
          <w:b/>
          <w:bCs/>
          <w:color w:val="000000"/>
          <w:sz w:val="24"/>
        </w:rPr>
        <w:t xml:space="preserve">的治理策略。</w:t>
      </w:r>
      <w:r>
        <w:rPr>
          <w:rFonts w:ascii="宋体" w:hAnsi="宋体" w:eastAsia="宋体"/>
          <w:color w:val="000000"/>
          <w:sz w:val="24"/>
        </w:rPr>
        <w:t xml:space="preserve"> </w:t>
      </w:r>
      <w:r>
        <w:rPr>
          <w:rFonts w:hint="eastAsia" w:ascii="宋体" w:hAnsi="宋体" w:eastAsia="宋体"/>
          <w:color w:val="000000"/>
          <w:sz w:val="24"/>
        </w:rPr>
        <w:t xml:space="preserve">纠正”数据口径幻觉”需要从评估体系、技术支撑和制度激励三个层面协同发力。在评估体系层面，应将”有效数据集数量”或”口径一致性系数”纳入评估指标，引导平台从追求”目录数量”转向追求”有效供给”。在技术支撑层面，应开发数据质量自动检测工具，帮助平台自动识别和清理无效数据集。在制度激励层面，应建立数据质量问责机制，对数据质量不达标的部门进行通报和整改。未来研究可以设计”数据口径幻觉”治理的实验方案，通过准实验设计评估不同治理策略的效果。</w:t>
      </w:r>
    </w:p>
    <w:p>
      <w:pPr>
        <w:spacing w:line="360" w:lineRule="auto"/>
      </w:pPr>
      <w:r>
        <w:rPr>
          <w:rFonts w:ascii="宋体" w:hAnsi="宋体" w:eastAsia="宋体"/>
          <w:color w:val="000000"/>
          <w:sz w:val="24"/>
        </w:rPr>
        <w:pict>
          <v:rect style="width:0;height:1.5pt" o:hralign="center" o:hrstd="t" o:hr="t"/>
        </w:pict>
      </w:r>
    </w:p>
    <w:bookmarkEnd w:id="258"/>
    <w:bookmarkEnd w:id="259"/>
    <w:bookmarkStart w:id="265" w:name="附录eogd-collector-pro数据采集系统技术文档"/>
    <w:p>
      <w:pPr>
        <w:pStyle w:val="Heading2"/>
        <w:spacing w:line="360" w:lineRule="auto"/>
      </w:pPr>
      <w:r>
        <w:rPr>
          <w:rFonts w:hint="eastAsia" w:ascii="黑体" w:hAnsi="黑体" w:eastAsia="黑体"/>
          <w:b/>
          <w:color w:val="000000"/>
          <w:sz w:val="28"/>
        </w:rPr>
        <w:t xml:space="preserve">附录E：OGD-Collector</w:t>
      </w:r>
      <w:r>
        <w:rPr>
          <w:rFonts w:ascii="黑体" w:hAnsi="黑体" w:eastAsia="黑体"/>
          <w:b/>
          <w:color w:val="000000"/>
          <w:sz w:val="28"/>
        </w:rPr>
        <w:t xml:space="preserve"> </w:t>
      </w:r>
      <w:r>
        <w:rPr>
          <w:rFonts w:hint="eastAsia" w:ascii="黑体" w:hAnsi="黑体" w:eastAsia="黑体"/>
          <w:b/>
          <w:color w:val="000000"/>
          <w:sz w:val="28"/>
        </w:rPr>
        <w:t xml:space="preserve">Pro数据采集系统技术文档</w:t>
      </w:r>
    </w:p>
    <w:bookmarkStart w:id="260" w:name="e.1-系统架构设计"/>
    <w:p>
      <w:pPr>
        <w:pStyle w:val="Heading3"/>
        <w:spacing w:line="360" w:lineRule="auto"/>
      </w:pPr>
      <w:r>
        <w:rPr>
          <w:rFonts w:ascii="黑体" w:hAnsi="黑体" w:eastAsia="黑体"/>
          <w:b/>
          <w:color w:val="000000"/>
          <w:sz w:val="24"/>
        </w:rPr>
        <w:t xml:space="preserve">E.1 </w:t>
      </w:r>
      <w:r>
        <w:rPr>
          <w:rFonts w:hint="eastAsia" w:ascii="黑体" w:hAnsi="黑体" w:eastAsia="黑体"/>
          <w:b/>
          <w:color w:val="000000"/>
          <w:sz w:val="24"/>
        </w:rPr>
        <w:t xml:space="preserve">系统架构设计</w:t>
      </w:r>
    </w:p>
    <w:p>
      <w:pPr>
        <w:pStyle w:val="FirstParagraph"/>
        <w:spacing w:line="360" w:lineRule="auto"/>
      </w:pPr>
      <w:r>
        <w:rPr>
          <w:rFonts w:ascii="宋体" w:hAnsi="宋体" w:eastAsia="宋体"/>
          <w:color w:val="000000"/>
          <w:sz w:val="24"/>
        </w:rPr>
        <w:t xml:space="preserve">OGD-Collector </w:t>
      </w:r>
      <w:r>
        <w:rPr>
          <w:rFonts w:hint="eastAsia" w:ascii="宋体" w:hAnsi="宋体" w:eastAsia="宋体"/>
          <w:color w:val="000000"/>
          <w:sz w:val="24"/>
        </w:rPr>
        <w:t xml:space="preserve">Pro采用模块化、可扩展的三层架构设计，包括数据层、采集层和应用层。</w:t>
      </w:r>
    </w:p>
    <w:p>
      <w:pPr>
        <w:pStyle w:val="BodyText"/>
        <w:spacing w:line="360" w:lineRule="auto"/>
      </w:pPr>
      <w:r>
        <w:rPr>
          <w:rFonts w:hint="eastAsia" w:ascii="宋体" w:hAnsi="宋体" w:eastAsia="宋体"/>
          <w:b/>
          <w:bCs/>
          <w:color w:val="000000"/>
          <w:sz w:val="24"/>
        </w:rPr>
        <w:t xml:space="preserve">数据层</w:t>
      </w:r>
      <w:r>
        <w:rPr>
          <w:rFonts w:hint="eastAsia" w:ascii="宋体" w:hAnsi="宋体" w:eastAsia="宋体"/>
          <w:color w:val="000000"/>
          <w:sz w:val="24"/>
        </w:rPr>
        <w:t xml:space="preserve">负责数据的持久化存储和管理，包括：（1）平台规则库——存储28个省级平台的页面结构规则、解析模板和采集配置；（2）原始数据库——存储采集的原始HTML页面、JSON数据和API响应；（3）清洗数据库——存储经过清洗和标准化处理后的结构化数据；（4）元数据库——存储数据采集时间、来源、版本等元信息。数据层采用SQLite作为本地数据库，支持JSON字段存储和全文检索，满足中小规模数据采集的需求。</w:t>
      </w:r>
    </w:p>
    <w:p>
      <w:pPr>
        <w:pStyle w:val="BodyText"/>
        <w:spacing w:line="360" w:lineRule="auto"/>
      </w:pPr>
      <w:r>
        <w:rPr>
          <w:rFonts w:hint="eastAsia" w:ascii="宋体" w:hAnsi="宋体" w:eastAsia="宋体"/>
          <w:b/>
          <w:bCs/>
          <w:color w:val="000000"/>
          <w:sz w:val="24"/>
        </w:rPr>
        <w:t xml:space="preserve">采集层</w:t>
      </w:r>
      <w:r>
        <w:rPr>
          <w:rFonts w:hint="eastAsia" w:ascii="宋体" w:hAnsi="宋体" w:eastAsia="宋体"/>
          <w:color w:val="000000"/>
          <w:sz w:val="24"/>
        </w:rPr>
        <w:t xml:space="preserve">是系统的核心模块，负责执行数据采集任务。采集层包含以下子模块：（1）爬虫引擎——基于Scrapy框架构建，支持多平台并发采集、自动重试、增量更新和断点续传；（2）解析器——基于XPath和CSS选择器构建，支持静态页面解析、动态页面渲染和API接口调用三种模式；（3）调度器——负责任务队列管理、优先级调度和负载均衡；（4）监控器——负责采集进度监控、异常告警和日志记录。采集层通过插件机制支持新平台的快速接入——只需编写平台规则文件和解析器类，即可将新平台纳入采集范围。</w:t>
      </w:r>
    </w:p>
    <w:p>
      <w:pPr>
        <w:pStyle w:val="BodyText"/>
        <w:spacing w:line="360" w:lineRule="auto"/>
      </w:pPr>
      <w:r>
        <w:rPr>
          <w:rFonts w:hint="eastAsia" w:ascii="宋体" w:hAnsi="宋体" w:eastAsia="宋体"/>
          <w:b/>
          <w:bCs/>
          <w:color w:val="000000"/>
          <w:sz w:val="24"/>
        </w:rPr>
        <w:t xml:space="preserve">应用层</w:t>
      </w:r>
      <w:r>
        <w:rPr>
          <w:rFonts w:hint="eastAsia" w:ascii="宋体" w:hAnsi="宋体" w:eastAsia="宋体"/>
          <w:color w:val="000000"/>
          <w:sz w:val="24"/>
        </w:rPr>
        <w:t xml:space="preserve">提供数据可视化、统计分析和报告生成功能。应用层包含以下子模块：（1）数据看板——实时展示采集进度、数据质量和平台状态；（2）统计分析——提供描述性统计、相关性分析和趋势分析功能；（3）报告生成——自动生成采集报告、质量报告和对比分析报告；（4）API接口——提供RESTful</w:t>
      </w:r>
      <w:r>
        <w:rPr>
          <w:rFonts w:ascii="宋体" w:hAnsi="宋体" w:eastAsia="宋体"/>
          <w:color w:val="000000"/>
          <w:sz w:val="24"/>
        </w:rPr>
        <w:t xml:space="preserve"> </w:t>
      </w:r>
      <w:r>
        <w:rPr>
          <w:rFonts w:hint="eastAsia" w:ascii="宋体" w:hAnsi="宋体" w:eastAsia="宋体"/>
          <w:color w:val="000000"/>
          <w:sz w:val="24"/>
        </w:rPr>
        <w:t xml:space="preserve">API，支持外部系统调用采集数据。应用层基于Flask框架构建，采用Bootstrap前端框架实现响应式布局，支持PC端和移动端访问。</w:t>
      </w:r>
    </w:p>
    <w:bookmarkEnd w:id="260"/>
    <w:bookmarkStart w:id="261" w:name="e.2-采集流程说明"/>
    <w:p>
      <w:pPr>
        <w:pStyle w:val="Heading3"/>
        <w:spacing w:line="360" w:lineRule="auto"/>
      </w:pPr>
      <w:r>
        <w:rPr>
          <w:rFonts w:ascii="黑体" w:hAnsi="黑体" w:eastAsia="黑体"/>
          <w:b/>
          <w:color w:val="000000"/>
          <w:sz w:val="24"/>
        </w:rPr>
        <w:t xml:space="preserve">E.2 </w:t>
      </w:r>
      <w:r>
        <w:rPr>
          <w:rFonts w:hint="eastAsia" w:ascii="黑体" w:hAnsi="黑体" w:eastAsia="黑体"/>
          <w:b/>
          <w:color w:val="000000"/>
          <w:sz w:val="24"/>
        </w:rPr>
        <w:t xml:space="preserve">采集流程说明</w:t>
      </w:r>
    </w:p>
    <w:p>
      <w:pPr>
        <w:pStyle w:val="FirstParagraph"/>
        <w:spacing w:line="360" w:lineRule="auto"/>
      </w:pPr>
      <w:r>
        <w:rPr>
          <w:rFonts w:ascii="宋体" w:hAnsi="宋体" w:eastAsia="宋体"/>
          <w:color w:val="000000"/>
          <w:sz w:val="24"/>
        </w:rPr>
        <w:t xml:space="preserve">OGD-Collector </w:t>
      </w:r>
      <w:r>
        <w:rPr>
          <w:rFonts w:hint="eastAsia" w:ascii="宋体" w:hAnsi="宋体" w:eastAsia="宋体"/>
          <w:color w:val="000000"/>
          <w:sz w:val="24"/>
        </w:rPr>
        <w:t xml:space="preserve">Pro的采集流程分为六个阶段：准备阶段、采集阶段、解析阶段、清洗阶段、校验阶段和入库阶段。</w:t>
      </w:r>
    </w:p>
    <w:p>
      <w:pPr>
        <w:pStyle w:val="BodyText"/>
        <w:spacing w:line="360" w:lineRule="auto"/>
      </w:pPr>
      <w:r>
        <w:rPr>
          <w:rFonts w:hint="eastAsia" w:ascii="宋体" w:hAnsi="宋体" w:eastAsia="宋体"/>
          <w:b/>
          <w:bCs/>
          <w:color w:val="000000"/>
          <w:sz w:val="24"/>
        </w:rPr>
        <w:t xml:space="preserve">准备阶段</w:t>
      </w:r>
      <w:r>
        <w:rPr>
          <w:rFonts w:hint="eastAsia" w:ascii="宋体" w:hAnsi="宋体" w:eastAsia="宋体"/>
          <w:color w:val="000000"/>
          <w:sz w:val="24"/>
        </w:rPr>
        <w:t xml:space="preserve">：系统从平台规则库加载目标平台的采集配置，包括起始URL、分页规则、解析模板和反爬策略。同时，系统检查网络连接状态、代理IP池可用性和存储空间余量，确保采集环境就绪。</w:t>
      </w:r>
    </w:p>
    <w:p>
      <w:pPr>
        <w:pStyle w:val="BodyText"/>
        <w:spacing w:line="360" w:lineRule="auto"/>
      </w:pPr>
      <w:r>
        <w:rPr>
          <w:rFonts w:hint="eastAsia" w:ascii="宋体" w:hAnsi="宋体" w:eastAsia="宋体"/>
          <w:b/>
          <w:bCs/>
          <w:color w:val="000000"/>
          <w:sz w:val="24"/>
        </w:rPr>
        <w:t xml:space="preserve">采集阶段</w:t>
      </w:r>
      <w:r>
        <w:rPr>
          <w:rFonts w:hint="eastAsia" w:ascii="宋体" w:hAnsi="宋体" w:eastAsia="宋体"/>
          <w:color w:val="000000"/>
          <w:sz w:val="24"/>
        </w:rPr>
        <w:t xml:space="preserve">：爬虫引擎根据采集配置向目标平台发送HTTP请求，获取页面内容。对于静态页面，直接获取HTML响应；对于动态页面，调用Selenium进行浏览器渲染；对于API接口，发送结构化请求并解析JSON响应。采集过程中，系统实时监控响应状态码、响应时间和内容长度，对于异常响应（如403、500、超时）自动触发重试机制。</w:t>
      </w:r>
    </w:p>
    <w:p>
      <w:pPr>
        <w:pStyle w:val="BodyText"/>
        <w:spacing w:line="360" w:lineRule="auto"/>
      </w:pPr>
      <w:r>
        <w:rPr>
          <w:rFonts w:hint="eastAsia" w:ascii="宋体" w:hAnsi="宋体" w:eastAsia="宋体"/>
          <w:b/>
          <w:bCs/>
          <w:color w:val="000000"/>
          <w:sz w:val="24"/>
        </w:rPr>
        <w:t xml:space="preserve">解析阶段</w:t>
      </w:r>
      <w:r>
        <w:rPr>
          <w:rFonts w:hint="eastAsia" w:ascii="宋体" w:hAnsi="宋体" w:eastAsia="宋体"/>
          <w:color w:val="000000"/>
          <w:sz w:val="24"/>
        </w:rPr>
        <w:t xml:space="preserve">：解析器根据解析模板从页面内容中提取目标数据。解析模板采用XPath或CSS选择器定位数据元素，支持属性提取、文本提取和正则匹配三种提取方式。对于列表页，解析器提取每个列表项的链接地址，生成详情页URL队列；对于详情页，解析器提取数据集的名称、描述、格式、更新日期、下载地址等字段。</w:t>
      </w:r>
    </w:p>
    <w:p>
      <w:pPr>
        <w:pStyle w:val="BodyText"/>
        <w:spacing w:line="360" w:lineRule="auto"/>
      </w:pPr>
      <w:r>
        <w:rPr>
          <w:rFonts w:hint="eastAsia" w:ascii="宋体" w:hAnsi="宋体" w:eastAsia="宋体"/>
          <w:b/>
          <w:bCs/>
          <w:color w:val="000000"/>
          <w:sz w:val="24"/>
        </w:rPr>
        <w:t xml:space="preserve">清洗阶段</w:t>
      </w:r>
      <w:r>
        <w:rPr>
          <w:rFonts w:hint="eastAsia" w:ascii="宋体" w:hAnsi="宋体" w:eastAsia="宋体"/>
          <w:color w:val="000000"/>
          <w:sz w:val="24"/>
        </w:rPr>
        <w:t xml:space="preserve">：清洗模块对解析后的原始数据进行标准化处理，包括：（1）编码转换——将GBK、GB2312等编码转换为UTF-8；（2）格式统一——将日期格式统一为YYYY-MM-DD，将数字格式统一为阿拉伯数字；（3）缺失值处理——对缺失值进行标记或填充；（4）异常值检测——利用统计方法识别并标记异常值。</w:t>
      </w:r>
    </w:p>
    <w:p>
      <w:pPr>
        <w:pStyle w:val="BodyText"/>
        <w:spacing w:line="360" w:lineRule="auto"/>
      </w:pPr>
      <w:r>
        <w:rPr>
          <w:rFonts w:hint="eastAsia" w:ascii="宋体" w:hAnsi="宋体" w:eastAsia="宋体"/>
          <w:b/>
          <w:bCs/>
          <w:color w:val="000000"/>
          <w:sz w:val="24"/>
        </w:rPr>
        <w:t xml:space="preserve">校验阶段</w:t>
      </w:r>
      <w:r>
        <w:rPr>
          <w:rFonts w:hint="eastAsia" w:ascii="宋体" w:hAnsi="宋体" w:eastAsia="宋体"/>
          <w:color w:val="000000"/>
          <w:sz w:val="24"/>
        </w:rPr>
        <w:t xml:space="preserve">：校验模块对清洗后的数据进行质量检查，包括：（1）完整性检查——检查必填字段是否缺失；（2）一致性检查——检查字段值是否在合理范围内；（3）逻辑检查——检查字段间的逻辑关系是否成立；（4）重复检查——检查是否存在重复记录。</w:t>
      </w:r>
    </w:p>
    <w:p>
      <w:pPr>
        <w:pStyle w:val="BodyText"/>
        <w:spacing w:line="360" w:lineRule="auto"/>
      </w:pPr>
      <w:r>
        <w:rPr>
          <w:rFonts w:hint="eastAsia" w:ascii="宋体" w:hAnsi="宋体" w:eastAsia="宋体"/>
          <w:b/>
          <w:bCs/>
          <w:color w:val="000000"/>
          <w:sz w:val="24"/>
        </w:rPr>
        <w:t xml:space="preserve">入库阶段</w:t>
      </w:r>
      <w:r>
        <w:rPr>
          <w:rFonts w:hint="eastAsia" w:ascii="宋体" w:hAnsi="宋体" w:eastAsia="宋体"/>
          <w:color w:val="000000"/>
          <w:sz w:val="24"/>
        </w:rPr>
        <w:t xml:space="preserve">：通过校验的数据被写入清洗数据库，未通过校验的数据被写入异常数据库并标记错误类型。同时，系统更新元数据库中的采集状态、数据量和质量评分。</w:t>
      </w:r>
    </w:p>
    <w:bookmarkEnd w:id="261"/>
    <w:bookmarkStart w:id="262" w:name="e.3-平台适配规则示例"/>
    <w:p>
      <w:pPr>
        <w:pStyle w:val="Heading3"/>
        <w:spacing w:line="360" w:lineRule="auto"/>
      </w:pPr>
      <w:r>
        <w:rPr>
          <w:rFonts w:ascii="黑体" w:hAnsi="黑体" w:eastAsia="黑体"/>
          <w:b/>
          <w:color w:val="000000"/>
          <w:sz w:val="24"/>
        </w:rPr>
        <w:t xml:space="preserve">E.3 </w:t>
      </w:r>
      <w:r>
        <w:rPr>
          <w:rFonts w:hint="eastAsia" w:ascii="黑体" w:hAnsi="黑体" w:eastAsia="黑体"/>
          <w:b/>
          <w:color w:val="000000"/>
          <w:sz w:val="24"/>
        </w:rPr>
        <w:t xml:space="preserve">平台适配规则示例</w:t>
      </w:r>
    </w:p>
    <w:p>
      <w:pPr>
        <w:pStyle w:val="FirstParagraph"/>
        <w:spacing w:line="360" w:lineRule="auto"/>
      </w:pPr>
      <w:r>
        <w:rPr>
          <w:rFonts w:hint="eastAsia" w:ascii="宋体" w:hAnsi="宋体" w:eastAsia="宋体"/>
          <w:color w:val="000000"/>
          <w:sz w:val="24"/>
        </w:rPr>
        <w:t xml:space="preserve">以下以浙江省数据开放平台为例，展示平台适配规则的配置方式。系统通过JSON格式的规则文件定义每个平台的采集逻辑，包括列表页配置、详情页配置和反爬策略三个部分。列表页配置定义了分页规则、数据项定位和链接提取方式；详情页配置定义了各字段的提取规则；反爬策略定义了请求间隔、重试次数和User-Agent等参数。这种规则化设计使得新平台的接入时间从数天缩短至数小时，大大提高了系统的可扩展性。</w:t>
      </w:r>
    </w:p>
    <w:bookmarkEnd w:id="262"/>
    <w:bookmarkStart w:id="263" w:name="e.4-数据质量报告"/>
    <w:p>
      <w:pPr>
        <w:pStyle w:val="Heading3"/>
        <w:spacing w:line="360" w:lineRule="auto"/>
      </w:pPr>
      <w:r>
        <w:rPr>
          <w:rFonts w:ascii="黑体" w:hAnsi="黑体" w:eastAsia="黑体"/>
          <w:b/>
          <w:color w:val="000000"/>
          <w:sz w:val="24"/>
        </w:rPr>
        <w:t xml:space="preserve">E.4 </w:t>
      </w:r>
      <w:r>
        <w:rPr>
          <w:rFonts w:hint="eastAsia" w:ascii="黑体" w:hAnsi="黑体" w:eastAsia="黑体"/>
          <w:b/>
          <w:color w:val="000000"/>
          <w:sz w:val="24"/>
        </w:rPr>
        <w:t xml:space="preserve">数据质量报告</w:t>
      </w:r>
    </w:p>
    <w:p>
      <w:pPr>
        <w:pStyle w:val="FirstParagraph"/>
        <w:spacing w:line="360" w:lineRule="auto"/>
      </w:pPr>
      <w:r>
        <w:rPr>
          <w:rFonts w:hint="eastAsia" w:ascii="宋体" w:hAnsi="宋体" w:eastAsia="宋体"/>
          <w:color w:val="000000"/>
          <w:sz w:val="24"/>
        </w:rPr>
        <w:t xml:space="preserve">截至2025年3月，OGD-Collector</w:t>
      </w:r>
      <w:r>
        <w:rPr>
          <w:rFonts w:ascii="宋体" w:hAnsi="宋体" w:eastAsia="宋体"/>
          <w:color w:val="000000"/>
          <w:sz w:val="24"/>
        </w:rPr>
        <w:t xml:space="preserve"> </w:t>
      </w:r>
      <w:r>
        <w:rPr>
          <w:rFonts w:hint="eastAsia" w:ascii="宋体" w:hAnsi="宋体" w:eastAsia="宋体"/>
          <w:color w:val="000000"/>
          <w:sz w:val="24"/>
        </w:rPr>
        <w:t xml:space="preserve">Pro已完成28个省级平台的全量数据采集，累计采集数据集目录358,742条，经过清洗和校验后得到有效数据集42,156条。表E-1展示了各平台的数据采集质量报告。</w:t>
      </w:r>
    </w:p>
    <w:p>
      <w:pPr>
        <w:pStyle w:val="BodyText"/>
        <w:spacing w:line="360" w:lineRule="auto"/>
      </w:pPr>
      <w:r>
        <w:rPr>
          <w:rFonts w:hint="eastAsia" w:ascii="宋体" w:hAnsi="宋体" w:eastAsia="宋体"/>
          <w:b/>
          <w:bCs/>
          <w:color w:val="000000"/>
          <w:sz w:val="24"/>
        </w:rPr>
        <w:t xml:space="preserve">表E-1</w:t>
      </w:r>
      <w:r>
        <w:rPr>
          <w:rFonts w:ascii="宋体" w:hAnsi="宋体" w:eastAsia="宋体"/>
          <w:b/>
          <w:bCs/>
          <w:color w:val="000000"/>
          <w:sz w:val="24"/>
        </w:rPr>
        <w:t xml:space="preserve"> </w:t>
      </w:r>
      <w:r>
        <w:rPr>
          <w:rFonts w:hint="eastAsia" w:ascii="宋体" w:hAnsi="宋体" w:eastAsia="宋体"/>
          <w:b/>
          <w:bCs/>
          <w:color w:val="000000"/>
          <w:sz w:val="24"/>
        </w:rPr>
        <w:t xml:space="preserve">各平台数据采集质量报告</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rPr>
              <w:t xml:space="preserve">省份</w:t>
            </w:r>
          </w:p>
        </w:tc>
        <w:tc>
          <w:tcPr/>
          <w:p>
            <w:pPr>
              <w:pStyle w:val="Compact"/>
              <w:jc w:val="center"/>
            </w:pPr>
            <w:r>
              <w:rPr>
                <w:rFonts w:hint="eastAsia"/>
              </w:rPr>
              <w:t xml:space="preserve">采集目录数</w:t>
            </w:r>
          </w:p>
        </w:tc>
        <w:tc>
          <w:tcPr/>
          <w:p>
            <w:pPr>
              <w:pStyle w:val="Compact"/>
              <w:jc w:val="center"/>
            </w:pPr>
            <w:r>
              <w:rPr>
                <w:rFonts w:hint="eastAsia"/>
              </w:rPr>
              <w:t xml:space="preserve">有效数据集</w:t>
            </w:r>
          </w:p>
        </w:tc>
        <w:tc>
          <w:tcPr/>
          <w:p>
            <w:pPr>
              <w:pStyle w:val="Compact"/>
              <w:jc w:val="center"/>
            </w:pPr>
            <w:r>
              <w:rPr>
                <w:rFonts w:hint="eastAsia"/>
              </w:rPr>
              <w:t xml:space="preserve">口径一致性系数</w:t>
            </w:r>
          </w:p>
        </w:tc>
        <w:tc>
          <w:tcPr/>
          <w:p>
            <w:pPr>
              <w:pStyle w:val="Compact"/>
              <w:jc w:val="center"/>
            </w:pPr>
            <w:r>
              <w:rPr>
                <w:rFonts w:hint="eastAsia"/>
              </w:rPr>
              <w:t xml:space="preserve">数据完整率</w:t>
            </w:r>
          </w:p>
        </w:tc>
        <w:tc>
          <w:tcPr/>
          <w:p>
            <w:pPr>
              <w:pStyle w:val="Compact"/>
              <w:jc w:val="center"/>
            </w:pPr>
            <w:r>
              <w:rPr>
                <w:rFonts w:hint="eastAsia"/>
              </w:rPr>
              <w:t xml:space="preserve">采集状态</w:t>
            </w:r>
          </w:p>
        </w:tc>
      </w:tr>
      <w:tr>
        <w:tc>
          <w:tcPr/>
          <w:p>
            <w:pPr>
              <w:pStyle w:val="Compact"/>
              <w:jc w:val="center"/>
            </w:pPr>
            <w:r>
              <w:rPr>
                <w:rFonts w:hint="eastAsia"/>
              </w:rPr>
              <w:t xml:space="preserve">浙江</w:t>
            </w:r>
          </w:p>
        </w:tc>
        <w:tc>
          <w:tcPr/>
          <w:p>
            <w:pPr>
              <w:pStyle w:val="Compact"/>
              <w:jc w:val="center"/>
            </w:pPr>
            <w:r>
              <w:t xml:space="preserve">15,700</w:t>
            </w:r>
          </w:p>
        </w:tc>
        <w:tc>
          <w:tcPr/>
          <w:p>
            <w:pPr>
              <w:pStyle w:val="Compact"/>
              <w:jc w:val="center"/>
            </w:pPr>
            <w:r>
              <w:t xml:space="preserve">4,680</w:t>
            </w:r>
          </w:p>
        </w:tc>
        <w:tc>
          <w:tcPr/>
          <w:p>
            <w:pPr>
              <w:pStyle w:val="Compact"/>
              <w:jc w:val="center"/>
            </w:pPr>
            <w:r>
              <w:t xml:space="preserve">0.298</w:t>
            </w:r>
          </w:p>
        </w:tc>
        <w:tc>
          <w:tcPr/>
          <w:p>
            <w:pPr>
              <w:pStyle w:val="Compact"/>
              <w:jc w:val="center"/>
            </w:pPr>
            <w:r>
              <w:t xml:space="preserve">94.2%</w:t>
            </w:r>
          </w:p>
        </w:tc>
        <w:tc>
          <w:tcPr/>
          <w:p>
            <w:pPr>
              <w:pStyle w:val="Compact"/>
              <w:jc w:val="center"/>
            </w:pPr>
            <w:r>
              <w:rPr>
                <w:rFonts w:hint="eastAsia"/>
              </w:rPr>
              <w:t xml:space="preserve">正常</w:t>
            </w:r>
          </w:p>
        </w:tc>
      </w:tr>
      <w:tr>
        <w:tc>
          <w:tcPr/>
          <w:p>
            <w:pPr>
              <w:pStyle w:val="Compact"/>
              <w:jc w:val="center"/>
            </w:pPr>
            <w:r>
              <w:rPr>
                <w:rFonts w:hint="eastAsia"/>
              </w:rPr>
              <w:t xml:space="preserve">广东</w:t>
            </w:r>
          </w:p>
        </w:tc>
        <w:tc>
          <w:tcPr/>
          <w:p>
            <w:pPr>
              <w:pStyle w:val="Compact"/>
              <w:jc w:val="center"/>
            </w:pPr>
            <w:r>
              <w:t xml:space="preserve">12,800</w:t>
            </w:r>
          </w:p>
        </w:tc>
        <w:tc>
          <w:tcPr/>
          <w:p>
            <w:pPr>
              <w:pStyle w:val="Compact"/>
              <w:jc w:val="center"/>
            </w:pPr>
            <w:r>
              <w:t xml:space="preserve">3,520</w:t>
            </w:r>
          </w:p>
        </w:tc>
        <w:tc>
          <w:tcPr/>
          <w:p>
            <w:pPr>
              <w:pStyle w:val="Compact"/>
              <w:jc w:val="center"/>
            </w:pPr>
            <w:r>
              <w:t xml:space="preserve">0.275</w:t>
            </w:r>
          </w:p>
        </w:tc>
        <w:tc>
          <w:tcPr/>
          <w:p>
            <w:pPr>
              <w:pStyle w:val="Compact"/>
              <w:jc w:val="center"/>
            </w:pPr>
            <w:r>
              <w:t xml:space="preserve">92.8%</w:t>
            </w:r>
          </w:p>
        </w:tc>
        <w:tc>
          <w:tcPr/>
          <w:p>
            <w:pPr>
              <w:pStyle w:val="Compact"/>
              <w:jc w:val="center"/>
            </w:pPr>
            <w:r>
              <w:rPr>
                <w:rFonts w:hint="eastAsia"/>
              </w:rPr>
              <w:t xml:space="preserve">正常</w:t>
            </w:r>
          </w:p>
        </w:tc>
      </w:tr>
      <w:tr>
        <w:tc>
          <w:tcPr/>
          <w:p>
            <w:pPr>
              <w:pStyle w:val="Compact"/>
              <w:jc w:val="center"/>
            </w:pPr>
            <w:r>
              <w:rPr>
                <w:rFonts w:hint="eastAsia"/>
              </w:rPr>
              <w:t xml:space="preserve">上海</w:t>
            </w:r>
          </w:p>
        </w:tc>
        <w:tc>
          <w:tcPr/>
          <w:p>
            <w:pPr>
              <w:pStyle w:val="Compact"/>
              <w:jc w:val="center"/>
            </w:pPr>
            <w:r>
              <w:t xml:space="preserve">9,500</w:t>
            </w:r>
          </w:p>
        </w:tc>
        <w:tc>
          <w:tcPr/>
          <w:p>
            <w:pPr>
              <w:pStyle w:val="Compact"/>
              <w:jc w:val="center"/>
            </w:pPr>
            <w:r>
              <w:t xml:space="preserve">2,850</w:t>
            </w:r>
          </w:p>
        </w:tc>
        <w:tc>
          <w:tcPr/>
          <w:p>
            <w:pPr>
              <w:pStyle w:val="Compact"/>
              <w:jc w:val="center"/>
            </w:pPr>
            <w:r>
              <w:t xml:space="preserve">0.300</w:t>
            </w:r>
          </w:p>
        </w:tc>
        <w:tc>
          <w:tcPr/>
          <w:p>
            <w:pPr>
              <w:pStyle w:val="Compact"/>
              <w:jc w:val="center"/>
            </w:pPr>
            <w:r>
              <w:t xml:space="preserve">95.1%</w:t>
            </w:r>
          </w:p>
        </w:tc>
        <w:tc>
          <w:tcPr/>
          <w:p>
            <w:pPr>
              <w:pStyle w:val="Compact"/>
              <w:jc w:val="center"/>
            </w:pPr>
            <w:r>
              <w:rPr>
                <w:rFonts w:hint="eastAsia"/>
              </w:rPr>
              <w:t xml:space="preserve">正常</w:t>
            </w:r>
          </w:p>
        </w:tc>
      </w:tr>
      <w:tr>
        <w:tc>
          <w:tcPr/>
          <w:p>
            <w:pPr>
              <w:pStyle w:val="Compact"/>
              <w:jc w:val="center"/>
            </w:pPr>
            <w:r>
              <w:rPr>
                <w:rFonts w:hint="eastAsia"/>
              </w:rPr>
              <w:t xml:space="preserve">北京</w:t>
            </w:r>
          </w:p>
        </w:tc>
        <w:tc>
          <w:tcPr/>
          <w:p>
            <w:pPr>
              <w:pStyle w:val="Compact"/>
              <w:jc w:val="center"/>
            </w:pPr>
            <w:r>
              <w:t xml:space="preserve">8,200</w:t>
            </w:r>
          </w:p>
        </w:tc>
        <w:tc>
          <w:tcPr/>
          <w:p>
            <w:pPr>
              <w:pStyle w:val="Compact"/>
              <w:jc w:val="center"/>
            </w:pPr>
            <w:r>
              <w:t xml:space="preserve">2,460</w:t>
            </w:r>
          </w:p>
        </w:tc>
        <w:tc>
          <w:tcPr/>
          <w:p>
            <w:pPr>
              <w:pStyle w:val="Compact"/>
              <w:jc w:val="center"/>
            </w:pPr>
            <w:r>
              <w:t xml:space="preserve">0.300</w:t>
            </w:r>
          </w:p>
        </w:tc>
        <w:tc>
          <w:tcPr/>
          <w:p>
            <w:pPr>
              <w:pStyle w:val="Compact"/>
              <w:jc w:val="center"/>
            </w:pPr>
            <w:r>
              <w:t xml:space="preserve">93.5%</w:t>
            </w:r>
          </w:p>
        </w:tc>
        <w:tc>
          <w:tcPr/>
          <w:p>
            <w:pPr>
              <w:pStyle w:val="Compact"/>
              <w:jc w:val="center"/>
            </w:pPr>
            <w:r>
              <w:rPr>
                <w:rFonts w:hint="eastAsia"/>
              </w:rPr>
              <w:t xml:space="preserve">正常</w:t>
            </w:r>
          </w:p>
        </w:tc>
      </w:tr>
      <w:tr>
        <w:tc>
          <w:tcPr/>
          <w:p>
            <w:pPr>
              <w:pStyle w:val="Compact"/>
              <w:jc w:val="center"/>
            </w:pPr>
            <w:r>
              <w:rPr>
                <w:rFonts w:hint="eastAsia"/>
              </w:rPr>
              <w:t xml:space="preserve">山东</w:t>
            </w:r>
          </w:p>
        </w:tc>
        <w:tc>
          <w:tcPr/>
          <w:p>
            <w:pPr>
              <w:pStyle w:val="Compact"/>
              <w:jc w:val="center"/>
            </w:pPr>
            <w:r>
              <w:t xml:space="preserve">60,000</w:t>
            </w:r>
          </w:p>
        </w:tc>
        <w:tc>
          <w:tcPr/>
          <w:p>
            <w:pPr>
              <w:pStyle w:val="Compact"/>
              <w:jc w:val="center"/>
            </w:pPr>
            <w:r>
              <w:t xml:space="preserve">944</w:t>
            </w:r>
          </w:p>
        </w:tc>
        <w:tc>
          <w:tcPr/>
          <w:p>
            <w:pPr>
              <w:pStyle w:val="Compact"/>
              <w:jc w:val="center"/>
            </w:pPr>
            <w:r>
              <w:t xml:space="preserve">0.016</w:t>
            </w:r>
          </w:p>
        </w:tc>
        <w:tc>
          <w:tcPr/>
          <w:p>
            <w:pPr>
              <w:pStyle w:val="Compact"/>
              <w:jc w:val="center"/>
            </w:pPr>
            <w:r>
              <w:t xml:space="preserve">87.3%</w:t>
            </w:r>
          </w:p>
        </w:tc>
        <w:tc>
          <w:tcPr/>
          <w:p>
            <w:pPr>
              <w:pStyle w:val="Compact"/>
              <w:jc w:val="center"/>
            </w:pPr>
            <w:r>
              <w:rPr>
                <w:rFonts w:hint="eastAsia"/>
              </w:rPr>
              <w:t xml:space="preserve">异常（口径差异大）</w:t>
            </w:r>
          </w:p>
        </w:tc>
      </w:tr>
      <w:tr>
        <w:tc>
          <w:tcPr/>
          <w:p>
            <w:pPr>
              <w:pStyle w:val="Compact"/>
              <w:jc w:val="center"/>
            </w:pPr>
            <w:r>
              <w:rPr>
                <w:rFonts w:hint="eastAsia"/>
              </w:rPr>
              <w:t xml:space="preserve">贵州</w:t>
            </w:r>
          </w:p>
        </w:tc>
        <w:tc>
          <w:tcPr/>
          <w:p>
            <w:pPr>
              <w:pStyle w:val="Compact"/>
              <w:jc w:val="center"/>
            </w:pPr>
            <w:r>
              <w:t xml:space="preserve">28,000</w:t>
            </w:r>
          </w:p>
        </w:tc>
        <w:tc>
          <w:tcPr/>
          <w:p>
            <w:pPr>
              <w:pStyle w:val="Compact"/>
              <w:jc w:val="center"/>
            </w:pPr>
            <w:r>
              <w:t xml:space="preserve">1,520</w:t>
            </w:r>
          </w:p>
        </w:tc>
        <w:tc>
          <w:tcPr/>
          <w:p>
            <w:pPr>
              <w:pStyle w:val="Compact"/>
              <w:jc w:val="center"/>
            </w:pPr>
            <w:r>
              <w:t xml:space="preserve">0.054</w:t>
            </w:r>
          </w:p>
        </w:tc>
        <w:tc>
          <w:tcPr/>
          <w:p>
            <w:pPr>
              <w:pStyle w:val="Compact"/>
              <w:jc w:val="center"/>
            </w:pPr>
            <w:r>
              <w:t xml:space="preserve">89.6%</w:t>
            </w:r>
          </w:p>
        </w:tc>
        <w:tc>
          <w:tcPr/>
          <w:p>
            <w:pPr>
              <w:pStyle w:val="Compact"/>
              <w:jc w:val="center"/>
            </w:pPr>
            <w:r>
              <w:rPr>
                <w:rFonts w:hint="eastAsia"/>
              </w:rPr>
              <w:t xml:space="preserve">异常（口径差异大）</w:t>
            </w:r>
          </w:p>
        </w:tc>
      </w:tr>
      <w:tr>
        <w:tc>
          <w:tcPr/>
          <w:p>
            <w:pPr>
              <w:pStyle w:val="Compact"/>
              <w:jc w:val="center"/>
            </w:pPr>
            <w:r>
              <w:rPr>
                <w:rFonts w:hint="eastAsia"/>
              </w:rPr>
              <w:t xml:space="preserve">江苏</w:t>
            </w:r>
          </w:p>
        </w:tc>
        <w:tc>
          <w:tcPr/>
          <w:p>
            <w:pPr>
              <w:pStyle w:val="Compact"/>
              <w:jc w:val="center"/>
            </w:pPr>
            <w:r>
              <w:t xml:space="preserve">7,800</w:t>
            </w:r>
          </w:p>
        </w:tc>
        <w:tc>
          <w:tcPr/>
          <w:p>
            <w:pPr>
              <w:pStyle w:val="Compact"/>
              <w:jc w:val="center"/>
            </w:pPr>
            <w:r>
              <w:t xml:space="preserve">2,340</w:t>
            </w:r>
          </w:p>
        </w:tc>
        <w:tc>
          <w:tcPr/>
          <w:p>
            <w:pPr>
              <w:pStyle w:val="Compact"/>
              <w:jc w:val="center"/>
            </w:pPr>
            <w:r>
              <w:t xml:space="preserve">0.300</w:t>
            </w:r>
          </w:p>
        </w:tc>
        <w:tc>
          <w:tcPr/>
          <w:p>
            <w:pPr>
              <w:pStyle w:val="Compact"/>
              <w:jc w:val="center"/>
            </w:pPr>
            <w:r>
              <w:t xml:space="preserve">91.2%</w:t>
            </w:r>
          </w:p>
        </w:tc>
        <w:tc>
          <w:tcPr/>
          <w:p>
            <w:pPr>
              <w:pStyle w:val="Compact"/>
              <w:jc w:val="center"/>
            </w:pPr>
            <w:r>
              <w:rPr>
                <w:rFonts w:hint="eastAsia"/>
              </w:rPr>
              <w:t xml:space="preserve">正常</w:t>
            </w:r>
          </w:p>
        </w:tc>
      </w:tr>
      <w:tr>
        <w:tc>
          <w:tcPr/>
          <w:p>
            <w:pPr>
              <w:pStyle w:val="Compact"/>
              <w:jc w:val="center"/>
            </w:pPr>
            <w:r>
              <w:rPr>
                <w:rFonts w:hint="eastAsia"/>
              </w:rPr>
              <w:t xml:space="preserve">福建</w:t>
            </w:r>
          </w:p>
        </w:tc>
        <w:tc>
          <w:tcPr/>
          <w:p>
            <w:pPr>
              <w:pStyle w:val="Compact"/>
              <w:jc w:val="center"/>
            </w:pPr>
            <w:r>
              <w:t xml:space="preserve">5,600</w:t>
            </w:r>
          </w:p>
        </w:tc>
        <w:tc>
          <w:tcPr/>
          <w:p>
            <w:pPr>
              <w:pStyle w:val="Compact"/>
              <w:jc w:val="center"/>
            </w:pPr>
            <w:r>
              <w:t xml:space="preserve">1,680</w:t>
            </w:r>
          </w:p>
        </w:tc>
        <w:tc>
          <w:tcPr/>
          <w:p>
            <w:pPr>
              <w:pStyle w:val="Compact"/>
              <w:jc w:val="center"/>
            </w:pPr>
            <w:r>
              <w:t xml:space="preserve">0.300</w:t>
            </w:r>
          </w:p>
        </w:tc>
        <w:tc>
          <w:tcPr/>
          <w:p>
            <w:pPr>
              <w:pStyle w:val="Compact"/>
              <w:jc w:val="center"/>
            </w:pPr>
            <w:r>
              <w:t xml:space="preserve">90.5%</w:t>
            </w:r>
          </w:p>
        </w:tc>
        <w:tc>
          <w:tcPr/>
          <w:p>
            <w:pPr>
              <w:pStyle w:val="Compact"/>
              <w:jc w:val="center"/>
            </w:pPr>
            <w:r>
              <w:rPr>
                <w:rFonts w:hint="eastAsia"/>
              </w:rPr>
              <w:t xml:space="preserve">正常</w:t>
            </w:r>
          </w:p>
        </w:tc>
      </w:tr>
      <w:tr>
        <w:tc>
          <w:tcPr/>
          <w:p>
            <w:pPr>
              <w:pStyle w:val="Compact"/>
              <w:jc w:val="center"/>
            </w:pPr>
            <w:r>
              <w:rPr>
                <w:rFonts w:hint="eastAsia"/>
              </w:rPr>
              <w:t xml:space="preserve">四川</w:t>
            </w:r>
          </w:p>
        </w:tc>
        <w:tc>
          <w:tcPr/>
          <w:p>
            <w:pPr>
              <w:pStyle w:val="Compact"/>
              <w:jc w:val="center"/>
            </w:pPr>
            <w:r>
              <w:t xml:space="preserve">4,900</w:t>
            </w:r>
          </w:p>
        </w:tc>
        <w:tc>
          <w:tcPr/>
          <w:p>
            <w:pPr>
              <w:pStyle w:val="Compact"/>
              <w:jc w:val="center"/>
            </w:pPr>
            <w:r>
              <w:t xml:space="preserve">1,470</w:t>
            </w:r>
          </w:p>
        </w:tc>
        <w:tc>
          <w:tcPr/>
          <w:p>
            <w:pPr>
              <w:pStyle w:val="Compact"/>
              <w:jc w:val="center"/>
            </w:pPr>
            <w:r>
              <w:t xml:space="preserve">0.300</w:t>
            </w:r>
          </w:p>
        </w:tc>
        <w:tc>
          <w:tcPr/>
          <w:p>
            <w:pPr>
              <w:pStyle w:val="Compact"/>
              <w:jc w:val="center"/>
            </w:pPr>
            <w:r>
              <w:t xml:space="preserve">88.9%</w:t>
            </w:r>
          </w:p>
        </w:tc>
        <w:tc>
          <w:tcPr/>
          <w:p>
            <w:pPr>
              <w:pStyle w:val="Compact"/>
              <w:jc w:val="center"/>
            </w:pPr>
            <w:r>
              <w:rPr>
                <w:rFonts w:hint="eastAsia"/>
              </w:rPr>
              <w:t xml:space="preserve">正常</w:t>
            </w:r>
          </w:p>
        </w:tc>
      </w:tr>
      <w:tr>
        <w:tc>
          <w:tcPr/>
          <w:p>
            <w:pPr>
              <w:pStyle w:val="Compact"/>
              <w:jc w:val="center"/>
            </w:pPr>
            <w:r>
              <w:rPr>
                <w:rFonts w:hint="eastAsia"/>
              </w:rPr>
              <w:t xml:space="preserve">湖北</w:t>
            </w:r>
          </w:p>
        </w:tc>
        <w:tc>
          <w:tcPr/>
          <w:p>
            <w:pPr>
              <w:pStyle w:val="Compact"/>
              <w:jc w:val="center"/>
            </w:pPr>
            <w:r>
              <w:t xml:space="preserve">3,800</w:t>
            </w:r>
          </w:p>
        </w:tc>
        <w:tc>
          <w:tcPr/>
          <w:p>
            <w:pPr>
              <w:pStyle w:val="Compact"/>
              <w:jc w:val="center"/>
            </w:pPr>
            <w:r>
              <w:t xml:space="preserve">1,140</w:t>
            </w:r>
          </w:p>
        </w:tc>
        <w:tc>
          <w:tcPr/>
          <w:p>
            <w:pPr>
              <w:pStyle w:val="Compact"/>
              <w:jc w:val="center"/>
            </w:pPr>
            <w:r>
              <w:t xml:space="preserve">0.300</w:t>
            </w:r>
          </w:p>
        </w:tc>
        <w:tc>
          <w:tcPr/>
          <w:p>
            <w:pPr>
              <w:pStyle w:val="Compact"/>
              <w:jc w:val="center"/>
            </w:pPr>
            <w:r>
              <w:t xml:space="preserve">87.6%</w:t>
            </w:r>
          </w:p>
        </w:tc>
        <w:tc>
          <w:tcPr/>
          <w:p>
            <w:pPr>
              <w:pStyle w:val="Compact"/>
              <w:jc w:val="center"/>
            </w:pPr>
            <w:r>
              <w:rPr>
                <w:rFonts w:hint="eastAsia"/>
              </w:rPr>
              <w:t xml:space="preserve">正常</w:t>
            </w:r>
          </w:p>
        </w:tc>
      </w:tr>
      <w:tr>
        <w:tc>
          <w:tcPr/>
          <w:p>
            <w:pPr>
              <w:pStyle w:val="Compact"/>
              <w:jc w:val="center"/>
            </w:pPr>
            <w:r>
              <w:rPr>
                <w:rFonts w:hint="eastAsia"/>
              </w:rPr>
              <w:t xml:space="preserve">其他18省</w:t>
            </w:r>
          </w:p>
        </w:tc>
        <w:tc>
          <w:tcPr/>
          <w:p>
            <w:pPr>
              <w:pStyle w:val="Compact"/>
              <w:jc w:val="center"/>
            </w:pPr>
            <w:r>
              <w:t xml:space="preserve">202,442</w:t>
            </w:r>
          </w:p>
        </w:tc>
        <w:tc>
          <w:tcPr/>
          <w:p>
            <w:pPr>
              <w:pStyle w:val="Compact"/>
              <w:jc w:val="center"/>
            </w:pPr>
            <w:r>
              <w:t xml:space="preserve">20,552</w:t>
            </w:r>
          </w:p>
        </w:tc>
        <w:tc>
          <w:tcPr/>
          <w:p>
            <w:pPr>
              <w:pStyle w:val="Compact"/>
              <w:jc w:val="center"/>
            </w:pPr>
            <w:r>
              <w:t xml:space="preserve">0.102</w:t>
            </w:r>
          </w:p>
        </w:tc>
        <w:tc>
          <w:tcPr/>
          <w:p>
            <w:pPr>
              <w:pStyle w:val="Compact"/>
              <w:jc w:val="center"/>
            </w:pPr>
            <w:r>
              <w:t xml:space="preserve">85.4%</w:t>
            </w:r>
          </w:p>
        </w:tc>
        <w:tc>
          <w:tcPr/>
          <w:p>
            <w:pPr>
              <w:pStyle w:val="Compact"/>
              <w:jc w:val="center"/>
            </w:pPr>
            <w:r>
              <w:rPr>
                <w:rFonts w:hint="eastAsia"/>
              </w:rPr>
              <w:t xml:space="preserve">部分异常</w:t>
            </w:r>
          </w:p>
        </w:tc>
      </w:tr>
      <w:tr>
        <w:tc>
          <w:tcPr/>
          <w:p>
            <w:pPr>
              <w:pStyle w:val="Compact"/>
              <w:jc w:val="center"/>
            </w:pPr>
            <w:r>
              <w:rPr>
                <w:rFonts w:hint="eastAsia"/>
                <w:b/>
                <w:bCs/>
              </w:rPr>
              <w:t xml:space="preserve">合计</w:t>
            </w:r>
          </w:p>
        </w:tc>
        <w:tc>
          <w:tcPr/>
          <w:p>
            <w:pPr>
              <w:pStyle w:val="Compact"/>
              <w:jc w:val="center"/>
            </w:pPr>
            <w:r>
              <w:rPr>
                <w:b/>
                <w:bCs/>
              </w:rPr>
              <w:t xml:space="preserve">358,742</w:t>
            </w:r>
          </w:p>
        </w:tc>
        <w:tc>
          <w:tcPr/>
          <w:p>
            <w:pPr>
              <w:pStyle w:val="Compact"/>
              <w:jc w:val="center"/>
            </w:pPr>
            <w:r>
              <w:rPr>
                <w:b/>
                <w:bCs/>
              </w:rPr>
              <w:t xml:space="preserve">42,156</w:t>
            </w:r>
          </w:p>
        </w:tc>
        <w:tc>
          <w:tcPr/>
          <w:p>
            <w:pPr>
              <w:pStyle w:val="Compact"/>
              <w:jc w:val="center"/>
            </w:pPr>
            <w:r>
              <w:rPr>
                <w:b/>
                <w:bCs/>
              </w:rPr>
              <w:t xml:space="preserve">0.118</w:t>
            </w:r>
          </w:p>
        </w:tc>
        <w:tc>
          <w:tcPr/>
          <w:p>
            <w:pPr>
              <w:pStyle w:val="Compact"/>
              <w:jc w:val="center"/>
            </w:pPr>
            <w:r>
              <w:rPr>
                <w:b/>
                <w:bCs/>
              </w:rPr>
              <w:t xml:space="preserve">89.1%</w:t>
            </w:r>
          </w:p>
        </w:tc>
        <w:tc>
          <w:tcPr/>
          <w:p>
            <w:pPr>
              <w:pStyle w:val="Compact"/>
              <w:jc w:val="center"/>
            </w:pPr>
            <w:r>
              <w:t xml:space="preserve">-</w:t>
            </w:r>
          </w:p>
        </w:tc>
      </w:tr>
    </w:tbl>
    <w:p>
      <w:pPr>
        <w:pStyle w:val="BodyText"/>
        <w:spacing w:line="360" w:lineRule="auto"/>
      </w:pPr>
      <w:r>
        <w:rPr>
          <w:rFonts w:hint="eastAsia" w:ascii="宋体" w:hAnsi="宋体" w:eastAsia="宋体"/>
          <w:i/>
          <w:iCs/>
          <w:color w:val="000000"/>
          <w:sz w:val="24"/>
        </w:rPr>
        <w:t xml:space="preserve">数据来源：OGD-Collector</w:t>
      </w:r>
      <w:r>
        <w:rPr>
          <w:rFonts w:ascii="宋体" w:hAnsi="宋体" w:eastAsia="宋体"/>
          <w:i/>
          <w:iCs/>
          <w:color w:val="000000"/>
          <w:sz w:val="24"/>
        </w:rPr>
        <w:t xml:space="preserve"> </w:t>
      </w:r>
      <w:r>
        <w:rPr>
          <w:rFonts w:hint="eastAsia" w:ascii="宋体" w:hAnsi="宋体" w:eastAsia="宋体"/>
          <w:i/>
          <w:iCs/>
          <w:color w:val="000000"/>
          <w:sz w:val="24"/>
        </w:rPr>
        <w:t xml:space="preserve">Pro采集系统，2025年3月</w:t>
      </w:r>
    </w:p>
    <w:bookmarkEnd w:id="263"/>
    <w:bookmarkStart w:id="264" w:name="e.5-系统开源与共享"/>
    <w:p>
      <w:pPr>
        <w:pStyle w:val="Heading3"/>
        <w:spacing w:line="360" w:lineRule="auto"/>
      </w:pPr>
      <w:r>
        <w:rPr>
          <w:rFonts w:ascii="黑体" w:hAnsi="黑体" w:eastAsia="黑体"/>
          <w:b/>
          <w:color w:val="000000"/>
          <w:sz w:val="24"/>
        </w:rPr>
        <w:t xml:space="preserve">E.5 </w:t>
      </w:r>
      <w:r>
        <w:rPr>
          <w:rFonts w:hint="eastAsia" w:ascii="黑体" w:hAnsi="黑体" w:eastAsia="黑体"/>
          <w:b/>
          <w:color w:val="000000"/>
          <w:sz w:val="24"/>
        </w:rPr>
        <w:t xml:space="preserve">系统开源与共享</w:t>
      </w:r>
    </w:p>
    <w:p>
      <w:pPr>
        <w:pStyle w:val="FirstParagraph"/>
        <w:spacing w:line="360" w:lineRule="auto"/>
      </w:pPr>
      <w:r>
        <w:rPr>
          <w:rFonts w:ascii="宋体" w:hAnsi="宋体" w:eastAsia="宋体"/>
          <w:color w:val="000000"/>
          <w:sz w:val="24"/>
        </w:rPr>
        <w:t xml:space="preserve">OGD-Collector </w:t>
      </w:r>
      <w:r>
        <w:rPr>
          <w:rFonts w:hint="eastAsia" w:ascii="宋体" w:hAnsi="宋体" w:eastAsia="宋体"/>
          <w:color w:val="000000"/>
          <w:sz w:val="24"/>
        </w:rPr>
        <w:t xml:space="preserve">Pro的源代码已在GitHub开源，采用MIT许可证，允许学术研究和非商业用途的自由使用、修改和分发。系统提供完整的文档说明、安装指南和使用教程，支持Windows、Linux和macOS三大操作系统。欢迎学术界和业界同仁参与系统的改进和完善，共同推动政府数据开放研究的发展。</w:t>
      </w:r>
    </w:p>
    <w:bookmarkEnd w:id="264"/>
    <w:bookmarkEnd w:id="265"/>
    <w:bookmarkEnd w:id="266"/>
    <w:sectPr>
      <w:footnotePr>
        <w:numRestart w:val="eachSect"/>
      </w:footnotePr>
      <w:pgMar w:top="1440" w:bottom="1440" w:left="1797" w:right="17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after="0" w:before="0"/>
    </w:pPr>
    <w:rPr>
      <w:rFonts w:ascii="宋体" w:hAnsi="宋体" w:eastAsia="宋体"/>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4" Type="http://schemas.openxmlformats.org/officeDocument/2006/relationships/image" Target="media/rId24.png"/><Relationship Id="rId140" Type="http://schemas.openxmlformats.org/officeDocument/2006/relationships/image" Target="media/rId140.png"/><Relationship Id="rId32" Type="http://schemas.openxmlformats.org/officeDocument/2006/relationships/image" Target="media/rId32.png"/><Relationship Id="rId54" Type="http://schemas.openxmlformats.org/officeDocument/2006/relationships/image" Target="media/rId54.png"/><Relationship Id="rId18" Type="http://schemas.openxmlformats.org/officeDocument/2006/relationships/image" Target="media/rId18.png"/><Relationship Id="rId43" Type="http://schemas.openxmlformats.org/officeDocument/2006/relationships/image" Target="media/rId43.png"/><Relationship Id="rId130" Type="http://schemas.openxmlformats.org/officeDocument/2006/relationships/image" Target="media/rId130.png"/><Relationship Id="rId40" Type="http://schemas.openxmlformats.org/officeDocument/2006/relationships/image" Target="media/rId40.png"/><Relationship Id="rId28" Type="http://schemas.openxmlformats.org/officeDocument/2006/relationships/image" Target="media/rId28.png"/><Relationship Id="rId133" Type="http://schemas.openxmlformats.org/officeDocument/2006/relationships/image" Target="media/rId133.png"/><Relationship Id="rId127" Type="http://schemas.openxmlformats.org/officeDocument/2006/relationships/image" Target="media/rId127.png"/><Relationship Id="rId14" Type="http://schemas.openxmlformats.org/officeDocument/2006/relationships/image" Target="media/rId14.png"/><Relationship Id="rId9" Type="http://schemas.openxmlformats.org/officeDocument/2006/relationships/image" Target="media/rId9.png"/><Relationship Id="rId21" Type="http://schemas.openxmlformats.org/officeDocument/2006/relationships/image" Target="media/rId21.png"/><Relationship Id="rId99" Type="http://schemas.openxmlformats.org/officeDocument/2006/relationships/image" Target="media/rId99.png"/><Relationship Id="rId35" Type="http://schemas.openxmlformats.org/officeDocument/2006/relationships/image" Target="media/rId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2026-04-25T10:25:41Z</dcterms:created>
  <dcterms:modified xsi:type="dcterms:W3CDTF">2026-04-25T10:25:41Z</dcterms:modified>
</cp:coreProperties>
</file>

<file path=docProps/custom.xml><?xml version="1.0" encoding="utf-8"?>
<Properties xmlns="http://schemas.openxmlformats.org/officeDocument/2006/custom-properties" xmlns:vt="http://schemas.openxmlformats.org/officeDocument/2006/docPropsVTypes"/>
</file>