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中国省级政府数据开放平台数据利用绩效评估与提升路径研究</w:t>
      </w:r>
    </w:p>
    <w:p>
      <w:pPr>
        <w:pStyle w:val="Heading1"/>
      </w:pPr>
      <w:r>
        <w:t>第一章 绪论</w:t>
      </w:r>
    </w:p>
    <w:p>
      <w:pPr>
        <w:pStyle w:val="Heading1"/>
      </w:pPr>
      <w:r>
        <w:t>第一章 绪论</w:t>
      </w:r>
    </w:p>
    <w:p>
      <w:pPr>
        <w:pStyle w:val="Heading2"/>
      </w:pPr>
      <w:r>
        <w:t>1.1 研究背景与问题提出</w:t>
      </w:r>
    </w:p>
    <w:p>
      <w:pPr>
        <w:pStyle w:val="Heading3"/>
      </w:pPr>
      <w:r>
        <w:t>1.1.1 全球政府数据开放的发展态势</w:t>
      </w:r>
    </w:p>
    <w:p>
      <w:r>
        <w:rPr>
          <w:rFonts w:ascii="宋体" w:hAnsi="宋体" w:eastAsia="宋体"/>
          <w:b w:val="0"/>
          <w:sz w:val="24"/>
        </w:rPr>
        <w:t>政府数据开放（Open Government Data, 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r>
        <w:rPr>
          <w:rFonts w:ascii="宋体" w:hAnsi="宋体" w:eastAsia="宋体"/>
          <w:b w:val="0"/>
          <w:sz w:val="24"/>
        </w:rP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r>
        <w:rPr>
          <w:rFonts w:ascii="宋体" w:hAnsi="宋体" w:eastAsia="宋体"/>
          <w:b w:val="0"/>
          <w:sz w:val="24"/>
        </w:rP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pStyle w:val="Heading3"/>
      </w:pPr>
      <w:r>
        <w:t>1.1.2 我国政府数据开放的平台建设成就与利用困境</w:t>
      </w:r>
    </w:p>
    <w:p>
      <w:r>
        <w:rPr>
          <w:rFonts w:ascii="宋体" w:hAnsi="宋体" w:eastAsia="宋体"/>
          <w:b w:val="0"/>
          <w:sz w:val="24"/>
        </w:rP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r>
        <w:rPr>
          <w:rFonts w:ascii="宋体" w:hAnsi="宋体" w:eastAsia="宋体"/>
          <w:b w:val="0"/>
          <w:sz w:val="24"/>
        </w:rPr>
        <w:t>然而，平台建设的"量"的增长并未带来数据利用"质"的飞跃。复旦大学数字与移动治理实验室发布的《中国开放数林指数》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r>
        <w:rPr>
          <w:rFonts w:ascii="宋体" w:hAnsi="宋体" w:eastAsia="宋体"/>
          <w:b w:val="0"/>
          <w:sz w:val="24"/>
        </w:rPr>
        <w:t>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r>
        <w:rPr>
          <w:rFonts w:ascii="宋体" w:hAnsi="宋体" w:eastAsia="宋体"/>
          <w:b w:val="0"/>
          <w:sz w:val="24"/>
        </w:rP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pStyle w:val="Heading3"/>
      </w:pPr>
      <w:r>
        <w:t>1.1.3 "数据口径幻觉"：数量繁荣背后的质量隐忧</w:t>
      </w:r>
    </w:p>
    <w:p>
      <w:r>
        <w:rPr>
          <w:rFonts w:ascii="宋体" w:hAnsi="宋体" w:eastAsia="宋体"/>
          <w:b w:val="0"/>
          <w:sz w:val="24"/>
        </w:rPr>
        <w:t>在"数量导向"评估范式的驱动下，我国政府数据开放平台出现了一种本研究称之为"数据口径幻觉"的现象——即平台对外宣传的数据集数量（目录数量）与实际可供有效利用的数据集数量之间存在巨大差异。</w:t>
      </w:r>
    </w:p>
    <w:p>
      <w:r>
        <w:rPr>
          <w:rFonts w:ascii="宋体" w:hAnsi="宋体" w:eastAsia="宋体"/>
          <w:b w:val="0"/>
          <w:sz w:val="24"/>
        </w:rPr>
        <w:t>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r>
        <w:rPr>
          <w:rFonts w:ascii="宋体" w:hAnsi="宋体" w:eastAsia="宋体"/>
          <w:b w:val="0"/>
          <w:sz w:val="24"/>
        </w:rPr>
        <w:t>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r>
        <w:rPr>
          <w:rFonts w:ascii="宋体" w:hAnsi="宋体" w:eastAsia="宋体"/>
          <w:b w:val="0"/>
          <w:sz w:val="24"/>
        </w:rP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所指出的，"当一个指标成为目标时，它就不再是一个好的指标"——当"目录数量"成为评估目标时，它就失去了衡量真实供给能力的效用。</w:t>
      </w:r>
    </w:p>
    <w:p>
      <w:r>
        <w:rPr>
          <w:rFonts w:ascii="宋体" w:hAnsi="宋体" w:eastAsia="宋体"/>
          <w:b w:val="0"/>
          <w:sz w:val="24"/>
        </w:rP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r>
        <w:rPr>
          <w:rFonts w:ascii="宋体" w:hAnsi="宋体" w:eastAsia="宋体"/>
          <w:b w:val="0"/>
          <w:sz w:val="24"/>
        </w:rP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pStyle w:val="Heading3"/>
      </w:pPr>
      <w:r>
        <w:t>1.1.4 研究问题的提出</w:t>
      </w:r>
    </w:p>
    <w:p>
      <w:r>
        <w:rPr>
          <w:rFonts w:ascii="宋体" w:hAnsi="宋体" w:eastAsia="宋体"/>
          <w:b w:val="0"/>
          <w:sz w:val="24"/>
        </w:rPr>
        <w:t>基于上述研究背景，本研究聚焦以下核心研究问题：</w:t>
      </w:r>
    </w:p>
    <w:p>
      <w:r>
        <w:rPr>
          <w:rFonts w:ascii="宋体" w:hAnsi="宋体" w:eastAsia="宋体"/>
          <w:b w:val="0"/>
          <w:sz w:val="24"/>
        </w:rPr>
      </w:r>
      <w:r>
        <w:rPr>
          <w:rFonts w:ascii="宋体" w:hAnsi="宋体" w:eastAsia="宋体"/>
          <w:b/>
          <w:sz w:val="24"/>
        </w:rPr>
        <w:t>问题一：如何科学评估我国省级政府数据开放平台的数据利用绩效？</w:t>
      </w:r>
      <w:r>
        <w:rPr>
          <w:rFonts w:ascii="宋体" w:hAnsi="宋体" w:eastAsia="宋体"/>
          <w:b w:val="0"/>
          <w:sz w:val="24"/>
        </w:rPr>
      </w:r>
    </w:p>
    <w:p>
      <w:r>
        <w:rPr>
          <w:rFonts w:ascii="宋体" w:hAnsi="宋体" w:eastAsia="宋体"/>
          <w:b w:val="0"/>
          <w:sz w:val="24"/>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r>
        <w:rPr>
          <w:rFonts w:ascii="宋体" w:hAnsi="宋体" w:eastAsia="宋体"/>
          <w:b w:val="0"/>
          <w:sz w:val="24"/>
        </w:rPr>
      </w:r>
      <w:r>
        <w:rPr>
          <w:rFonts w:ascii="宋体" w:hAnsi="宋体" w:eastAsia="宋体"/>
          <w:b/>
          <w:sz w:val="24"/>
        </w:rPr>
        <w:t>问题二：不同省级平台的数据利用绩效差异是如何形成的？</w:t>
      </w:r>
      <w:r>
        <w:rPr>
          <w:rFonts w:ascii="宋体" w:hAnsi="宋体" w:eastAsia="宋体"/>
          <w:b w:val="0"/>
          <w:sz w:val="24"/>
        </w:rPr>
      </w:r>
    </w:p>
    <w:p>
      <w:r>
        <w:rPr>
          <w:rFonts w:ascii="宋体" w:hAnsi="宋体" w:eastAsia="宋体"/>
          <w:b w:val="0"/>
          <w:sz w:val="24"/>
        </w:rPr>
        <w:t>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r>
        <w:rPr>
          <w:rFonts w:ascii="宋体" w:hAnsi="宋体" w:eastAsia="宋体"/>
          <w:b w:val="0"/>
          <w:sz w:val="24"/>
        </w:rPr>
      </w:r>
      <w:r>
        <w:rPr>
          <w:rFonts w:ascii="宋体" w:hAnsi="宋体" w:eastAsia="宋体"/>
          <w:b/>
          <w:sz w:val="24"/>
        </w:rPr>
        <w:t>问题三：如何针对不同类型平台提出差异化的绩效提升路径？</w:t>
      </w:r>
      <w:r>
        <w:rPr>
          <w:rFonts w:ascii="宋体" w:hAnsi="宋体" w:eastAsia="宋体"/>
          <w:b w:val="0"/>
          <w:sz w:val="24"/>
        </w:rPr>
      </w:r>
    </w:p>
    <w:p>
      <w:r>
        <w:rPr>
          <w:rFonts w:ascii="宋体" w:hAnsi="宋体" w:eastAsia="宋体"/>
          <w:b w:val="0"/>
          <w:sz w:val="24"/>
        </w:rPr>
        <w:t>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r>
        <w:rPr>
          <w:rFonts w:ascii="宋体" w:hAnsi="宋体" w:eastAsia="宋体"/>
          <w:b w:val="0"/>
          <w:sz w:val="24"/>
        </w:rPr>
        <w:t>上述三个问题构成了本研究的逻辑主线：</w:t>
      </w:r>
      <w:r>
        <w:rPr>
          <w:rFonts w:ascii="宋体" w:hAnsi="宋体" w:eastAsia="宋体"/>
          <w:b/>
          <w:sz w:val="24"/>
        </w:rPr>
        <w:t>"绩效如何评估→差异为何形成→如何分类提升"</w:t>
      </w:r>
      <w:r>
        <w:rPr>
          <w:rFonts w:ascii="宋体" w:hAnsi="宋体" w:eastAsia="宋体"/>
          <w:b w:val="0"/>
          <w:sz w:val="24"/>
        </w:rPr>
        <w:t>。这一逻辑链条从描述性评估出发，经由解释性分析，最终落脚于规范性建议，形成了"评估-归因-对策"的完整研究闭环。</w:t>
      </w:r>
    </w:p>
    <w:p>
      <w:pPr>
        <w:pStyle w:val="Heading2"/>
      </w:pPr>
      <w:r>
        <w:t>1.2 研究意义</w:t>
      </w:r>
    </w:p>
    <w:p>
      <w:pPr>
        <w:pStyle w:val="Heading3"/>
      </w:pPr>
      <w:r>
        <w:t>1.2.1 理论意义</w:t>
      </w:r>
    </w:p>
    <w:p>
      <w:r>
        <w:rPr>
          <w:rFonts w:ascii="宋体" w:hAnsi="宋体" w:eastAsia="宋体"/>
          <w:b w:val="0"/>
          <w:sz w:val="24"/>
        </w:rPr>
      </w:r>
      <w:r>
        <w:rPr>
          <w:rFonts w:ascii="宋体" w:hAnsi="宋体" w:eastAsia="宋体"/>
          <w:b/>
          <w:sz w:val="24"/>
        </w:rPr>
        <w:t>第一，推动政府数据开放评估范式从"供给导向"向"效果导向"转型。</w:t>
      </w:r>
      <w:r>
        <w:rPr>
          <w:rFonts w:ascii="宋体" w:hAnsi="宋体" w:eastAsia="宋体"/>
          <w:b w:val="0"/>
          <w:sz w:val="24"/>
        </w:rPr>
      </w:r>
    </w:p>
    <w:p>
      <w:r>
        <w:rPr>
          <w:rFonts w:ascii="宋体" w:hAnsi="宋体" w:eastAsia="宋体"/>
          <w:b w:val="0"/>
          <w:sz w:val="24"/>
        </w:rP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r>
        <w:rPr>
          <w:rFonts w:ascii="宋体" w:hAnsi="宋体" w:eastAsia="宋体"/>
          <w:b w:val="0"/>
          <w:sz w:val="24"/>
        </w:rPr>
      </w:r>
      <w:r>
        <w:rPr>
          <w:rFonts w:ascii="宋体" w:hAnsi="宋体" w:eastAsia="宋体"/>
          <w:b/>
          <w:sz w:val="24"/>
        </w:rPr>
        <w:t>第二，揭示政府数据利用绩效形成的多重并发因果机制。</w:t>
      </w:r>
      <w:r>
        <w:rPr>
          <w:rFonts w:ascii="宋体" w:hAnsi="宋体" w:eastAsia="宋体"/>
          <w:b w:val="0"/>
          <w:sz w:val="24"/>
        </w:rPr>
      </w:r>
    </w:p>
    <w:p>
      <w:r>
        <w:rPr>
          <w:rFonts w:ascii="宋体" w:hAnsi="宋体" w:eastAsia="宋体"/>
          <w:b w:val="0"/>
          <w:sz w:val="24"/>
        </w:rP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r>
        <w:rPr>
          <w:rFonts w:ascii="宋体" w:hAnsi="宋体" w:eastAsia="宋体"/>
          <w:b w:val="0"/>
          <w:sz w:val="24"/>
        </w:rPr>
      </w:r>
      <w:r>
        <w:rPr>
          <w:rFonts w:ascii="宋体" w:hAnsi="宋体" w:eastAsia="宋体"/>
          <w:b/>
          <w:sz w:val="24"/>
        </w:rPr>
        <w:t>第三，整合数据要素价值化理论与公共部门绩效评估理论，为4E框架在数据开放领域的应用提供理论论证。</w:t>
      </w:r>
      <w:r>
        <w:rPr>
          <w:rFonts w:ascii="宋体" w:hAnsi="宋体" w:eastAsia="宋体"/>
          <w:b w:val="0"/>
          <w:sz w:val="24"/>
        </w:rPr>
      </w:r>
    </w:p>
    <w:p>
      <w:r>
        <w:rPr>
          <w:rFonts w:ascii="宋体" w:hAnsi="宋体" w:eastAsia="宋体"/>
          <w:b w:val="0"/>
          <w:sz w:val="24"/>
        </w:rP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r>
        <w:rPr>
          <w:rFonts w:ascii="宋体" w:hAnsi="宋体" w:eastAsia="宋体"/>
          <w:b w:val="0"/>
          <w:sz w:val="24"/>
        </w:rPr>
      </w:r>
      <w:r>
        <w:rPr>
          <w:rFonts w:ascii="宋体" w:hAnsi="宋体" w:eastAsia="宋体"/>
          <w:b/>
          <w:sz w:val="24"/>
        </w:rPr>
        <w:t>第四，提出并操作化"数据口径幻觉"概念，丰富数据开放评估的理论话语。</w:t>
      </w:r>
      <w:r>
        <w:rPr>
          <w:rFonts w:ascii="宋体" w:hAnsi="宋体" w:eastAsia="宋体"/>
          <w:b w:val="0"/>
          <w:sz w:val="24"/>
        </w:rPr>
      </w:r>
    </w:p>
    <w:p>
      <w:r>
        <w:rPr>
          <w:rFonts w:ascii="宋体" w:hAnsi="宋体" w:eastAsia="宋体"/>
          <w:b w:val="0"/>
          <w:sz w:val="24"/>
        </w:rP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pStyle w:val="Heading3"/>
      </w:pPr>
      <w:r>
        <w:t>1.2.2 实践意义</w:t>
      </w:r>
    </w:p>
    <w:p>
      <w:r>
        <w:rPr>
          <w:rFonts w:ascii="宋体" w:hAnsi="宋体" w:eastAsia="宋体"/>
          <w:b w:val="0"/>
          <w:sz w:val="24"/>
        </w:rPr>
      </w:r>
      <w:r>
        <w:rPr>
          <w:rFonts w:ascii="宋体" w:hAnsi="宋体" w:eastAsia="宋体"/>
          <w:b/>
          <w:sz w:val="24"/>
        </w:rPr>
        <w:t>第一，为政府数据开放平台的绩效评估提供科学工具。</w:t>
      </w:r>
      <w:r>
        <w:rPr>
          <w:rFonts w:ascii="宋体" w:hAnsi="宋体" w:eastAsia="宋体"/>
          <w:b w:val="0"/>
          <w:sz w:val="24"/>
        </w:rPr>
      </w:r>
    </w:p>
    <w:p>
      <w:r>
        <w:rPr>
          <w:rFonts w:ascii="宋体" w:hAnsi="宋体" w:eastAsia="宋体"/>
          <w:b w:val="0"/>
          <w:sz w:val="24"/>
        </w:rP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r>
        <w:rPr>
          <w:rFonts w:ascii="宋体" w:hAnsi="宋体" w:eastAsia="宋体"/>
          <w:b w:val="0"/>
          <w:sz w:val="24"/>
        </w:rPr>
      </w:r>
      <w:r>
        <w:rPr>
          <w:rFonts w:ascii="宋体" w:hAnsi="宋体" w:eastAsia="宋体"/>
          <w:b/>
          <w:sz w:val="24"/>
        </w:rPr>
        <w:t>第二，为分类施策提供实证依据。</w:t>
      </w:r>
      <w:r>
        <w:rPr>
          <w:rFonts w:ascii="宋体" w:hAnsi="宋体" w:eastAsia="宋体"/>
          <w:b w:val="0"/>
          <w:sz w:val="24"/>
        </w:rPr>
      </w:r>
    </w:p>
    <w:p>
      <w:r>
        <w:rPr>
          <w:rFonts w:ascii="宋体" w:hAnsi="宋体" w:eastAsia="宋体"/>
          <w:b w:val="0"/>
          <w:sz w:val="24"/>
        </w:rP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r>
        <w:rPr>
          <w:rFonts w:ascii="宋体" w:hAnsi="宋体" w:eastAsia="宋体"/>
          <w:b w:val="0"/>
          <w:sz w:val="24"/>
        </w:rPr>
      </w:r>
      <w:r>
        <w:rPr>
          <w:rFonts w:ascii="宋体" w:hAnsi="宋体" w:eastAsia="宋体"/>
          <w:b/>
          <w:sz w:val="24"/>
        </w:rPr>
        <w:t>第三，为推动信息平权提供路径指引。</w:t>
      </w:r>
      <w:r>
        <w:rPr>
          <w:rFonts w:ascii="宋体" w:hAnsi="宋体" w:eastAsia="宋体"/>
          <w:b w:val="0"/>
          <w:sz w:val="24"/>
        </w:rPr>
      </w:r>
    </w:p>
    <w:p>
      <w:r>
        <w:rPr>
          <w:rFonts w:ascii="宋体" w:hAnsi="宋体" w:eastAsia="宋体"/>
          <w:b w:val="0"/>
          <w:sz w:val="24"/>
        </w:rP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r>
        <w:rPr>
          <w:rFonts w:ascii="宋体" w:hAnsi="宋体" w:eastAsia="宋体"/>
          <w:b w:val="0"/>
          <w:sz w:val="24"/>
        </w:rPr>
      </w:r>
      <w:r>
        <w:rPr>
          <w:rFonts w:ascii="宋体" w:hAnsi="宋体" w:eastAsia="宋体"/>
          <w:b/>
          <w:sz w:val="24"/>
        </w:rPr>
        <w:t>第四，为数据治理制度完善提供参考。</w:t>
      </w:r>
      <w:r>
        <w:rPr>
          <w:rFonts w:ascii="宋体" w:hAnsi="宋体" w:eastAsia="宋体"/>
          <w:b w:val="0"/>
          <w:sz w:val="24"/>
        </w:rPr>
      </w:r>
    </w:p>
    <w:p>
      <w:r>
        <w:rPr>
          <w:rFonts w:ascii="宋体" w:hAnsi="宋体" w:eastAsia="宋体"/>
          <w:b w:val="0"/>
          <w:sz w:val="24"/>
        </w:rP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pStyle w:val="Heading2"/>
      </w:pPr>
      <w:r>
        <w:t>1.3 研究内容与方法</w:t>
      </w:r>
    </w:p>
    <w:p>
      <w:pPr>
        <w:pStyle w:val="Heading3"/>
      </w:pPr>
      <w:r>
        <w:t>1.3.1 研究内容</w:t>
      </w:r>
    </w:p>
    <w:p>
      <w:r>
        <w:rPr>
          <w:rFonts w:ascii="宋体" w:hAnsi="宋体" w:eastAsia="宋体"/>
          <w:b w:val="0"/>
          <w:sz w:val="24"/>
        </w:rPr>
        <w:t>本研究围绕"中国省级政府数据开放平台数据利用绩效评估与提升路径"这一核心主题，从"评估→归因→对策"三个层面展开研究，形成递进式的研究内容体系。</w:t>
      </w:r>
    </w:p>
    <w:p>
      <w:r>
        <w:rPr>
          <w:rFonts w:ascii="宋体" w:hAnsi="宋体" w:eastAsia="宋体"/>
          <w:b w:val="0"/>
          <w:sz w:val="24"/>
        </w:rPr>
      </w:r>
      <w:r>
        <w:rPr>
          <w:rFonts w:ascii="宋体" w:hAnsi="宋体" w:eastAsia="宋体"/>
          <w:b/>
          <w:sz w:val="24"/>
        </w:rPr>
        <w:t>第一层：绩效评估——数据利用绩效"是什么"。</w:t>
      </w:r>
      <w:r>
        <w:rPr>
          <w:rFonts w:ascii="宋体" w:hAnsi="宋体" w:eastAsia="宋体"/>
          <w:b w:val="0"/>
          <w:sz w:val="24"/>
        </w:rPr>
      </w:r>
    </w:p>
    <w:p>
      <w:r>
        <w:rPr>
          <w:rFonts w:ascii="宋体" w:hAnsi="宋体" w:eastAsia="宋体"/>
          <w:b w:val="0"/>
          <w:sz w:val="24"/>
        </w:rPr>
        <w:t>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r>
        <w:rPr>
          <w:rFonts w:ascii="宋体" w:hAnsi="宋体" w:eastAsia="宋体"/>
          <w:b w:val="0"/>
          <w:sz w:val="24"/>
        </w:rPr>
      </w:r>
      <w:r>
        <w:rPr>
          <w:rFonts w:ascii="宋体" w:hAnsi="宋体" w:eastAsia="宋体"/>
          <w:b/>
          <w:sz w:val="24"/>
        </w:rPr>
        <w:t>第二层：影响因素分析——绩效差异"为什么"。</w:t>
      </w:r>
      <w:r>
        <w:rPr>
          <w:rFonts w:ascii="宋体" w:hAnsi="宋体" w:eastAsia="宋体"/>
          <w:b w:val="0"/>
          <w:sz w:val="24"/>
        </w:rPr>
      </w:r>
    </w:p>
    <w:p>
      <w:r>
        <w:rPr>
          <w:rFonts w:ascii="宋体" w:hAnsi="宋体" w:eastAsia="宋体"/>
          <w:b w:val="0"/>
          <w:sz w:val="24"/>
        </w:rP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r>
        <w:rPr>
          <w:rFonts w:ascii="宋体" w:hAnsi="宋体" w:eastAsia="宋体"/>
          <w:b w:val="0"/>
          <w:sz w:val="24"/>
        </w:rPr>
      </w:r>
      <w:r>
        <w:rPr>
          <w:rFonts w:ascii="宋体" w:hAnsi="宋体" w:eastAsia="宋体"/>
          <w:b/>
          <w:sz w:val="24"/>
        </w:rPr>
        <w:t>第三层：对策建议——绩效"如何提升"。</w:t>
      </w:r>
      <w:r>
        <w:rPr>
          <w:rFonts w:ascii="宋体" w:hAnsi="宋体" w:eastAsia="宋体"/>
          <w:b w:val="0"/>
          <w:sz w:val="24"/>
        </w:rPr>
      </w:r>
    </w:p>
    <w:p>
      <w:r>
        <w:rPr>
          <w:rFonts w:ascii="宋体" w:hAnsi="宋体" w:eastAsia="宋体"/>
          <w:b w:val="0"/>
          <w:sz w:val="24"/>
        </w:rP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pStyle w:val="Heading3"/>
      </w:pPr>
      <w:r>
        <w:t>1.3.2 研究方法</w:t>
      </w:r>
    </w:p>
    <w:p>
      <w:r>
        <w:rPr>
          <w:rFonts w:ascii="宋体" w:hAnsi="宋体" w:eastAsia="宋体"/>
          <w:b w:val="0"/>
          <w:sz w:val="24"/>
        </w:rPr>
        <w:t>本研究采用多元方法集成的研究设计，综合运用文献研究、数据采集、定量分析等多种方法，形成多方法三角验证的研究格局。</w:t>
      </w:r>
    </w:p>
    <w:p>
      <w:r>
        <w:rPr>
          <w:rFonts w:ascii="宋体" w:hAnsi="宋体" w:eastAsia="宋体"/>
          <w:b w:val="0"/>
          <w:sz w:val="24"/>
        </w:rPr>
      </w:r>
      <w:r>
        <w:rPr>
          <w:rFonts w:ascii="宋体" w:hAnsi="宋体" w:eastAsia="宋体"/>
          <w:b/>
          <w:sz w:val="24"/>
        </w:rPr>
        <w:t>（1）文献研究法</w:t>
      </w:r>
      <w:r>
        <w:rPr>
          <w:rFonts w:ascii="宋体" w:hAnsi="宋体" w:eastAsia="宋体"/>
          <w:b w:val="0"/>
          <w:sz w:val="24"/>
        </w:rPr>
      </w:r>
    </w:p>
    <w:p>
      <w:r>
        <w:rPr>
          <w:rFonts w:ascii="宋体" w:hAnsi="宋体" w:eastAsia="宋体"/>
          <w:b w:val="0"/>
          <w:sz w:val="24"/>
        </w:rP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r>
        <w:rPr>
          <w:rFonts w:ascii="宋体" w:hAnsi="宋体" w:eastAsia="宋体"/>
          <w:b w:val="0"/>
          <w:sz w:val="24"/>
        </w:rPr>
      </w:r>
      <w:r>
        <w:rPr>
          <w:rFonts w:ascii="宋体" w:hAnsi="宋体" w:eastAsia="宋体"/>
          <w:b/>
          <w:sz w:val="24"/>
        </w:rPr>
        <w:t>（2）网络数据采集法</w:t>
      </w:r>
      <w:r>
        <w:rPr>
          <w:rFonts w:ascii="宋体" w:hAnsi="宋体" w:eastAsia="宋体"/>
          <w:b w:val="0"/>
          <w:sz w:val="24"/>
        </w:rPr>
      </w:r>
    </w:p>
    <w:p>
      <w:r>
        <w:rPr>
          <w:rFonts w:ascii="宋体" w:hAnsi="宋体" w:eastAsia="宋体"/>
          <w:b w:val="0"/>
          <w:sz w:val="24"/>
        </w:rPr>
        <w:t>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r>
        <w:rPr>
          <w:rFonts w:ascii="宋体" w:hAnsi="宋体" w:eastAsia="宋体"/>
          <w:b w:val="0"/>
          <w:sz w:val="24"/>
        </w:rPr>
      </w:r>
      <w:r>
        <w:rPr>
          <w:rFonts w:ascii="宋体" w:hAnsi="宋体" w:eastAsia="宋体"/>
          <w:b/>
          <w:sz w:val="24"/>
        </w:rPr>
        <w:t>（3）熵权TOPSIS法</w:t>
      </w:r>
      <w:r>
        <w:rPr>
          <w:rFonts w:ascii="宋体" w:hAnsi="宋体" w:eastAsia="宋体"/>
          <w:b w:val="0"/>
          <w:sz w:val="24"/>
        </w:rPr>
      </w:r>
    </w:p>
    <w:p>
      <w:r>
        <w:rPr>
          <w:rFonts w:ascii="宋体" w:hAnsi="宋体" w:eastAsia="宋体"/>
          <w:b w:val="0"/>
          <w:sz w:val="24"/>
        </w:rP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r>
        <w:rPr>
          <w:rFonts w:ascii="宋体" w:hAnsi="宋体" w:eastAsia="宋体"/>
          <w:b w:val="0"/>
          <w:sz w:val="24"/>
        </w:rPr>
      </w:r>
      <w:r>
        <w:rPr>
          <w:rFonts w:ascii="宋体" w:hAnsi="宋体" w:eastAsia="宋体"/>
          <w:b/>
          <w:sz w:val="24"/>
        </w:rPr>
        <w:t>（4）DEA-BCC法</w:t>
      </w:r>
      <w:r>
        <w:rPr>
          <w:rFonts w:ascii="宋体" w:hAnsi="宋体" w:eastAsia="宋体"/>
          <w:b w:val="0"/>
          <w:sz w:val="24"/>
        </w:rPr>
      </w:r>
    </w:p>
    <w:p>
      <w:r>
        <w:rPr>
          <w:rFonts w:ascii="宋体" w:hAnsi="宋体" w:eastAsia="宋体"/>
          <w:b w:val="0"/>
          <w:sz w:val="24"/>
        </w:rP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r>
        <w:rPr>
          <w:rFonts w:ascii="宋体" w:hAnsi="宋体" w:eastAsia="宋体"/>
          <w:b w:val="0"/>
          <w:sz w:val="24"/>
        </w:rPr>
      </w:r>
      <w:r>
        <w:rPr>
          <w:rFonts w:ascii="宋体" w:hAnsi="宋体" w:eastAsia="宋体"/>
          <w:b/>
          <w:sz w:val="24"/>
        </w:rPr>
        <w:t>（5）fsQCA法</w:t>
      </w:r>
      <w:r>
        <w:rPr>
          <w:rFonts w:ascii="宋体" w:hAnsi="宋体" w:eastAsia="宋体"/>
          <w:b w:val="0"/>
          <w:sz w:val="24"/>
        </w:rPr>
      </w:r>
    </w:p>
    <w:p>
      <w:r>
        <w:rPr>
          <w:rFonts w:ascii="宋体" w:hAnsi="宋体" w:eastAsia="宋体"/>
          <w:b w:val="0"/>
          <w:sz w:val="24"/>
        </w:rP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r>
        <w:rPr>
          <w:rFonts w:ascii="宋体" w:hAnsi="宋体" w:eastAsia="宋体"/>
          <w:b w:val="0"/>
          <w:sz w:val="24"/>
        </w:rPr>
      </w:r>
      <w:r>
        <w:rPr>
          <w:rFonts w:ascii="宋体" w:hAnsi="宋体" w:eastAsia="宋体"/>
          <w:b/>
          <w:sz w:val="24"/>
        </w:rPr>
        <w:t>（6）DEMATEL法</w:t>
      </w:r>
      <w:r>
        <w:rPr>
          <w:rFonts w:ascii="宋体" w:hAnsi="宋体" w:eastAsia="宋体"/>
          <w:b w:val="0"/>
          <w:sz w:val="24"/>
        </w:rPr>
      </w:r>
    </w:p>
    <w:p>
      <w:r>
        <w:rPr>
          <w:rFonts w:ascii="宋体" w:hAnsi="宋体" w:eastAsia="宋体"/>
          <w:b w:val="0"/>
          <w:sz w:val="24"/>
        </w:rPr>
        <w:t>用于分析影响因素之间的关联关系和因果关系。DEMATEL（Decision-Making Trial and Evaluation Laboratory）通过构建直接影响矩阵、计算综合影响矩阵、求解中心度和原因度，识别因素间的因果结构和传导路径。</w:t>
      </w:r>
    </w:p>
    <w:p>
      <w:pPr>
        <w:pStyle w:val="Heading3"/>
      </w:pPr>
      <w:r>
        <w:t>1.3.3 技术路线</w:t>
      </w:r>
    </w:p>
    <w:p>
      <w:r>
        <w:rPr>
          <w:rFonts w:ascii="宋体" w:hAnsi="宋体" w:eastAsia="宋体"/>
          <w:b w:val="0"/>
          <w:sz w:val="24"/>
        </w:rPr>
        <w:t>本研究的技术路线分为五个阶段：</w:t>
      </w:r>
    </w:p>
    <w:p>
      <w:r>
        <w:rPr>
          <w:rFonts w:ascii="宋体" w:hAnsi="宋体" w:eastAsia="宋体"/>
          <w:b w:val="0"/>
          <w:sz w:val="24"/>
        </w:rPr>
      </w:r>
      <w:r>
        <w:rPr>
          <w:rFonts w:ascii="宋体" w:hAnsi="宋体" w:eastAsia="宋体"/>
          <w:b/>
          <w:sz w:val="24"/>
        </w:rPr>
        <w:t>第一阶段：问题界定与理论构建。</w:t>
      </w:r>
      <w:r>
        <w:rPr>
          <w:rFonts w:ascii="宋体" w:hAnsi="宋体" w:eastAsia="宋体"/>
          <w:b w:val="0"/>
          <w:sz w:val="24"/>
        </w:rPr>
        <w:t xml:space="preserve"> 通过文献研究和现状调研，明确研究问题，构建4E评估框架和TOE影响因素框架，提出研究假设。</w:t>
      </w:r>
    </w:p>
    <w:p>
      <w:r>
        <w:rPr>
          <w:rFonts w:ascii="宋体" w:hAnsi="宋体" w:eastAsia="宋体"/>
          <w:b w:val="0"/>
          <w:sz w:val="24"/>
        </w:rPr>
      </w:r>
      <w:r>
        <w:rPr>
          <w:rFonts w:ascii="宋体" w:hAnsi="宋体" w:eastAsia="宋体"/>
          <w:b/>
          <w:sz w:val="24"/>
        </w:rPr>
        <w:t>第二阶段：指标体系设计与数据采集。</w:t>
      </w:r>
      <w:r>
        <w:rPr>
          <w:rFonts w:ascii="宋体" w:hAnsi="宋体" w:eastAsia="宋体"/>
          <w:b w:val="0"/>
          <w:sz w:val="24"/>
        </w:rPr>
        <w:t xml:space="preserve"> 基于4E框架设计评估指标体系，开发三层架构数据采集系统，对28个省级平台进行系统性数据采集，完成数据清洗和预处理。</w:t>
      </w:r>
    </w:p>
    <w:p>
      <w:r>
        <w:rPr>
          <w:rFonts w:ascii="宋体" w:hAnsi="宋体" w:eastAsia="宋体"/>
          <w:b w:val="0"/>
          <w:sz w:val="24"/>
        </w:rPr>
      </w:r>
      <w:r>
        <w:rPr>
          <w:rFonts w:ascii="宋体" w:hAnsi="宋体" w:eastAsia="宋体"/>
          <w:b/>
          <w:sz w:val="24"/>
        </w:rPr>
        <w:t>第三阶段：绩效评估与效率分析。</w:t>
      </w:r>
      <w:r>
        <w:rPr>
          <w:rFonts w:ascii="宋体" w:hAnsi="宋体" w:eastAsia="宋体"/>
          <w:b w:val="0"/>
          <w:sz w:val="24"/>
        </w:rPr>
        <w:t xml:space="preserve"> 运用熵权TOPSIS进行绩效评估和排名，运用DEA-BCC进行效率分析，进行区域差异比较和外部效度检验。</w:t>
      </w:r>
    </w:p>
    <w:p>
      <w:r>
        <w:rPr>
          <w:rFonts w:ascii="宋体" w:hAnsi="宋体" w:eastAsia="宋体"/>
          <w:b w:val="0"/>
          <w:sz w:val="24"/>
        </w:rPr>
      </w:r>
      <w:r>
        <w:rPr>
          <w:rFonts w:ascii="宋体" w:hAnsi="宋体" w:eastAsia="宋体"/>
          <w:b/>
          <w:sz w:val="24"/>
        </w:rPr>
        <w:t>第四阶段：影响因素分析与组态识别。</w:t>
      </w:r>
      <w:r>
        <w:rPr>
          <w:rFonts w:ascii="宋体" w:hAnsi="宋体" w:eastAsia="宋体"/>
          <w:b w:val="0"/>
          <w:sz w:val="24"/>
        </w:rPr>
        <w:t xml:space="preserve"> 运用DEMATEL分析因素关联，运用fsQCA识别高绩效路径，进行多方法三角验证。</w:t>
      </w:r>
    </w:p>
    <w:p>
      <w:r>
        <w:rPr>
          <w:rFonts w:ascii="宋体" w:hAnsi="宋体" w:eastAsia="宋体"/>
          <w:b w:val="0"/>
          <w:sz w:val="24"/>
        </w:rPr>
      </w:r>
      <w:r>
        <w:rPr>
          <w:rFonts w:ascii="宋体" w:hAnsi="宋体" w:eastAsia="宋体"/>
          <w:b/>
          <w:sz w:val="24"/>
        </w:rPr>
        <w:t>第五阶段：问题诊断与对策提出。</w:t>
      </w:r>
      <w:r>
        <w:rPr>
          <w:rFonts w:ascii="宋体" w:hAnsi="宋体" w:eastAsia="宋体"/>
          <w:b w:val="0"/>
          <w:sz w:val="24"/>
        </w:rPr>
        <w:t xml:space="preserve"> 基于实证结果诊断问题，结合组态路径设计差异化对策，提出政策建议。</w:t>
      </w:r>
    </w:p>
    <w:p>
      <w:pPr>
        <w:pStyle w:val="Heading2"/>
      </w:pPr>
      <w:r>
        <w:t>1.4 创新点</w:t>
      </w:r>
    </w:p>
    <w:p>
      <w:r>
        <w:rPr>
          <w:rFonts w:ascii="宋体" w:hAnsi="宋体" w:eastAsia="宋体"/>
          <w:b w:val="0"/>
          <w:sz w:val="24"/>
        </w:rPr>
        <w:t>本研究的创新点主要体现在以下四个方面：</w:t>
      </w:r>
    </w:p>
    <w:p>
      <w:r>
        <w:rPr>
          <w:rFonts w:ascii="宋体" w:hAnsi="宋体" w:eastAsia="宋体"/>
          <w:b w:val="0"/>
          <w:sz w:val="24"/>
        </w:rPr>
      </w:r>
      <w:r>
        <w:rPr>
          <w:rFonts w:ascii="宋体" w:hAnsi="宋体" w:eastAsia="宋体"/>
          <w:b/>
          <w:sz w:val="24"/>
        </w:rPr>
        <w:t>创新点一：构建"效果导向"的4E全链条评估框架，推动评估范式转型。</w:t>
      </w:r>
      <w:r>
        <w:rPr>
          <w:rFonts w:ascii="宋体" w:hAnsi="宋体" w:eastAsia="宋体"/>
          <w:b w:val="0"/>
          <w:sz w:val="24"/>
        </w:rPr>
      </w:r>
    </w:p>
    <w:p>
      <w:r>
        <w:rPr>
          <w:rFonts w:ascii="宋体" w:hAnsi="宋体" w:eastAsia="宋体"/>
          <w:b w:val="0"/>
          <w:sz w:val="24"/>
        </w:rP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r>
        <w:rPr>
          <w:rFonts w:ascii="宋体" w:hAnsi="宋体" w:eastAsia="宋体"/>
          <w:b w:val="0"/>
          <w:sz w:val="24"/>
        </w:rPr>
      </w:r>
      <w:r>
        <w:rPr>
          <w:rFonts w:ascii="宋体" w:hAnsi="宋体" w:eastAsia="宋体"/>
          <w:b/>
          <w:sz w:val="24"/>
        </w:rPr>
        <w:t>创新点二：提出并操作化"数据口径幻觉"概念，揭示评估指标的行为塑造效应。</w:t>
      </w:r>
      <w:r>
        <w:rPr>
          <w:rFonts w:ascii="宋体" w:hAnsi="宋体" w:eastAsia="宋体"/>
          <w:b w:val="0"/>
          <w:sz w:val="24"/>
        </w:rPr>
      </w:r>
    </w:p>
    <w:p>
      <w:r>
        <w:rPr>
          <w:rFonts w:ascii="宋体" w:hAnsi="宋体" w:eastAsia="宋体"/>
          <w:b w:val="0"/>
          <w:sz w:val="24"/>
        </w:rP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r>
        <w:rPr>
          <w:rFonts w:ascii="宋体" w:hAnsi="宋体" w:eastAsia="宋体"/>
          <w:b w:val="0"/>
          <w:sz w:val="24"/>
        </w:rPr>
      </w:r>
      <w:r>
        <w:rPr>
          <w:rFonts w:ascii="宋体" w:hAnsi="宋体" w:eastAsia="宋体"/>
          <w:b/>
          <w:sz w:val="24"/>
        </w:rPr>
        <w:t>创新点三：采用多方法三角验证，揭示绩效差异的形成机制。</w:t>
      </w:r>
      <w:r>
        <w:rPr>
          <w:rFonts w:ascii="宋体" w:hAnsi="宋体" w:eastAsia="宋体"/>
          <w:b w:val="0"/>
          <w:sz w:val="24"/>
        </w:rPr>
      </w:r>
    </w:p>
    <w:p>
      <w:r>
        <w:rPr>
          <w:rFonts w:ascii="宋体" w:hAnsi="宋体" w:eastAsia="宋体"/>
          <w:b w:val="0"/>
          <w:sz w:val="24"/>
        </w:rP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r>
        <w:rPr>
          <w:rFonts w:ascii="宋体" w:hAnsi="宋体" w:eastAsia="宋体"/>
          <w:b w:val="0"/>
          <w:sz w:val="24"/>
        </w:rPr>
      </w:r>
      <w:r>
        <w:rPr>
          <w:rFonts w:ascii="宋体" w:hAnsi="宋体" w:eastAsia="宋体"/>
          <w:b/>
          <w:sz w:val="24"/>
        </w:rPr>
        <w:t>创新点四：基于组态分析的差异化对策设计，超越"一刀切"的政策建议。</w:t>
      </w:r>
      <w:r>
        <w:rPr>
          <w:rFonts w:ascii="宋体" w:hAnsi="宋体" w:eastAsia="宋体"/>
          <w:b w:val="0"/>
          <w:sz w:val="24"/>
        </w:rPr>
      </w:r>
    </w:p>
    <w:p>
      <w:r>
        <w:rPr>
          <w:rFonts w:ascii="宋体" w:hAnsi="宋体" w:eastAsia="宋体"/>
          <w:b w:val="0"/>
          <w:sz w:val="24"/>
        </w:rP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pStyle w:val="Heading2"/>
      </w:pPr>
      <w:r>
        <w:t>1.5 论文结构安排</w:t>
      </w:r>
    </w:p>
    <w:p>
      <w:r>
        <w:rPr>
          <w:rFonts w:ascii="宋体" w:hAnsi="宋体" w:eastAsia="宋体"/>
          <w:b w:val="0"/>
          <w:sz w:val="24"/>
        </w:rPr>
        <w:t>本论文共分为八章，各章内容安排如下：</w:t>
      </w:r>
    </w:p>
    <w:p>
      <w:r>
        <w:rPr>
          <w:rFonts w:ascii="宋体" w:hAnsi="宋体" w:eastAsia="宋体"/>
          <w:b w:val="0"/>
          <w:sz w:val="24"/>
        </w:rPr>
      </w:r>
      <w:r>
        <w:rPr>
          <w:rFonts w:ascii="宋体" w:hAnsi="宋体" w:eastAsia="宋体"/>
          <w:b/>
          <w:sz w:val="24"/>
        </w:rPr>
        <w:t>第一章 绪论。</w:t>
      </w:r>
      <w:r>
        <w:rPr>
          <w:rFonts w:ascii="宋体" w:hAnsi="宋体" w:eastAsia="宋体"/>
          <w:b w:val="0"/>
          <w:sz w:val="24"/>
        </w:rPr>
        <w:t xml:space="preserve">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r>
        <w:rPr>
          <w:rFonts w:ascii="宋体" w:hAnsi="宋体" w:eastAsia="宋体"/>
          <w:b w:val="0"/>
          <w:sz w:val="24"/>
        </w:rPr>
      </w:r>
      <w:r>
        <w:rPr>
          <w:rFonts w:ascii="宋体" w:hAnsi="宋体" w:eastAsia="宋体"/>
          <w:b/>
          <w:sz w:val="24"/>
        </w:rPr>
        <w:t>第二章 文献综述。</w:t>
      </w:r>
      <w:r>
        <w:rPr>
          <w:rFonts w:ascii="宋体" w:hAnsi="宋体" w:eastAsia="宋体"/>
          <w:b w:val="0"/>
          <w:sz w:val="24"/>
        </w:rPr>
        <w:t xml:space="preserve"> 系统梳理政府数据开放的概念界定与演进、评估研究、数据利用绩效研究、影响因素研究等领域的国内外文献，总结现有研究的贡献与不足，明确本研究的定位与创新空间。</w:t>
      </w:r>
    </w:p>
    <w:p>
      <w:r>
        <w:rPr>
          <w:rFonts w:ascii="宋体" w:hAnsi="宋体" w:eastAsia="宋体"/>
          <w:b w:val="0"/>
          <w:sz w:val="24"/>
        </w:rPr>
      </w:r>
      <w:r>
        <w:rPr>
          <w:rFonts w:ascii="宋体" w:hAnsi="宋体" w:eastAsia="宋体"/>
          <w:b/>
          <w:sz w:val="24"/>
        </w:rPr>
        <w:t>第三章 理论基础与分析框架。</w:t>
      </w:r>
      <w:r>
        <w:rPr>
          <w:rFonts w:ascii="宋体" w:hAnsi="宋体" w:eastAsia="宋体"/>
          <w:b w:val="0"/>
          <w:sz w:val="24"/>
        </w:rPr>
        <w:t xml:space="preserve"> 阐述公共价值理论、数据要素价值化理论、4E评估框架、TOE影响因素框架的理论内涵，构建"评估-归因-组态"整合分析模型，提出研究假设。</w:t>
      </w:r>
    </w:p>
    <w:p>
      <w:r>
        <w:rPr>
          <w:rFonts w:ascii="宋体" w:hAnsi="宋体" w:eastAsia="宋体"/>
          <w:b w:val="0"/>
          <w:sz w:val="24"/>
        </w:rPr>
      </w:r>
      <w:r>
        <w:rPr>
          <w:rFonts w:ascii="宋体" w:hAnsi="宋体" w:eastAsia="宋体"/>
          <w:b/>
          <w:sz w:val="24"/>
        </w:rPr>
        <w:t>第四章 研究设计与数据来源。</w:t>
      </w:r>
      <w:r>
        <w:rPr>
          <w:rFonts w:ascii="宋体" w:hAnsi="宋体" w:eastAsia="宋体"/>
          <w:b w:val="0"/>
          <w:sz w:val="24"/>
        </w:rPr>
        <w:t xml:space="preserve"> 介绍研究对象与样本选择（28个省级平台），详细说明评估指标体系的构建过程、AHP-熵权组合赋权方法、三层架构数据采集系统的技术实现、数据质量控制措施和研究方法的具体操作步骤。</w:t>
      </w:r>
    </w:p>
    <w:p>
      <w:r>
        <w:rPr>
          <w:rFonts w:ascii="宋体" w:hAnsi="宋体" w:eastAsia="宋体"/>
          <w:b w:val="0"/>
          <w:sz w:val="24"/>
        </w:rPr>
      </w:r>
      <w:r>
        <w:rPr>
          <w:rFonts w:ascii="宋体" w:hAnsi="宋体" w:eastAsia="宋体"/>
          <w:b/>
          <w:sz w:val="24"/>
        </w:rPr>
        <w:t>第五章 绩效评估结果分析。</w:t>
      </w:r>
      <w:r>
        <w:rPr>
          <w:rFonts w:ascii="宋体" w:hAnsi="宋体" w:eastAsia="宋体"/>
          <w:b w:val="0"/>
          <w:sz w:val="24"/>
        </w:rPr>
        <w:t xml:space="preserve"> 呈现28个平台的绩效评估结果（TOPSIS综合排名、维度分解）、效率分析结果（DEA效率值、效率分解）、区域差异分析（东中西部比较、"浙江模式"与"山东模式"类型学），以及与开放数林指数的外部效度检验。</w:t>
      </w:r>
    </w:p>
    <w:p>
      <w:r>
        <w:rPr>
          <w:rFonts w:ascii="宋体" w:hAnsi="宋体" w:eastAsia="宋体"/>
          <w:b w:val="0"/>
          <w:sz w:val="24"/>
        </w:rPr>
      </w:r>
      <w:r>
        <w:rPr>
          <w:rFonts w:ascii="宋体" w:hAnsi="宋体" w:eastAsia="宋体"/>
          <w:b/>
          <w:sz w:val="24"/>
        </w:rPr>
        <w:t>第六章 影响因素与组态分析。</w:t>
      </w:r>
      <w:r>
        <w:rPr>
          <w:rFonts w:ascii="宋体" w:hAnsi="宋体" w:eastAsia="宋体"/>
          <w:b w:val="0"/>
          <w:sz w:val="24"/>
        </w:rPr>
        <w:t xml:space="preserve"> 报告DEMATEL因素关联分析结果（中心度、原因度、因果关系图）和fsQCA组态分析结果（高绩效路径、低绩效路径、稳健性检验），进行多方法三角验证和结果讨论。</w:t>
      </w:r>
    </w:p>
    <w:p>
      <w:r>
        <w:rPr>
          <w:rFonts w:ascii="宋体" w:hAnsi="宋体" w:eastAsia="宋体"/>
          <w:b w:val="0"/>
          <w:sz w:val="24"/>
        </w:rPr>
      </w:r>
      <w:r>
        <w:rPr>
          <w:rFonts w:ascii="宋体" w:hAnsi="宋体" w:eastAsia="宋体"/>
          <w:b/>
          <w:sz w:val="24"/>
        </w:rPr>
        <w:t>第七章 问题诊断与对策建议。</w:t>
      </w:r>
      <w:r>
        <w:rPr>
          <w:rFonts w:ascii="宋体" w:hAnsi="宋体" w:eastAsia="宋体"/>
          <w:b w:val="0"/>
          <w:sz w:val="24"/>
        </w:rPr>
        <w:t xml:space="preserve"> 基于实证结果诊断全国性短板、区域性问题、结构性问题和制度性问题，结合fsQCA三条高绩效路径设计差异化对策，提出共性对策和分类施策的实施建议。</w:t>
      </w:r>
    </w:p>
    <w:p>
      <w:r>
        <w:rPr>
          <w:rFonts w:ascii="宋体" w:hAnsi="宋体" w:eastAsia="宋体"/>
          <w:b w:val="0"/>
          <w:sz w:val="24"/>
        </w:rPr>
      </w:r>
      <w:r>
        <w:rPr>
          <w:rFonts w:ascii="宋体" w:hAnsi="宋体" w:eastAsia="宋体"/>
          <w:b/>
          <w:sz w:val="24"/>
        </w:rPr>
        <w:t>第八章 结论与展望。</w:t>
      </w:r>
      <w:r>
        <w:rPr>
          <w:rFonts w:ascii="宋体" w:hAnsi="宋体" w:eastAsia="宋体"/>
          <w:b w:val="0"/>
          <w:sz w:val="24"/>
        </w:rPr>
        <w:t xml:space="preserve"> 总结主要结论、理论贡献、实践启示，讨论研究局限，展望未来研究方向。</w:t>
      </w:r>
    </w:p>
    <w:p>
      <w:r>
        <w:rPr>
          <w:rFonts w:ascii="宋体" w:hAnsi="宋体" w:eastAsia="宋体"/>
          <w:b w:val="0"/>
          <w:sz w:val="24"/>
        </w:rPr>
        <w:t>论文的结构逻辑遵循"问题提出→理论构建→实证检验→问题诊断→对策建议"的研究范式，各章之间形成递进式的论证链条，确保研究的系统性和完整性。</w:t>
      </w:r>
    </w:p>
    <w:p>
      <w:pPr>
        <w:pStyle w:val="Heading1"/>
      </w:pPr>
      <w:r>
        <w:t>第二章 文献综述</w:t>
      </w:r>
    </w:p>
    <w:p>
      <w:pPr>
        <w:pStyle w:val="Heading2"/>
      </w:pPr>
      <w:r>
        <w:t>2.1 政府数据开放的概念界定与演进</w:t>
      </w:r>
    </w:p>
    <w:p>
      <w:pPr>
        <w:pStyle w:val="Heading3"/>
      </w:pPr>
      <w:r>
        <w:t>2.1.1 政府数据开放的概念内涵</w:t>
      </w:r>
    </w:p>
    <w:p>
      <w:r>
        <w:rPr>
          <w:rFonts w:ascii="宋体" w:hAnsi="宋体" w:eastAsia="宋体"/>
          <w:b w:val="0"/>
          <w:sz w:val="24"/>
        </w:rP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w:t>
      </w:r>
    </w:p>
    <w:p>
      <w:r>
        <w:rPr>
          <w:rFonts w:ascii="宋体" w:hAnsi="宋体" w:eastAsia="宋体"/>
          <w:b w:val="0"/>
          <w:sz w:val="24"/>
        </w:rP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w:t>
      </w:r>
    </w:p>
    <w:p>
      <w:r>
        <w:rPr>
          <w:rFonts w:ascii="宋体" w:hAnsi="宋体" w:eastAsia="宋体"/>
          <w:b w:val="0"/>
          <w:sz w:val="24"/>
        </w:rPr>
        <w:t>在国内学术界，郑磊等学者从公共治理视角将政府数据开放界定为"政府主动向社会开放其拥有的、可机器读取的原始数据，供社会进行自由利用"，强调数据开放的公共性和价值导向。黄璜从数据治理视角提出政府数据开放应遵循"以用促建、以用促优"的原则，将数据利用提升到与数据开放同等重要的位置——这一"以用为本"的思想是本研究"效果导向"评估范式的直接理论来源。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w:t>
      </w:r>
    </w:p>
    <w:p>
      <w:r>
        <w:rPr>
          <w:rFonts w:ascii="宋体" w:hAnsi="宋体" w:eastAsia="宋体"/>
          <w:b w:val="0"/>
          <w:sz w:val="24"/>
        </w:rP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pStyle w:val="Heading3"/>
      </w:pPr>
      <w:r>
        <w:t>2.1.2 政府数据开放与相关概念的区分</w:t>
      </w:r>
    </w:p>
    <w:p>
      <w:r>
        <w:rPr>
          <w:rFonts w:ascii="宋体" w:hAnsi="宋体" w:eastAsia="宋体"/>
          <w:b w:val="0"/>
          <w:sz w:val="24"/>
        </w:rPr>
        <w:t>在数据治理的语境中，政府数据开放与数据共享、数据授权运营等概念存在密切关联但又各有侧重，厘清这些概念的边界对于本研究评估框架的设计至关重要。</w:t>
      </w:r>
    </w:p>
    <w:p>
      <w:r>
        <w:rPr>
          <w:rFonts w:ascii="宋体" w:hAnsi="宋体" w:eastAsia="宋体"/>
          <w:b w:val="0"/>
          <w:sz w:val="24"/>
        </w:rPr>
      </w:r>
      <w:r>
        <w:rPr>
          <w:rFonts w:ascii="宋体" w:hAnsi="宋体" w:eastAsia="宋体"/>
          <w:b/>
          <w:sz w:val="24"/>
        </w:rPr>
        <w:t>政府数据开放 vs 数据共享。</w:t>
      </w:r>
      <w:r>
        <w:rPr>
          <w:rFonts w:ascii="宋体" w:hAnsi="宋体" w:eastAsia="宋体"/>
          <w:b w:val="0"/>
          <w:sz w:val="24"/>
        </w:rPr>
        <w:t xml:space="preserve">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r>
        <w:rPr>
          <w:rFonts w:ascii="宋体" w:hAnsi="宋体" w:eastAsia="宋体"/>
          <w:b w:val="0"/>
          <w:sz w:val="24"/>
        </w:rPr>
      </w:r>
      <w:r>
        <w:rPr>
          <w:rFonts w:ascii="宋体" w:hAnsi="宋体" w:eastAsia="宋体"/>
          <w:b/>
          <w:sz w:val="24"/>
        </w:rPr>
        <w:t>政府数据开放 vs 数据授权运营。</w:t>
      </w:r>
      <w:r>
        <w:rPr>
          <w:rFonts w:ascii="宋体" w:hAnsi="宋体" w:eastAsia="宋体"/>
          <w:b w:val="0"/>
          <w:sz w:val="24"/>
        </w:rPr>
        <w:t xml:space="preserve">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r>
        <w:rPr>
          <w:rFonts w:ascii="宋体" w:hAnsi="宋体" w:eastAsia="宋体"/>
          <w:b w:val="0"/>
          <w:sz w:val="24"/>
        </w:rPr>
      </w:r>
      <w:r>
        <w:rPr>
          <w:rFonts w:ascii="宋体" w:hAnsi="宋体" w:eastAsia="宋体"/>
          <w:b/>
          <w:sz w:val="24"/>
        </w:rPr>
        <w:t>政府数据开放 vs 开放科学数据。</w:t>
      </w:r>
      <w:r>
        <w:rPr>
          <w:rFonts w:ascii="宋体" w:hAnsi="宋体" w:eastAsia="宋体"/>
          <w:b w:val="0"/>
          <w:sz w:val="24"/>
        </w:rPr>
        <w:t xml:space="preserve">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Heading3"/>
      </w:pPr>
      <w:r>
        <w:t>2.1.3 政府数据开放的发展阶段</w:t>
      </w:r>
    </w:p>
    <w:p>
      <w:r>
        <w:rPr>
          <w:rFonts w:ascii="宋体" w:hAnsi="宋体" w:eastAsia="宋体"/>
          <w:b w:val="0"/>
          <w:sz w:val="24"/>
        </w:rPr>
        <w:t>从全球视野看，政府数据开放的发展经历了三个阶段的演进，每个阶段对应不同的技术基础、制度环境和理论关切。</w:t>
      </w:r>
    </w:p>
    <w:p>
      <w:r>
        <w:rPr>
          <w:rFonts w:ascii="宋体" w:hAnsi="宋体" w:eastAsia="宋体"/>
          <w:b w:val="0"/>
          <w:sz w:val="24"/>
        </w:rPr>
      </w:r>
      <w:r>
        <w:rPr>
          <w:rFonts w:ascii="宋体" w:hAnsi="宋体" w:eastAsia="宋体"/>
          <w:b/>
          <w:sz w:val="24"/>
        </w:rPr>
        <w:t>第一阶段：技术驱动期（2009-2013）。</w:t>
      </w:r>
      <w:r>
        <w:rPr>
          <w:rFonts w:ascii="宋体" w:hAnsi="宋体" w:eastAsia="宋体"/>
          <w:b w:val="0"/>
          <w:sz w:val="24"/>
        </w:rPr>
        <w:t xml:space="preserve">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r>
        <w:rPr>
          <w:rFonts w:ascii="宋体" w:hAnsi="宋体" w:eastAsia="宋体"/>
          <w:b w:val="0"/>
          <w:sz w:val="24"/>
        </w:rPr>
      </w:r>
      <w:r>
        <w:rPr>
          <w:rFonts w:ascii="宋体" w:hAnsi="宋体" w:eastAsia="宋体"/>
          <w:b/>
          <w:sz w:val="24"/>
        </w:rPr>
        <w:t>第二阶段：制度规范期（2014-2018）。</w:t>
      </w:r>
      <w:r>
        <w:rPr>
          <w:rFonts w:ascii="宋体" w:hAnsi="宋体" w:eastAsia="宋体"/>
          <w:b w:val="0"/>
          <w:sz w:val="24"/>
        </w:rPr>
        <w:t xml:space="preserve">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r>
        <w:rPr>
          <w:rFonts w:ascii="宋体" w:hAnsi="宋体" w:eastAsia="宋体"/>
          <w:b w:val="0"/>
          <w:sz w:val="24"/>
        </w:rPr>
      </w:r>
      <w:r>
        <w:rPr>
          <w:rFonts w:ascii="宋体" w:hAnsi="宋体" w:eastAsia="宋体"/>
          <w:b/>
          <w:sz w:val="24"/>
        </w:rPr>
        <w:t>第三阶段：效果导向期（2019至今）。</w:t>
      </w:r>
      <w:r>
        <w:rPr>
          <w:rFonts w:ascii="宋体" w:hAnsi="宋体" w:eastAsia="宋体"/>
          <w:b w:val="0"/>
          <w:sz w:val="24"/>
        </w:rPr>
        <w:t xml:space="preserve">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r>
        <w:rPr>
          <w:rFonts w:ascii="宋体" w:hAnsi="宋体" w:eastAsia="宋体"/>
          <w:b w:val="0"/>
          <w:sz w:val="24"/>
        </w:rP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Heading2"/>
      </w:pPr>
      <w:r>
        <w:t>2.2 政府数据开放评估研究</w:t>
      </w:r>
    </w:p>
    <w:p>
      <w:pPr>
        <w:pStyle w:val="Heading3"/>
      </w:pPr>
      <w:r>
        <w:t>2.2.1 国际评估工具综述</w:t>
      </w:r>
    </w:p>
    <w:p>
      <w:r>
        <w:rPr>
          <w:rFonts w:ascii="宋体" w:hAnsi="宋体" w:eastAsia="宋体"/>
          <w:b w:val="0"/>
          <w:sz w:val="24"/>
        </w:rPr>
        <w:t>政府数据开放评估研究是国际学术界和政策界关注的热点领域，形成了较为成熟的评估工具体系。根据评估维度、方法论和适用范围的不同，现有评估工具可以分为以下几类。</w:t>
      </w:r>
    </w:p>
    <w:p>
      <w:r>
        <w:rPr>
          <w:rFonts w:ascii="宋体" w:hAnsi="宋体" w:eastAsia="宋体"/>
          <w:b w:val="0"/>
          <w:sz w:val="24"/>
        </w:rPr>
      </w:r>
      <w:r>
        <w:rPr>
          <w:rFonts w:ascii="宋体" w:hAnsi="宋体" w:eastAsia="宋体"/>
          <w:b/>
          <w:sz w:val="24"/>
        </w:rPr>
        <w:t>Open Data Barometer（ODB）。</w:t>
      </w:r>
      <w:r>
        <w:rPr>
          <w:rFonts w:ascii="宋体" w:hAnsi="宋体" w:eastAsia="宋体"/>
          <w:b w:val="0"/>
          <w:sz w:val="24"/>
        </w:rPr>
        <w:t xml:space="preserve">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实施度"维度考察政府实际开放了多少关键数据集；"影响力"维度考察数据开放是否产生了社会经济影响。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w:t>
      </w:r>
    </w:p>
    <w:p>
      <w:r>
        <w:rPr>
          <w:rFonts w:ascii="宋体" w:hAnsi="宋体" w:eastAsia="宋体"/>
          <w:b w:val="0"/>
          <w:sz w:val="24"/>
        </w:rPr>
      </w:r>
      <w:r>
        <w:rPr>
          <w:rFonts w:ascii="宋体" w:hAnsi="宋体" w:eastAsia="宋体"/>
          <w:b/>
          <w:sz w:val="24"/>
        </w:rPr>
        <w:t>Open Data Index（ODI）。</w:t>
      </w:r>
      <w:r>
        <w:rPr>
          <w:rFonts w:ascii="宋体" w:hAnsi="宋体" w:eastAsia="宋体"/>
          <w:b w:val="0"/>
          <w:sz w:val="24"/>
        </w:rPr>
        <w:t xml:space="preserve">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w:t>
      </w:r>
    </w:p>
    <w:p>
      <w:r>
        <w:rPr>
          <w:rFonts w:ascii="宋体" w:hAnsi="宋体" w:eastAsia="宋体"/>
          <w:b w:val="0"/>
          <w:sz w:val="24"/>
        </w:rPr>
      </w:r>
      <w:r>
        <w:rPr>
          <w:rFonts w:ascii="宋体" w:hAnsi="宋体" w:eastAsia="宋体"/>
          <w:b/>
          <w:sz w:val="24"/>
        </w:rPr>
        <w:t>Global Open Data Index（GODI）。</w:t>
      </w:r>
      <w:r>
        <w:rPr>
          <w:rFonts w:ascii="宋体" w:hAnsi="宋体" w:eastAsia="宋体"/>
          <w:b w:val="0"/>
          <w:sz w:val="24"/>
        </w:rPr>
        <w:t xml:space="preserve">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r>
        <w:rPr>
          <w:rFonts w:ascii="宋体" w:hAnsi="宋体" w:eastAsia="宋体"/>
          <w:b w:val="0"/>
          <w:sz w:val="24"/>
        </w:rPr>
      </w:r>
      <w:r>
        <w:rPr>
          <w:rFonts w:ascii="宋体" w:hAnsi="宋体" w:eastAsia="宋体"/>
          <w:b/>
          <w:sz w:val="24"/>
        </w:rPr>
        <w:t>Open Data Maturity（ODM）。</w:t>
      </w:r>
      <w:r>
        <w:rPr>
          <w:rFonts w:ascii="宋体" w:hAnsi="宋体" w:eastAsia="宋体"/>
          <w:b w:val="0"/>
          <w:sz w:val="24"/>
        </w:rPr>
        <w:t xml:space="preserve"> ODM由European Commission开发，专门评估欧盟成员国的数据开放成熟度，从政策、门户、质量、影响四个维度进行评估。ODM的特点是评估体系较为全面，不仅关注平台功能，还关注政策环境和利用效果。但其适用范围仅限于欧盟成员国，对我国的参考价值有限。</w:t>
      </w:r>
    </w:p>
    <w:p>
      <w:pPr>
        <w:pStyle w:val="Heading3"/>
      </w:pPr>
      <w:r>
        <w:t>2.2.2 国内评估工具综述</w:t>
      </w:r>
    </w:p>
    <w:p>
      <w:r>
        <w:rPr>
          <w:rFonts w:ascii="宋体" w:hAnsi="宋体" w:eastAsia="宋体"/>
          <w:b w:val="0"/>
          <w:sz w:val="24"/>
        </w:rPr>
        <w:t>在国内，政府数据开放评估研究起步较晚但发展迅速，形成了多种评估工具和指标体系。</w:t>
      </w:r>
    </w:p>
    <w:p>
      <w:r>
        <w:rPr>
          <w:rFonts w:ascii="宋体" w:hAnsi="宋体" w:eastAsia="宋体"/>
          <w:b w:val="0"/>
          <w:sz w:val="24"/>
        </w:rPr>
      </w:r>
      <w:r>
        <w:rPr>
          <w:rFonts w:ascii="宋体" w:hAnsi="宋体" w:eastAsia="宋体"/>
          <w:b/>
          <w:sz w:val="24"/>
        </w:rPr>
        <w:t>中国开放数林指数。</w:t>
      </w:r>
      <w:r>
        <w:rPr>
          <w:rFonts w:ascii="宋体" w:hAnsi="宋体" w:eastAsia="宋体"/>
          <w:b w:val="0"/>
          <w:sz w:val="24"/>
        </w:rPr>
        <w:t xml:space="preserve">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r>
        <w:rPr>
          <w:rFonts w:ascii="宋体" w:hAnsi="宋体" w:eastAsia="宋体"/>
          <w:b w:val="0"/>
          <w:sz w:val="24"/>
        </w:rP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r>
        <w:rPr>
          <w:rFonts w:ascii="宋体" w:hAnsi="宋体" w:eastAsia="宋体"/>
          <w:b w:val="0"/>
          <w:sz w:val="24"/>
        </w:rPr>
      </w:r>
      <w:r>
        <w:rPr>
          <w:rFonts w:ascii="宋体" w:hAnsi="宋体" w:eastAsia="宋体"/>
          <w:b/>
          <w:sz w:val="24"/>
        </w:rPr>
        <w:t>其他国内评估工具。</w:t>
      </w:r>
      <w:r>
        <w:rPr>
          <w:rFonts w:ascii="宋体" w:hAnsi="宋体" w:eastAsia="宋体"/>
          <w:b w:val="0"/>
          <w:sz w:val="24"/>
        </w:rPr>
        <w:t xml:space="preserve">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Heading3"/>
      </w:pPr>
      <w:r>
        <w:t>2.2.3 现有评估工具的结构性局限分析</w:t>
      </w:r>
    </w:p>
    <w:p>
      <w:r>
        <w:rPr>
          <w:rFonts w:ascii="宋体" w:hAnsi="宋体" w:eastAsia="宋体"/>
          <w:b w:val="0"/>
          <w:sz w:val="24"/>
        </w:rPr>
        <w:t>综合上述国内外评估工具的分析，可以归纳出现有评估体系的四个结构性局限。</w:t>
      </w:r>
    </w:p>
    <w:p>
      <w:r>
        <w:rPr>
          <w:rFonts w:ascii="宋体" w:hAnsi="宋体" w:eastAsia="宋体"/>
          <w:b w:val="0"/>
          <w:sz w:val="24"/>
        </w:rPr>
      </w:r>
      <w:r>
        <w:rPr>
          <w:rFonts w:ascii="宋体" w:hAnsi="宋体" w:eastAsia="宋体"/>
          <w:b/>
          <w:sz w:val="24"/>
        </w:rPr>
        <w:t>局限一："重供给轻效果"的评估导向。</w:t>
      </w:r>
      <w:r>
        <w:rPr>
          <w:rFonts w:ascii="宋体" w:hAnsi="宋体" w:eastAsia="宋体"/>
          <w:b w:val="0"/>
          <w:sz w:val="24"/>
        </w:rPr>
        <w:t xml:space="preserve">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r>
        <w:rPr>
          <w:rFonts w:ascii="宋体" w:hAnsi="宋体" w:eastAsia="宋体"/>
          <w:b w:val="0"/>
          <w:sz w:val="24"/>
        </w:rPr>
      </w:r>
      <w:r>
        <w:rPr>
          <w:rFonts w:ascii="宋体" w:hAnsi="宋体" w:eastAsia="宋体"/>
          <w:b/>
          <w:sz w:val="24"/>
        </w:rPr>
        <w:t>局限二：缺乏效率维度。</w:t>
      </w:r>
      <w:r>
        <w:rPr>
          <w:rFonts w:ascii="宋体" w:hAnsi="宋体" w:eastAsia="宋体"/>
          <w:b w:val="0"/>
          <w:sz w:val="24"/>
        </w:rPr>
        <w:t xml:space="preserve">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r>
        <w:rPr>
          <w:rFonts w:ascii="宋体" w:hAnsi="宋体" w:eastAsia="宋体"/>
          <w:b w:val="0"/>
          <w:sz w:val="24"/>
        </w:rPr>
      </w:r>
      <w:r>
        <w:rPr>
          <w:rFonts w:ascii="宋体" w:hAnsi="宋体" w:eastAsia="宋体"/>
          <w:b/>
          <w:sz w:val="24"/>
        </w:rPr>
        <w:t>局限三：方法单一，无法揭示形成机制。</w:t>
      </w:r>
      <w:r>
        <w:rPr>
          <w:rFonts w:ascii="宋体" w:hAnsi="宋体" w:eastAsia="宋体"/>
          <w:b w:val="0"/>
          <w:sz w:val="24"/>
        </w:rPr>
        <w:t xml:space="preserve">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r>
        <w:rPr>
          <w:rFonts w:ascii="宋体" w:hAnsi="宋体" w:eastAsia="宋体"/>
          <w:b w:val="0"/>
          <w:sz w:val="24"/>
        </w:rPr>
      </w:r>
      <w:r>
        <w:rPr>
          <w:rFonts w:ascii="宋体" w:hAnsi="宋体" w:eastAsia="宋体"/>
          <w:b/>
          <w:sz w:val="24"/>
        </w:rPr>
        <w:t>局限四：忽视"数据口径幻觉"。</w:t>
      </w:r>
      <w:r>
        <w:rPr>
          <w:rFonts w:ascii="宋体" w:hAnsi="宋体" w:eastAsia="宋体"/>
          <w:b w:val="0"/>
          <w:sz w:val="24"/>
        </w:rPr>
        <w:t xml:space="preserve">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Heading2"/>
      </w:pPr>
      <w:r>
        <w:t>2.3 数据利用绩效研究</w:t>
      </w:r>
    </w:p>
    <w:p>
      <w:pPr>
        <w:pStyle w:val="Heading3"/>
      </w:pPr>
      <w:r>
        <w:t>2.3.1 公共部门绩效评估的理论演进</w:t>
      </w:r>
    </w:p>
    <w:p>
      <w:r>
        <w:rPr>
          <w:rFonts w:ascii="宋体" w:hAnsi="宋体" w:eastAsia="宋体"/>
          <w:b w:val="0"/>
          <w:sz w:val="24"/>
        </w:rPr>
        <w:t>公共部门绩效评估理论经历了从"3E"到"4E"再到"5E"的发展演进，为本研究评估框架的设计提供了理论渊源。</w:t>
      </w:r>
    </w:p>
    <w:p>
      <w:r>
        <w:rPr>
          <w:rFonts w:ascii="宋体" w:hAnsi="宋体" w:eastAsia="宋体"/>
          <w:b w:val="0"/>
          <w:sz w:val="24"/>
        </w:rPr>
      </w:r>
      <w:r>
        <w:rPr>
          <w:rFonts w:ascii="宋体" w:hAnsi="宋体" w:eastAsia="宋体"/>
          <w:b/>
          <w:sz w:val="24"/>
        </w:rPr>
        <w:t>3E框架。</w:t>
      </w:r>
      <w:r>
        <w:rPr>
          <w:rFonts w:ascii="宋体" w:hAnsi="宋体" w:eastAsia="宋体"/>
          <w:b w:val="0"/>
          <w:sz w:val="24"/>
        </w:rPr>
        <w:t xml:space="preserve">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r>
        <w:rPr>
          <w:rFonts w:ascii="宋体" w:hAnsi="宋体" w:eastAsia="宋体"/>
          <w:b w:val="0"/>
          <w:sz w:val="24"/>
        </w:rPr>
      </w:r>
      <w:r>
        <w:rPr>
          <w:rFonts w:ascii="宋体" w:hAnsi="宋体" w:eastAsia="宋体"/>
          <w:b/>
          <w:sz w:val="24"/>
        </w:rPr>
        <w:t>4E框架。</w:t>
      </w:r>
      <w:r>
        <w:rPr>
          <w:rFonts w:ascii="宋体" w:hAnsi="宋体" w:eastAsia="宋体"/>
          <w:b w:val="0"/>
          <w:sz w:val="24"/>
        </w:rPr>
        <w:t xml:space="preserve">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r>
        <w:rPr>
          <w:rFonts w:ascii="宋体" w:hAnsi="宋体" w:eastAsia="宋体"/>
          <w:b w:val="0"/>
          <w:sz w:val="24"/>
        </w:rPr>
      </w:r>
      <w:r>
        <w:rPr>
          <w:rFonts w:ascii="宋体" w:hAnsi="宋体" w:eastAsia="宋体"/>
          <w:b/>
          <w:sz w:val="24"/>
        </w:rPr>
        <w:t>5E框架及扩展。</w:t>
      </w:r>
      <w:r>
        <w:rPr>
          <w:rFonts w:ascii="宋体" w:hAnsi="宋体" w:eastAsia="宋体"/>
          <w:b w:val="0"/>
          <w:sz w:val="24"/>
        </w:rPr>
        <w:t xml:space="preserve"> 近年来，部分学者在4E基础上进一步扩展，增加了环境性（Environment）、卓越性（Excellence）等维度，形成5E或更多维度的评估框架。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Heading3"/>
      </w:pPr>
      <w:r>
        <w:t>2.3.2 数据利用绩效的概念界定与测量</w:t>
      </w:r>
    </w:p>
    <w:p>
      <w:r>
        <w:rPr>
          <w:rFonts w:ascii="宋体" w:hAnsi="宋体" w:eastAsia="宋体"/>
          <w:b w:val="0"/>
          <w:sz w:val="24"/>
        </w:rPr>
        <w:t>数据利用绩效是政府数据开放领域的核心概念，但其界定和测量一直是学术界的难点。</w:t>
      </w:r>
    </w:p>
    <w:p>
      <w:r>
        <w:rPr>
          <w:rFonts w:ascii="宋体" w:hAnsi="宋体" w:eastAsia="宋体"/>
          <w:b w:val="0"/>
          <w:sz w:val="24"/>
        </w:rPr>
      </w:r>
      <w:r>
        <w:rPr>
          <w:rFonts w:ascii="宋体" w:hAnsi="宋体" w:eastAsia="宋体"/>
          <w:b/>
          <w:sz w:val="24"/>
        </w:rPr>
        <w:t>概念界定。</w:t>
      </w:r>
      <w:r>
        <w:rPr>
          <w:rFonts w:ascii="宋体" w:hAnsi="宋体" w:eastAsia="宋体"/>
          <w:b w:val="0"/>
          <w:sz w:val="24"/>
        </w:rPr>
        <w:t xml:space="preserve">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r>
        <w:rPr>
          <w:rFonts w:ascii="宋体" w:hAnsi="宋体" w:eastAsia="宋体"/>
          <w:b w:val="0"/>
          <w:sz w:val="24"/>
        </w:rPr>
      </w:r>
      <w:r>
        <w:rPr>
          <w:rFonts w:ascii="宋体" w:hAnsi="宋体" w:eastAsia="宋体"/>
          <w:b/>
          <w:sz w:val="24"/>
        </w:rPr>
        <w:t>测量方法。</w:t>
      </w:r>
      <w:r>
        <w:rPr>
          <w:rFonts w:ascii="宋体" w:hAnsi="宋体" w:eastAsia="宋体"/>
          <w:b w:val="0"/>
          <w:sz w:val="24"/>
        </w:rPr>
        <w:t xml:space="preserve">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r>
        <w:rPr>
          <w:rFonts w:ascii="宋体" w:hAnsi="宋体" w:eastAsia="宋体"/>
          <w:b w:val="0"/>
          <w:sz w:val="24"/>
        </w:rP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pStyle w:val="Heading3"/>
      </w:pPr>
      <w:r>
        <w:t>2.3.3 数据利用绩效的影响因素</w:t>
      </w:r>
    </w:p>
    <w:p>
      <w:r>
        <w:rPr>
          <w:rFonts w:ascii="宋体" w:hAnsi="宋体" w:eastAsia="宋体"/>
          <w:b w:val="0"/>
          <w:sz w:val="24"/>
        </w:rPr>
        <w:t>近年来，学术界越来越关注数据利用绩效的影响因素，研究视角从单一因素分析转向多因素整合分析。</w:t>
      </w:r>
    </w:p>
    <w:p>
      <w:r>
        <w:rPr>
          <w:rFonts w:ascii="宋体" w:hAnsi="宋体" w:eastAsia="宋体"/>
          <w:b w:val="0"/>
          <w:sz w:val="24"/>
        </w:rPr>
      </w:r>
      <w:r>
        <w:rPr>
          <w:rFonts w:ascii="宋体" w:hAnsi="宋体" w:eastAsia="宋体"/>
          <w:b/>
          <w:sz w:val="24"/>
        </w:rPr>
        <w:t>技术层面因素。</w:t>
      </w:r>
      <w:r>
        <w:rPr>
          <w:rFonts w:ascii="宋体" w:hAnsi="宋体" w:eastAsia="宋体"/>
          <w:b w:val="0"/>
          <w:sz w:val="24"/>
        </w:rPr>
        <w:t xml:space="preserve">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r>
        <w:rPr>
          <w:rFonts w:ascii="宋体" w:hAnsi="宋体" w:eastAsia="宋体"/>
          <w:b w:val="0"/>
          <w:sz w:val="24"/>
        </w:rPr>
      </w:r>
      <w:r>
        <w:rPr>
          <w:rFonts w:ascii="宋体" w:hAnsi="宋体" w:eastAsia="宋体"/>
          <w:b/>
          <w:sz w:val="24"/>
        </w:rPr>
        <w:t>组织层面因素。</w:t>
      </w:r>
      <w:r>
        <w:rPr>
          <w:rFonts w:ascii="宋体" w:hAnsi="宋体" w:eastAsia="宋体"/>
          <w:b w:val="0"/>
          <w:sz w:val="24"/>
        </w:rPr>
        <w:t xml:space="preserve">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r>
        <w:rPr>
          <w:rFonts w:ascii="宋体" w:hAnsi="宋体" w:eastAsia="宋体"/>
          <w:b w:val="0"/>
          <w:sz w:val="24"/>
        </w:rPr>
      </w:r>
      <w:r>
        <w:rPr>
          <w:rFonts w:ascii="宋体" w:hAnsi="宋体" w:eastAsia="宋体"/>
          <w:b/>
          <w:sz w:val="24"/>
        </w:rPr>
        <w:t>环境层面因素。</w:t>
      </w:r>
      <w:r>
        <w:rPr>
          <w:rFonts w:ascii="宋体" w:hAnsi="宋体" w:eastAsia="宋体"/>
          <w:b w:val="0"/>
          <w:sz w:val="24"/>
        </w:rPr>
        <w:t xml:space="preserve">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r>
        <w:rPr>
          <w:rFonts w:ascii="宋体" w:hAnsi="宋体" w:eastAsia="宋体"/>
          <w:b w:val="0"/>
          <w:sz w:val="24"/>
        </w:rPr>
      </w:r>
      <w:r>
        <w:rPr>
          <w:rFonts w:ascii="宋体" w:hAnsi="宋体" w:eastAsia="宋体"/>
          <w:b/>
          <w:sz w:val="24"/>
        </w:rPr>
        <w:t>非线性特征与组态效应。</w:t>
      </w:r>
      <w:r>
        <w:rPr>
          <w:rFonts w:ascii="宋体" w:hAnsi="宋体" w:eastAsia="宋体"/>
          <w:b w:val="0"/>
          <w:sz w:val="24"/>
        </w:rPr>
        <w:t xml:space="preserve">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pStyle w:val="Heading3"/>
      </w:pPr>
      <w:r>
        <w:t>2.3.5 研究述评与本研究定位</w:t>
      </w:r>
    </w:p>
    <w:p>
      <w:r>
        <w:rPr>
          <w:rFonts w:ascii="宋体" w:hAnsi="宋体" w:eastAsia="宋体"/>
          <w:b w:val="0"/>
          <w:sz w:val="24"/>
        </w:rPr>
        <w:t>通过对国内外开放政府数据评估研究的系统梳理，本研究发现现有研究存在以下五个不足：</w:t>
      </w:r>
    </w:p>
    <w:p>
      <w:r>
        <w:rPr>
          <w:rFonts w:ascii="宋体" w:hAnsi="宋体" w:eastAsia="宋体"/>
          <w:b w:val="0"/>
          <w:sz w:val="24"/>
        </w:rPr>
      </w:r>
      <w:r>
        <w:rPr>
          <w:rFonts w:ascii="宋体" w:hAnsi="宋体" w:eastAsia="宋体"/>
          <w:b/>
          <w:sz w:val="24"/>
        </w:rPr>
        <w:t>第一，评估范式"重供给轻效果"。</w:t>
      </w:r>
      <w:r>
        <w:rPr>
          <w:rFonts w:ascii="宋体" w:hAnsi="宋体" w:eastAsia="宋体"/>
          <w:b w:val="0"/>
          <w:sz w:val="24"/>
        </w:rPr>
        <w:t xml:space="preserve"> 开放数林指数2025中利用层仅占约15%权重，而准备度、数据层、平台层合计超过85%。本研究将利用效果权重提升至30%，是对现有范式的纠偏。</w:t>
      </w:r>
    </w:p>
    <w:p>
      <w:r>
        <w:rPr>
          <w:rFonts w:ascii="宋体" w:hAnsi="宋体" w:eastAsia="宋体"/>
          <w:b w:val="0"/>
          <w:sz w:val="24"/>
        </w:rPr>
      </w:r>
      <w:r>
        <w:rPr>
          <w:rFonts w:ascii="宋体" w:hAnsi="宋体" w:eastAsia="宋体"/>
          <w:b/>
          <w:sz w:val="24"/>
        </w:rPr>
        <w:t>第二，评估数据客观性不足。</w:t>
      </w:r>
      <w:r>
        <w:rPr>
          <w:rFonts w:ascii="宋体" w:hAnsi="宋体" w:eastAsia="宋体"/>
          <w:b w:val="0"/>
          <w:sz w:val="24"/>
        </w:rPr>
        <w:t xml:space="preserve"> 现有研究依赖专家打分和平台自我申报，数据可验证性差。本研究通过自动化采集系统获取数据，所有数据有时间戳和代码可验证。</w:t>
      </w:r>
    </w:p>
    <w:p>
      <w:r>
        <w:rPr>
          <w:rFonts w:ascii="宋体" w:hAnsi="宋体" w:eastAsia="宋体"/>
          <w:b w:val="0"/>
          <w:sz w:val="24"/>
        </w:rPr>
      </w:r>
      <w:r>
        <w:rPr>
          <w:rFonts w:ascii="宋体" w:hAnsi="宋体" w:eastAsia="宋体"/>
          <w:b/>
          <w:sz w:val="24"/>
        </w:rPr>
        <w:t>第三，效率维度缺失。</w:t>
      </w:r>
      <w:r>
        <w:rPr>
          <w:rFonts w:ascii="宋体" w:hAnsi="宋体" w:eastAsia="宋体"/>
          <w:b w:val="0"/>
          <w:sz w:val="24"/>
        </w:rPr>
        <w:t xml:space="preserve"> 现有研究关注绩效绝对水平，忽视相对效率。本研究引入DEA-BCC效率评价，填补效率维度空白。</w:t>
      </w:r>
    </w:p>
    <w:p>
      <w:r>
        <w:rPr>
          <w:rFonts w:ascii="宋体" w:hAnsi="宋体" w:eastAsia="宋体"/>
          <w:b w:val="0"/>
          <w:sz w:val="24"/>
        </w:rPr>
      </w:r>
      <w:r>
        <w:rPr>
          <w:rFonts w:ascii="宋体" w:hAnsi="宋体" w:eastAsia="宋体"/>
          <w:b/>
          <w:sz w:val="24"/>
        </w:rPr>
        <w:t>第四，因果机制分析不足。</w:t>
      </w:r>
      <w:r>
        <w:rPr>
          <w:rFonts w:ascii="宋体" w:hAnsi="宋体" w:eastAsia="宋体"/>
          <w:b w:val="0"/>
          <w:sz w:val="24"/>
        </w:rPr>
        <w:t xml:space="preserve"> 现有研究多为描述性评估，对"为什么绩效有差异"分析不足。本研究运用DEMATEL和fsQCA揭示因果机制。</w:t>
      </w:r>
    </w:p>
    <w:p>
      <w:r>
        <w:rPr>
          <w:rFonts w:ascii="宋体" w:hAnsi="宋体" w:eastAsia="宋体"/>
          <w:b w:val="0"/>
          <w:sz w:val="24"/>
        </w:rPr>
      </w:r>
      <w:r>
        <w:rPr>
          <w:rFonts w:ascii="宋体" w:hAnsi="宋体" w:eastAsia="宋体"/>
          <w:b/>
          <w:sz w:val="24"/>
        </w:rPr>
        <w:t>第五，对策建议差异化不足。</w:t>
      </w:r>
      <w:r>
        <w:rPr>
          <w:rFonts w:ascii="宋体" w:hAnsi="宋体" w:eastAsia="宋体"/>
          <w:b w:val="0"/>
          <w:sz w:val="24"/>
        </w:rPr>
        <w:t xml:space="preserve"> 现有建议多为"一刀切"泛化建议。本研究基于fsQCA组态路径设计差异化对策。</w:t>
      </w:r>
    </w:p>
    <w:p>
      <w:r>
        <w:rPr>
          <w:rFonts w:ascii="宋体" w:hAnsi="宋体" w:eastAsia="宋体"/>
          <w:b w:val="0"/>
          <w:sz w:val="24"/>
        </w:rPr>
        <w:t>基于上述不足，本研究定位为：构建"效果导向+效率评价+因果分析+差异化对策"的整合性研究框架。</w:t>
      </w:r>
    </w:p>
    <w:p>
      <w:pPr>
        <w:pStyle w:val="Heading2"/>
      </w:pPr>
      <w:r>
        <w:t>2.4 政府数据开放的影响因素研究</w:t>
      </w:r>
    </w:p>
    <w:p>
      <w:pPr>
        <w:pStyle w:val="Heading3"/>
      </w:pPr>
      <w:r>
        <w:t>2.4.1 TOE框架的应用</w:t>
      </w:r>
    </w:p>
    <w:p>
      <w:r>
        <w:rPr>
          <w:rFonts w:ascii="宋体" w:hAnsi="宋体" w:eastAsia="宋体"/>
          <w:b w:val="0"/>
          <w:sz w:val="24"/>
        </w:rP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r>
        <w:rPr>
          <w:rFonts w:ascii="宋体" w:hAnsi="宋体" w:eastAsia="宋体"/>
          <w:b w:val="0"/>
          <w:sz w:val="24"/>
        </w:rP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Heading3"/>
      </w:pPr>
      <w:r>
        <w:t>2.4.2 技术层面因素</w:t>
      </w:r>
    </w:p>
    <w:p>
      <w:r>
        <w:rPr>
          <w:rFonts w:ascii="宋体" w:hAnsi="宋体" w:eastAsia="宋体"/>
          <w:b w:val="0"/>
          <w:sz w:val="24"/>
        </w:rPr>
        <w:t>技术层面因素是影响政府数据利用绩效的基础性条件，主要包括数据质量、API开放度、平台功能和数据标准四个方面。</w:t>
      </w:r>
    </w:p>
    <w:p>
      <w:r>
        <w:rPr>
          <w:rFonts w:ascii="宋体" w:hAnsi="宋体" w:eastAsia="宋体"/>
          <w:b w:val="0"/>
          <w:sz w:val="24"/>
        </w:rPr>
      </w:r>
      <w:r>
        <w:rPr>
          <w:rFonts w:ascii="宋体" w:hAnsi="宋体" w:eastAsia="宋体"/>
          <w:b/>
          <w:sz w:val="24"/>
        </w:rPr>
        <w:t>数据质量。</w:t>
      </w:r>
      <w:r>
        <w:rPr>
          <w:rFonts w:ascii="宋体" w:hAnsi="宋体" w:eastAsia="宋体"/>
          <w:b w:val="0"/>
          <w:sz w:val="24"/>
        </w:rPr>
        <w:t xml:space="preserve">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r>
        <w:rPr>
          <w:rFonts w:ascii="宋体" w:hAnsi="宋体" w:eastAsia="宋体"/>
          <w:b w:val="0"/>
          <w:sz w:val="24"/>
        </w:rPr>
      </w:r>
      <w:r>
        <w:rPr>
          <w:rFonts w:ascii="宋体" w:hAnsi="宋体" w:eastAsia="宋体"/>
          <w:b/>
          <w:sz w:val="24"/>
        </w:rPr>
        <w:t>API开放度。</w:t>
      </w:r>
      <w:r>
        <w:rPr>
          <w:rFonts w:ascii="宋体" w:hAnsi="宋体" w:eastAsia="宋体"/>
          <w:b w:val="0"/>
          <w:sz w:val="24"/>
        </w:rPr>
        <w:t xml:space="preserve">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r>
        <w:rPr>
          <w:rFonts w:ascii="宋体" w:hAnsi="宋体" w:eastAsia="宋体"/>
          <w:b w:val="0"/>
          <w:sz w:val="24"/>
        </w:rPr>
      </w:r>
      <w:r>
        <w:rPr>
          <w:rFonts w:ascii="宋体" w:hAnsi="宋体" w:eastAsia="宋体"/>
          <w:b/>
          <w:sz w:val="24"/>
        </w:rPr>
        <w:t>平台功能。</w:t>
      </w:r>
      <w:r>
        <w:rPr>
          <w:rFonts w:ascii="宋体" w:hAnsi="宋体" w:eastAsia="宋体"/>
          <w:b w:val="0"/>
          <w:sz w:val="24"/>
        </w:rPr>
        <w:t xml:space="preserve">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r>
        <w:rPr>
          <w:rFonts w:ascii="宋体" w:hAnsi="宋体" w:eastAsia="宋体"/>
          <w:b w:val="0"/>
          <w:sz w:val="24"/>
        </w:rPr>
      </w:r>
      <w:r>
        <w:rPr>
          <w:rFonts w:ascii="宋体" w:hAnsi="宋体" w:eastAsia="宋体"/>
          <w:b/>
          <w:sz w:val="24"/>
        </w:rPr>
        <w:t>数据标准。</w:t>
      </w:r>
      <w:r>
        <w:rPr>
          <w:rFonts w:ascii="宋体" w:hAnsi="宋体" w:eastAsia="宋体"/>
          <w:b w:val="0"/>
          <w:sz w:val="24"/>
        </w:rPr>
        <w:t xml:space="preserve">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pStyle w:val="Heading3"/>
      </w:pPr>
      <w:r>
        <w:t>2.4.3 组织层面因素</w:t>
      </w:r>
    </w:p>
    <w:p>
      <w:r>
        <w:rPr>
          <w:rFonts w:ascii="宋体" w:hAnsi="宋体" w:eastAsia="宋体"/>
          <w:b w:val="0"/>
          <w:sz w:val="24"/>
        </w:rPr>
        <w:t>组织层面因素是影响政府数据利用绩效的制度性条件，主要包括制度环境、政策体系、组织能力和授权运营机制四个方面。</w:t>
      </w:r>
    </w:p>
    <w:p>
      <w:r>
        <w:rPr>
          <w:rFonts w:ascii="宋体" w:hAnsi="宋体" w:eastAsia="宋体"/>
          <w:b w:val="0"/>
          <w:sz w:val="24"/>
        </w:rPr>
      </w:r>
      <w:r>
        <w:rPr>
          <w:rFonts w:ascii="宋体" w:hAnsi="宋体" w:eastAsia="宋体"/>
          <w:b/>
          <w:sz w:val="24"/>
        </w:rPr>
        <w:t>制度环境。</w:t>
      </w:r>
      <w:r>
        <w:rPr>
          <w:rFonts w:ascii="宋体" w:hAnsi="宋体" w:eastAsia="宋体"/>
          <w:b w:val="0"/>
          <w:sz w:val="24"/>
        </w:rPr>
        <w:t xml:space="preserve">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r>
        <w:rPr>
          <w:rFonts w:ascii="宋体" w:hAnsi="宋体" w:eastAsia="宋体"/>
          <w:b w:val="0"/>
          <w:sz w:val="24"/>
        </w:rPr>
      </w:r>
      <w:r>
        <w:rPr>
          <w:rFonts w:ascii="宋体" w:hAnsi="宋体" w:eastAsia="宋体"/>
          <w:b/>
          <w:sz w:val="24"/>
        </w:rPr>
        <w:t>政策体系。</w:t>
      </w:r>
      <w:r>
        <w:rPr>
          <w:rFonts w:ascii="宋体" w:hAnsi="宋体" w:eastAsia="宋体"/>
          <w:b w:val="0"/>
          <w:sz w:val="24"/>
        </w:rPr>
        <w:t xml:space="preserve">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r>
        <w:rPr>
          <w:rFonts w:ascii="宋体" w:hAnsi="宋体" w:eastAsia="宋体"/>
          <w:b w:val="0"/>
          <w:sz w:val="24"/>
        </w:rPr>
      </w:r>
      <w:r>
        <w:rPr>
          <w:rFonts w:ascii="宋体" w:hAnsi="宋体" w:eastAsia="宋体"/>
          <w:b/>
          <w:sz w:val="24"/>
        </w:rPr>
        <w:t>组织能力。</w:t>
      </w:r>
      <w:r>
        <w:rPr>
          <w:rFonts w:ascii="宋体" w:hAnsi="宋体" w:eastAsia="宋体"/>
          <w:b w:val="0"/>
          <w:sz w:val="24"/>
        </w:rPr>
        <w:t xml:space="preserve">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r>
        <w:rPr>
          <w:rFonts w:ascii="宋体" w:hAnsi="宋体" w:eastAsia="宋体"/>
          <w:b w:val="0"/>
          <w:sz w:val="24"/>
        </w:rPr>
      </w:r>
      <w:r>
        <w:rPr>
          <w:rFonts w:ascii="宋体" w:hAnsi="宋体" w:eastAsia="宋体"/>
          <w:b/>
          <w:sz w:val="24"/>
        </w:rPr>
        <w:t>授权运营机制。</w:t>
      </w:r>
      <w:r>
        <w:rPr>
          <w:rFonts w:ascii="宋体" w:hAnsi="宋体" w:eastAsia="宋体"/>
          <w:b w:val="0"/>
          <w:sz w:val="24"/>
        </w:rPr>
        <w:t xml:space="preserve">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pStyle w:val="Heading3"/>
      </w:pPr>
      <w:r>
        <w:t>2.4.4 环境层面因素</w:t>
      </w:r>
    </w:p>
    <w:p>
      <w:r>
        <w:rPr>
          <w:rFonts w:ascii="宋体" w:hAnsi="宋体" w:eastAsia="宋体"/>
          <w:b w:val="0"/>
          <w:sz w:val="24"/>
        </w:rPr>
        <w:t>环境层面因素是影响政府数据利用绩效的外部情境条件，主要包括区域经济发展水平、数字经济基础和用户数据素养三个方面。</w:t>
      </w:r>
    </w:p>
    <w:p>
      <w:r>
        <w:rPr>
          <w:rFonts w:ascii="宋体" w:hAnsi="宋体" w:eastAsia="宋体"/>
          <w:b w:val="0"/>
          <w:sz w:val="24"/>
        </w:rPr>
      </w:r>
      <w:r>
        <w:rPr>
          <w:rFonts w:ascii="宋体" w:hAnsi="宋体" w:eastAsia="宋体"/>
          <w:b/>
          <w:sz w:val="24"/>
        </w:rPr>
        <w:t>区域经济发展水平。</w:t>
      </w:r>
      <w:r>
        <w:rPr>
          <w:rFonts w:ascii="宋体" w:hAnsi="宋体" w:eastAsia="宋体"/>
          <w:b w:val="0"/>
          <w:sz w:val="24"/>
        </w:rPr>
        <w:t xml:space="preserve">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r>
        <w:rPr>
          <w:rFonts w:ascii="宋体" w:hAnsi="宋体" w:eastAsia="宋体"/>
          <w:b w:val="0"/>
          <w:sz w:val="24"/>
        </w:rPr>
      </w:r>
      <w:r>
        <w:rPr>
          <w:rFonts w:ascii="宋体" w:hAnsi="宋体" w:eastAsia="宋体"/>
          <w:b/>
          <w:sz w:val="24"/>
        </w:rPr>
        <w:t>数字经济基础。</w:t>
      </w:r>
      <w:r>
        <w:rPr>
          <w:rFonts w:ascii="宋体" w:hAnsi="宋体" w:eastAsia="宋体"/>
          <w:b w:val="0"/>
          <w:sz w:val="24"/>
        </w:rPr>
        <w:t xml:space="preserve">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r>
        <w:rPr>
          <w:rFonts w:ascii="宋体" w:hAnsi="宋体" w:eastAsia="宋体"/>
          <w:b w:val="0"/>
          <w:sz w:val="24"/>
        </w:rPr>
      </w:r>
      <w:r>
        <w:rPr>
          <w:rFonts w:ascii="宋体" w:hAnsi="宋体" w:eastAsia="宋体"/>
          <w:b/>
          <w:sz w:val="24"/>
        </w:rPr>
        <w:t>用户数据素养。</w:t>
      </w:r>
      <w:r>
        <w:rPr>
          <w:rFonts w:ascii="宋体" w:hAnsi="宋体" w:eastAsia="宋体"/>
          <w:b w:val="0"/>
          <w:sz w:val="24"/>
        </w:rPr>
        <w:t xml:space="preserve">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Heading2"/>
      </w:pPr>
      <w:r>
        <w:t>2.5 研究述评与本研究定位</w:t>
      </w:r>
    </w:p>
    <w:p>
      <w:pPr>
        <w:pStyle w:val="Heading3"/>
      </w:pPr>
      <w:r>
        <w:t>2.5.1 现有研究的贡献</w:t>
      </w:r>
    </w:p>
    <w:p>
      <w:r>
        <w:rPr>
          <w:rFonts w:ascii="宋体" w:hAnsi="宋体" w:eastAsia="宋体"/>
          <w:b w:val="0"/>
          <w:sz w:val="24"/>
        </w:rPr>
        <w:t>综合上述文献综述，现有研究在以下方面做出了重要贡献。</w:t>
      </w:r>
    </w:p>
    <w:p>
      <w:r>
        <w:rPr>
          <w:rFonts w:ascii="宋体" w:hAnsi="宋体" w:eastAsia="宋体"/>
          <w:b w:val="0"/>
          <w:sz w:val="24"/>
        </w:rP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r>
        <w:rPr>
          <w:rFonts w:ascii="宋体" w:hAnsi="宋体" w:eastAsia="宋体"/>
          <w:b w:val="0"/>
          <w:sz w:val="24"/>
        </w:rP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r>
        <w:rPr>
          <w:rFonts w:ascii="宋体" w:hAnsi="宋体" w:eastAsia="宋体"/>
          <w:b w:val="0"/>
          <w:sz w:val="24"/>
        </w:rP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r>
        <w:rPr>
          <w:rFonts w:ascii="宋体" w:hAnsi="宋体" w:eastAsia="宋体"/>
          <w:b w:val="0"/>
          <w:sz w:val="24"/>
        </w:rPr>
        <w:t>第四，价值层面，Jetzek等构建的开放数据价值评估框架、Martin等提出的"数据价值光谱"概念，将数据开放的价值从单一的"透明度"叙事拓展到多维价值谱系，为效果导向评估提供了理论参照。</w:t>
      </w:r>
    </w:p>
    <w:p>
      <w:pPr>
        <w:pStyle w:val="Heading3"/>
      </w:pPr>
      <w:r>
        <w:t>2.5.2 现有研究的不足</w:t>
      </w:r>
    </w:p>
    <w:p>
      <w:r>
        <w:rPr>
          <w:rFonts w:ascii="宋体" w:hAnsi="宋体" w:eastAsia="宋体"/>
          <w:b w:val="0"/>
          <w:sz w:val="24"/>
        </w:rPr>
        <w:t>尽管现有研究取得了丰硕成果，但仍存在以下不足，这些不足构成了本研究的创新空间。</w:t>
      </w:r>
    </w:p>
    <w:p>
      <w:r>
        <w:rPr>
          <w:rFonts w:ascii="宋体" w:hAnsi="宋体" w:eastAsia="宋体"/>
          <w:b w:val="0"/>
          <w:sz w:val="24"/>
        </w:rPr>
      </w:r>
      <w:r>
        <w:rPr>
          <w:rFonts w:ascii="宋体" w:hAnsi="宋体" w:eastAsia="宋体"/>
          <w:b/>
          <w:sz w:val="24"/>
        </w:rPr>
        <w:t>不足一：评估范式偏重供给侧，效果导向不足。</w:t>
      </w:r>
      <w:r>
        <w:rPr>
          <w:rFonts w:ascii="宋体" w:hAnsi="宋体" w:eastAsia="宋体"/>
          <w:b w:val="0"/>
          <w:sz w:val="24"/>
        </w:rPr>
        <w:t xml:space="preserve">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r>
        <w:rPr>
          <w:rFonts w:ascii="宋体" w:hAnsi="宋体" w:eastAsia="宋体"/>
          <w:b w:val="0"/>
          <w:sz w:val="24"/>
        </w:rPr>
      </w:r>
      <w:r>
        <w:rPr>
          <w:rFonts w:ascii="宋体" w:hAnsi="宋体" w:eastAsia="宋体"/>
          <w:b/>
          <w:sz w:val="24"/>
        </w:rPr>
        <w:t>不足二：缺乏效率维度，无法识别资源利用优劣。</w:t>
      </w:r>
      <w:r>
        <w:rPr>
          <w:rFonts w:ascii="宋体" w:hAnsi="宋体" w:eastAsia="宋体"/>
          <w:b w:val="0"/>
          <w:sz w:val="24"/>
        </w:rPr>
        <w:t xml:space="preserve"> 现有评估工具只回答"绩效如何"，不回答"效率如何"。两个综合得分相同的平台，其资源投入可能相差数倍，但现有工具无法识别这种差异。这一效率盲区对于资源配置决策至关重要。</w:t>
      </w:r>
    </w:p>
    <w:p>
      <w:r>
        <w:rPr>
          <w:rFonts w:ascii="宋体" w:hAnsi="宋体" w:eastAsia="宋体"/>
          <w:b w:val="0"/>
          <w:sz w:val="24"/>
        </w:rPr>
      </w:r>
      <w:r>
        <w:rPr>
          <w:rFonts w:ascii="宋体" w:hAnsi="宋体" w:eastAsia="宋体"/>
          <w:b/>
          <w:sz w:val="24"/>
        </w:rPr>
        <w:t>不足三：方法单一，无法揭示绩效形成机制。</w:t>
      </w:r>
      <w:r>
        <w:rPr>
          <w:rFonts w:ascii="宋体" w:hAnsi="宋体" w:eastAsia="宋体"/>
          <w:b w:val="0"/>
          <w:sz w:val="24"/>
        </w:rPr>
        <w:t xml:space="preserve">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r>
        <w:rPr>
          <w:rFonts w:ascii="宋体" w:hAnsi="宋体" w:eastAsia="宋体"/>
          <w:b w:val="0"/>
          <w:sz w:val="24"/>
        </w:rPr>
      </w:r>
      <w:r>
        <w:rPr>
          <w:rFonts w:ascii="宋体" w:hAnsi="宋体" w:eastAsia="宋体"/>
          <w:b/>
          <w:sz w:val="24"/>
        </w:rPr>
        <w:t>不足四：忽视"数据口径幻觉"，评估结果可能失真。</w:t>
      </w:r>
      <w:r>
        <w:rPr>
          <w:rFonts w:ascii="宋体" w:hAnsi="宋体" w:eastAsia="宋体"/>
          <w:b w:val="0"/>
          <w:sz w:val="24"/>
        </w:rPr>
        <w:t xml:space="preserve"> 现有评估将"数据目录数量"作为核心指标，但未区分"目录数量"和"有效数据集数量"。在"数量导向"激励下，平台运营者有动力上传空壳数据集、创建虚拟目录，导致评估结果可能存在系统性高估。</w:t>
      </w:r>
    </w:p>
    <w:p>
      <w:r>
        <w:rPr>
          <w:rFonts w:ascii="宋体" w:hAnsi="宋体" w:eastAsia="宋体"/>
          <w:b w:val="0"/>
          <w:sz w:val="24"/>
        </w:rPr>
      </w:r>
      <w:r>
        <w:rPr>
          <w:rFonts w:ascii="宋体" w:hAnsi="宋体" w:eastAsia="宋体"/>
          <w:b/>
          <w:sz w:val="24"/>
        </w:rPr>
        <w:t>不足五：缺乏多方法三角验证，结论稳健性不足。</w:t>
      </w:r>
      <w:r>
        <w:rPr>
          <w:rFonts w:ascii="宋体" w:hAnsi="宋体" w:eastAsia="宋体"/>
          <w:b w:val="0"/>
          <w:sz w:val="24"/>
        </w:rPr>
        <w:t xml:space="preserve"> 现有研究多采用单一方法，缺乏从不同角度分析同一问题的多方法验证。单一方法的结果可能受到方法本身局限性的影响，需要通过多种方法的交叉验证来增强结论的稳健性。</w:t>
      </w:r>
    </w:p>
    <w:p>
      <w:r>
        <w:rPr>
          <w:rFonts w:ascii="宋体" w:hAnsi="宋体" w:eastAsia="宋体"/>
          <w:b w:val="0"/>
          <w:sz w:val="24"/>
        </w:rPr>
      </w:r>
      <w:r>
        <w:rPr>
          <w:rFonts w:ascii="宋体" w:hAnsi="宋体" w:eastAsia="宋体"/>
          <w:b/>
          <w:sz w:val="24"/>
        </w:rPr>
        <w:t>不足六：对策建议"一刀切"，缺乏差异化设计。</w:t>
      </w:r>
      <w:r>
        <w:rPr>
          <w:rFonts w:ascii="宋体" w:hAnsi="宋体" w:eastAsia="宋体"/>
          <w:b w:val="0"/>
          <w:sz w:val="24"/>
        </w:rPr>
        <w:t xml:space="preserve"> 现有研究多采用"加强数据质量管理""完善法规政策"等宏观建议，缺乏针对不同类型平台的差异化策略。不同平台的绩效短板和优化路径可能截然不同，"一刀切"的建议无法提供具体的优化方向。</w:t>
      </w:r>
    </w:p>
    <w:p>
      <w:pPr>
        <w:pStyle w:val="Heading3"/>
      </w:pPr>
      <w:r>
        <w:t>2.5.3 本研究的定位与创新空间</w:t>
      </w:r>
    </w:p>
    <w:p>
      <w:r>
        <w:rPr>
          <w:rFonts w:ascii="宋体" w:hAnsi="宋体" w:eastAsia="宋体"/>
          <w:b w:val="0"/>
          <w:sz w:val="24"/>
        </w:rP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r>
        <w:rPr>
          <w:rFonts w:ascii="宋体" w:hAnsi="宋体" w:eastAsia="宋体"/>
          <w:b w:val="0"/>
          <w:sz w:val="24"/>
        </w:rP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r>
        <w:rPr>
          <w:rFonts w:ascii="宋体" w:hAnsi="宋体" w:eastAsia="宋体"/>
          <w:b w:val="0"/>
          <w:sz w:val="24"/>
        </w:rP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pStyle w:val="Heading1"/>
      </w:pPr>
      <w:r>
        <w:t>第三章 理论基础与分析框架</w:t>
      </w:r>
    </w:p>
    <w:p>
      <w:pPr>
        <w:pStyle w:val="Heading2"/>
      </w:pPr>
      <w:r>
        <w:t>3.1 公共价值理论</w:t>
      </w:r>
    </w:p>
    <w:p>
      <w:pPr>
        <w:pStyle w:val="Heading3"/>
      </w:pPr>
      <w:r>
        <w:t>3.1.1 公共价值的概念与内涵</w:t>
      </w:r>
    </w:p>
    <w:p>
      <w:r>
        <w:rPr>
          <w:rFonts w:ascii="宋体" w:hAnsi="宋体" w:eastAsia="宋体"/>
          <w:b w:val="0"/>
          <w:sz w:val="24"/>
        </w:rP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r>
        <w:rPr>
          <w:rFonts w:ascii="宋体" w:hAnsi="宋体" w:eastAsia="宋体"/>
          <w:b w:val="0"/>
          <w:sz w:val="24"/>
        </w:rP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w:t>
      </w:r>
    </w:p>
    <w:p>
      <w:r>
        <w:rPr>
          <w:rFonts w:ascii="宋体" w:hAnsi="宋体" w:eastAsia="宋体"/>
          <w:b w:val="0"/>
          <w:sz w:val="24"/>
        </w:rP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Heading3"/>
      </w:pPr>
      <w:r>
        <w:t>3.1.2 Mark Moore的公共价值三角框架</w:t>
      </w:r>
    </w:p>
    <w:p>
      <w:r>
        <w:rPr>
          <w:rFonts w:ascii="宋体" w:hAnsi="宋体" w:eastAsia="宋体"/>
          <w:b w:val="0"/>
          <w:sz w:val="24"/>
        </w:rPr>
        <w:t>Mark Moore提出的"公共价值三角"（Public Value Triangle）是公共价值理论的核心分析工具，将公共价值创造分解为三个相互关联的维度：战略目标（Strategic Goals）、授权环境（Legitimacy and Support）和运作能力（Operational Capacity）。</w:t>
      </w:r>
    </w:p>
    <w:p>
      <w:r>
        <w:rPr>
          <w:rFonts w:ascii="宋体" w:hAnsi="宋体" w:eastAsia="宋体"/>
          <w:b w:val="0"/>
          <w:sz w:val="24"/>
        </w:rPr>
      </w:r>
      <w:r>
        <w:rPr>
          <w:rFonts w:ascii="宋体" w:hAnsi="宋体" w:eastAsia="宋体"/>
          <w:b/>
          <w:sz w:val="24"/>
        </w:rPr>
        <w:t>战略目标</w:t>
      </w:r>
      <w:r>
        <w:rPr>
          <w:rFonts w:ascii="宋体" w:hAnsi="宋体" w:eastAsia="宋体"/>
          <w:b w:val="0"/>
          <w:sz w:val="24"/>
        </w:rPr>
        <w:t>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r>
        <w:rPr>
          <w:rFonts w:ascii="宋体" w:hAnsi="宋体" w:eastAsia="宋体"/>
          <w:b w:val="0"/>
          <w:sz w:val="24"/>
        </w:rPr>
      </w:r>
      <w:r>
        <w:rPr>
          <w:rFonts w:ascii="宋体" w:hAnsi="宋体" w:eastAsia="宋体"/>
          <w:b/>
          <w:sz w:val="24"/>
        </w:rPr>
        <w:t>授权环境</w:t>
      </w:r>
      <w:r>
        <w:rPr>
          <w:rFonts w:ascii="宋体" w:hAnsi="宋体" w:eastAsia="宋体"/>
          <w:b w:val="0"/>
          <w:sz w:val="24"/>
        </w:rPr>
        <w:t>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r>
        <w:rPr>
          <w:rFonts w:ascii="宋体" w:hAnsi="宋体" w:eastAsia="宋体"/>
          <w:b w:val="0"/>
          <w:sz w:val="24"/>
        </w:rPr>
      </w:r>
      <w:r>
        <w:rPr>
          <w:rFonts w:ascii="宋体" w:hAnsi="宋体" w:eastAsia="宋体"/>
          <w:b/>
          <w:sz w:val="24"/>
        </w:rPr>
        <w:t>运作能力</w:t>
      </w:r>
      <w:r>
        <w:rPr>
          <w:rFonts w:ascii="宋体" w:hAnsi="宋体" w:eastAsia="宋体"/>
          <w:b w:val="0"/>
          <w:sz w:val="24"/>
        </w:rPr>
        <w:t>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r>
        <w:rPr>
          <w:rFonts w:ascii="宋体" w:hAnsi="宋体" w:eastAsia="宋体"/>
          <w:b w:val="0"/>
          <w:sz w:val="24"/>
        </w:rPr>
        <w:t>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p>
      <w:pPr>
        <w:pStyle w:val="Heading3"/>
      </w:pPr>
      <w:r>
        <w:t>3.1.3 公共价值理论在政府数据开放中的应用</w:t>
      </w:r>
    </w:p>
    <w:p>
      <w:r>
        <w:rPr>
          <w:rFonts w:ascii="宋体" w:hAnsi="宋体" w:eastAsia="宋体"/>
          <w:b w:val="0"/>
          <w:sz w:val="24"/>
        </w:rPr>
        <w:t>将公共价值三角框架应用于政府数据开放领域，可以构建如下的理论映射关系。</w:t>
      </w:r>
    </w:p>
    <w:p>
      <w:r>
        <w:rPr>
          <w:rFonts w:ascii="宋体" w:hAnsi="宋体" w:eastAsia="宋体"/>
          <w:b w:val="0"/>
          <w:sz w:val="24"/>
        </w:rPr>
      </w:r>
      <w:r>
        <w:rPr>
          <w:rFonts w:ascii="宋体" w:hAnsi="宋体" w:eastAsia="宋体"/>
          <w:b/>
          <w:sz w:val="24"/>
        </w:rPr>
        <w:t>战略目标 ↔ 利用效果维度。</w:t>
      </w:r>
      <w:r>
        <w:rPr>
          <w:rFonts w:ascii="宋体" w:hAnsi="宋体" w:eastAsia="宋体"/>
          <w:b w:val="0"/>
          <w:sz w:val="24"/>
        </w:rPr>
        <w:t xml:space="preserve">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r>
        <w:rPr>
          <w:rFonts w:ascii="宋体" w:hAnsi="宋体" w:eastAsia="宋体"/>
          <w:b w:val="0"/>
          <w:sz w:val="24"/>
        </w:rPr>
      </w:r>
      <w:r>
        <w:rPr>
          <w:rFonts w:ascii="宋体" w:hAnsi="宋体" w:eastAsia="宋体"/>
          <w:b/>
          <w:sz w:val="24"/>
        </w:rPr>
        <w:t>授权环境 ↔ 供给保障维度。</w:t>
      </w:r>
      <w:r>
        <w:rPr>
          <w:rFonts w:ascii="宋体" w:hAnsi="宋体" w:eastAsia="宋体"/>
          <w:b w:val="0"/>
          <w:sz w:val="24"/>
        </w:rPr>
        <w:t xml:space="preserve">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r>
        <w:rPr>
          <w:rFonts w:ascii="宋体" w:hAnsi="宋体" w:eastAsia="宋体"/>
          <w:b w:val="0"/>
          <w:sz w:val="24"/>
        </w:rPr>
      </w:r>
      <w:r>
        <w:rPr>
          <w:rFonts w:ascii="宋体" w:hAnsi="宋体" w:eastAsia="宋体"/>
          <w:b/>
          <w:sz w:val="24"/>
        </w:rPr>
        <w:t>运作能力 ↔ 平台服务+数据质量维度。</w:t>
      </w:r>
      <w:r>
        <w:rPr>
          <w:rFonts w:ascii="宋体" w:hAnsi="宋体" w:eastAsia="宋体"/>
          <w:b w:val="0"/>
          <w:sz w:val="24"/>
        </w:rPr>
        <w:t xml:space="preserve">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r>
        <w:rPr>
          <w:rFonts w:ascii="宋体" w:hAnsi="宋体" w:eastAsia="宋体"/>
          <w:b w:val="0"/>
          <w:sz w:val="24"/>
        </w:rP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Heading2"/>
      </w:pPr>
      <w:r>
        <w:t>3.2 数据要素价值化理论</w:t>
      </w:r>
    </w:p>
    <w:p>
      <w:pPr>
        <w:pStyle w:val="Heading3"/>
      </w:pPr>
      <w:r>
        <w:t>3.2.1 数据作为生产要素的理论基础</w:t>
      </w:r>
    </w:p>
    <w:p>
      <w:r>
        <w:rPr>
          <w:rFonts w:ascii="宋体" w:hAnsi="宋体" w:eastAsia="宋体"/>
          <w:b w:val="0"/>
          <w:sz w:val="24"/>
        </w:rP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r>
        <w:rPr>
          <w:rFonts w:ascii="宋体" w:hAnsi="宋体" w:eastAsia="宋体"/>
          <w:b w:val="0"/>
          <w:sz w:val="24"/>
        </w:rP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r>
        <w:rPr>
          <w:rFonts w:ascii="宋体" w:hAnsi="宋体" w:eastAsia="宋体"/>
          <w:b w:val="0"/>
          <w:sz w:val="24"/>
        </w:rP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Heading3"/>
      </w:pPr>
      <w:r>
        <w:t>3.2.2 数据要素化的价值链模型</w:t>
      </w:r>
    </w:p>
    <w:p>
      <w:r>
        <w:rPr>
          <w:rFonts w:ascii="宋体" w:hAnsi="宋体" w:eastAsia="宋体"/>
          <w:b w:val="0"/>
          <w:sz w:val="24"/>
        </w:rPr>
        <w:t>数据要素价值化的过程可以抽象为一个价值链模型，包括数据资源化、数据资产化、数据资本化三个递进阶段。</w:t>
      </w:r>
    </w:p>
    <w:p>
      <w:r>
        <w:rPr>
          <w:rFonts w:ascii="宋体" w:hAnsi="宋体" w:eastAsia="宋体"/>
          <w:b w:val="0"/>
          <w:sz w:val="24"/>
        </w:rPr>
      </w:r>
      <w:r>
        <w:rPr>
          <w:rFonts w:ascii="宋体" w:hAnsi="宋体" w:eastAsia="宋体"/>
          <w:b/>
          <w:sz w:val="24"/>
        </w:rPr>
        <w:t>数据资源化</w:t>
      </w:r>
      <w:r>
        <w:rPr>
          <w:rFonts w:ascii="宋体" w:hAnsi="宋体" w:eastAsia="宋体"/>
          <w:b w:val="0"/>
          <w:sz w:val="24"/>
        </w:rPr>
        <w:t>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r>
        <w:rPr>
          <w:rFonts w:ascii="宋体" w:hAnsi="宋体" w:eastAsia="宋体"/>
          <w:b w:val="0"/>
          <w:sz w:val="24"/>
        </w:rPr>
      </w:r>
      <w:r>
        <w:rPr>
          <w:rFonts w:ascii="宋体" w:hAnsi="宋体" w:eastAsia="宋体"/>
          <w:b/>
          <w:sz w:val="24"/>
        </w:rPr>
        <w:t>数据资产化</w:t>
      </w:r>
      <w:r>
        <w:rPr>
          <w:rFonts w:ascii="宋体" w:hAnsi="宋体" w:eastAsia="宋体"/>
          <w:b w:val="0"/>
          <w:sz w:val="24"/>
        </w:rPr>
        <w:t>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r>
        <w:rPr>
          <w:rFonts w:ascii="宋体" w:hAnsi="宋体" w:eastAsia="宋体"/>
          <w:b w:val="0"/>
          <w:sz w:val="24"/>
        </w:rPr>
      </w:r>
      <w:r>
        <w:rPr>
          <w:rFonts w:ascii="宋体" w:hAnsi="宋体" w:eastAsia="宋体"/>
          <w:b/>
          <w:sz w:val="24"/>
        </w:rPr>
        <w:t>数据资本化</w:t>
      </w:r>
      <w:r>
        <w:rPr>
          <w:rFonts w:ascii="宋体" w:hAnsi="宋体" w:eastAsia="宋体"/>
          <w:b w:val="0"/>
          <w:sz w:val="24"/>
        </w:rPr>
        <w:t>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r>
        <w:rPr>
          <w:rFonts w:ascii="宋体" w:hAnsi="宋体" w:eastAsia="宋体"/>
          <w:b w:val="0"/>
          <w:sz w:val="24"/>
        </w:rPr>
        <w:t>上述价值链模型揭示了政府数据开放绩效的本质：绩效不是单一节点的表现，而是全链条的效能。一个平台可能在数据资源化阶段表现优异（数据集数量多），但在数据资产化阶段表现薄弱（格式不标准、API不可用），最终在数据资本化阶段表现失败（应用数量少、价值创造低）。因此，绩效评估必须覆盖价值链的全链条，而非仅关注某一节点。</w:t>
      </w:r>
    </w:p>
    <w:p>
      <w:pPr>
        <w:pStyle w:val="Heading3"/>
      </w:pPr>
      <w:r>
        <w:t>3.2.3 数据价值实现的障碍与路径</w:t>
      </w:r>
    </w:p>
    <w:p>
      <w:r>
        <w:rPr>
          <w:rFonts w:ascii="宋体" w:hAnsi="宋体" w:eastAsia="宋体"/>
          <w:b w:val="0"/>
          <w:sz w:val="24"/>
        </w:rPr>
        <w:t>数据要素价值化的过程并非一帆风顺，存在多重障碍制约着数据价值的实现。</w:t>
      </w:r>
    </w:p>
    <w:p>
      <w:r>
        <w:rPr>
          <w:rFonts w:ascii="宋体" w:hAnsi="宋体" w:eastAsia="宋体"/>
          <w:b w:val="0"/>
          <w:sz w:val="24"/>
        </w:rPr>
      </w:r>
      <w:r>
        <w:rPr>
          <w:rFonts w:ascii="宋体" w:hAnsi="宋体" w:eastAsia="宋体"/>
          <w:b/>
          <w:sz w:val="24"/>
        </w:rPr>
        <w:t>障碍一：数据质量瓶颈。</w:t>
      </w:r>
      <w:r>
        <w:rPr>
          <w:rFonts w:ascii="宋体" w:hAnsi="宋体" w:eastAsia="宋体"/>
          <w:b w:val="0"/>
          <w:sz w:val="24"/>
        </w:rPr>
        <w:t xml:space="preserve">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r>
        <w:rPr>
          <w:rFonts w:ascii="宋体" w:hAnsi="宋体" w:eastAsia="宋体"/>
          <w:b w:val="0"/>
          <w:sz w:val="24"/>
        </w:rPr>
      </w:r>
      <w:r>
        <w:rPr>
          <w:rFonts w:ascii="宋体" w:hAnsi="宋体" w:eastAsia="宋体"/>
          <w:b/>
          <w:sz w:val="24"/>
        </w:rPr>
        <w:t>障碍二：平台服务短板。</w:t>
      </w:r>
      <w:r>
        <w:rPr>
          <w:rFonts w:ascii="宋体" w:hAnsi="宋体" w:eastAsia="宋体"/>
          <w:b w:val="0"/>
          <w:sz w:val="24"/>
        </w:rPr>
        <w:t xml:space="preserve">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r>
        <w:rPr>
          <w:rFonts w:ascii="宋体" w:hAnsi="宋体" w:eastAsia="宋体"/>
          <w:b w:val="0"/>
          <w:sz w:val="24"/>
        </w:rPr>
      </w:r>
      <w:r>
        <w:rPr>
          <w:rFonts w:ascii="宋体" w:hAnsi="宋体" w:eastAsia="宋体"/>
          <w:b/>
          <w:sz w:val="24"/>
        </w:rPr>
        <w:t>障碍三：利用生态薄弱。</w:t>
      </w:r>
      <w:r>
        <w:rPr>
          <w:rFonts w:ascii="宋体" w:hAnsi="宋体" w:eastAsia="宋体"/>
          <w:b w:val="0"/>
          <w:sz w:val="24"/>
        </w:rPr>
        <w:t xml:space="preserve">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r>
        <w:rPr>
          <w:rFonts w:ascii="宋体" w:hAnsi="宋体" w:eastAsia="宋体"/>
          <w:b w:val="0"/>
          <w:sz w:val="24"/>
        </w:rPr>
      </w:r>
      <w:r>
        <w:rPr>
          <w:rFonts w:ascii="宋体" w:hAnsi="宋体" w:eastAsia="宋体"/>
          <w:b/>
          <w:sz w:val="24"/>
        </w:rPr>
        <w:t>障碍四：制度保障缺失。</w:t>
      </w:r>
      <w:r>
        <w:rPr>
          <w:rFonts w:ascii="宋体" w:hAnsi="宋体" w:eastAsia="宋体"/>
          <w:b w:val="0"/>
          <w:sz w:val="24"/>
        </w:rPr>
        <w:t xml:space="preserve">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r>
        <w:rPr>
          <w:rFonts w:ascii="宋体" w:hAnsi="宋体" w:eastAsia="宋体"/>
          <w:b w:val="0"/>
          <w:sz w:val="24"/>
        </w:rP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pStyle w:val="Heading2"/>
      </w:pPr>
      <w:r>
        <w:t>3.3 4E评估框架的构建与适配</w:t>
      </w:r>
    </w:p>
    <w:p>
      <w:pPr>
        <w:pStyle w:val="Heading3"/>
      </w:pPr>
      <w:r>
        <w:t>3.3.1 4E框架的起源与内涵</w:t>
      </w:r>
    </w:p>
    <w:p>
      <w:r>
        <w:rPr>
          <w:rFonts w:ascii="宋体" w:hAnsi="宋体" w:eastAsia="宋体"/>
          <w:b w:val="0"/>
          <w:sz w:val="24"/>
        </w:rP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r>
        <w:rPr>
          <w:rFonts w:ascii="宋体" w:hAnsi="宋体" w:eastAsia="宋体"/>
          <w:b w:val="0"/>
          <w:sz w:val="24"/>
        </w:rPr>
      </w:r>
      <w:r>
        <w:rPr>
          <w:rFonts w:ascii="宋体" w:hAnsi="宋体" w:eastAsia="宋体"/>
          <w:b/>
          <w:sz w:val="24"/>
        </w:rPr>
        <w:t>经济性（Economy）</w:t>
      </w:r>
      <w:r>
        <w:rPr>
          <w:rFonts w:ascii="宋体" w:hAnsi="宋体" w:eastAsia="宋体"/>
          <w:b w:val="0"/>
          <w:sz w:val="24"/>
        </w:rPr>
        <w:t>衡量资源获取的成本效益——是否以最低的成本获取了所需的资源？在公共财政审计中，经济性关注采购价格是否合理、资源使用是否节约。经济性评估的核心问题是"钱花得值不值"。</w:t>
      </w:r>
    </w:p>
    <w:p>
      <w:r>
        <w:rPr>
          <w:rFonts w:ascii="宋体" w:hAnsi="宋体" w:eastAsia="宋体"/>
          <w:b w:val="0"/>
          <w:sz w:val="24"/>
        </w:rPr>
      </w:r>
      <w:r>
        <w:rPr>
          <w:rFonts w:ascii="宋体" w:hAnsi="宋体" w:eastAsia="宋体"/>
          <w:b/>
          <w:sz w:val="24"/>
        </w:rPr>
        <w:t>效率性（Efficiency）</w:t>
      </w:r>
      <w:r>
        <w:rPr>
          <w:rFonts w:ascii="宋体" w:hAnsi="宋体" w:eastAsia="宋体"/>
          <w:b w:val="0"/>
          <w:sz w:val="24"/>
        </w:rPr>
        <w:t>衡量投入产出比——是否以最优的投入获得了最大的产出？效率性关注资源转化过程的优化程度，包括生产效率、管理效率、服务效率等。效率性评估的核心问题是"投入产出比高不高"。</w:t>
      </w:r>
    </w:p>
    <w:p>
      <w:r>
        <w:rPr>
          <w:rFonts w:ascii="宋体" w:hAnsi="宋体" w:eastAsia="宋体"/>
          <w:b w:val="0"/>
          <w:sz w:val="24"/>
        </w:rPr>
      </w:r>
      <w:r>
        <w:rPr>
          <w:rFonts w:ascii="宋体" w:hAnsi="宋体" w:eastAsia="宋体"/>
          <w:b/>
          <w:sz w:val="24"/>
        </w:rPr>
        <w:t>有效性（Effectiveness）</w:t>
      </w:r>
      <w:r>
        <w:rPr>
          <w:rFonts w:ascii="宋体" w:hAnsi="宋体" w:eastAsia="宋体"/>
          <w:b w:val="0"/>
          <w:sz w:val="24"/>
        </w:rPr>
        <w:t>衡量目标达成度——是否达成了预定的目标？有效性关注产出与目标之间的对应关系，不仅关注"做了什么"，更关注"做得如何"。有效性评估的核心问题是"目标达成了没有"。</w:t>
      </w:r>
    </w:p>
    <w:p>
      <w:r>
        <w:rPr>
          <w:rFonts w:ascii="宋体" w:hAnsi="宋体" w:eastAsia="宋体"/>
          <w:b w:val="0"/>
          <w:sz w:val="24"/>
        </w:rPr>
      </w:r>
      <w:r>
        <w:rPr>
          <w:rFonts w:ascii="宋体" w:hAnsi="宋体" w:eastAsia="宋体"/>
          <w:b/>
          <w:sz w:val="24"/>
        </w:rPr>
        <w:t>公平性（Equity）</w:t>
      </w:r>
      <w:r>
        <w:rPr>
          <w:rFonts w:ascii="宋体" w:hAnsi="宋体" w:eastAsia="宋体"/>
          <w:b w:val="0"/>
          <w:sz w:val="24"/>
        </w:rPr>
        <w:t>衡量资源分配的社会正义——公共服务的收益是否在社会成员之间公平分配？公平性关注公共服务的覆盖范围、可及性和包容性，强调"不让一个人掉队"。公平性评估的核心问题是"分配公不公平"。</w:t>
      </w:r>
    </w:p>
    <w:p>
      <w:r>
        <w:rPr>
          <w:rFonts w:ascii="宋体" w:hAnsi="宋体" w:eastAsia="宋体"/>
          <w:b w:val="0"/>
          <w:sz w:val="24"/>
        </w:rP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Heading3"/>
      </w:pPr>
      <w:r>
        <w:t>3.3.2 4E框架在政府数据开放领域的概念重构</w:t>
      </w:r>
    </w:p>
    <w:p>
      <w:r>
        <w:rPr>
          <w:rFonts w:ascii="宋体" w:hAnsi="宋体" w:eastAsia="宋体"/>
          <w:b w:val="0"/>
          <w:sz w:val="24"/>
        </w:rPr>
        <w:t>将4E框架应用于政府数据开放领域，需要进行概念适配和语境转化。本研究对4E维度进行了如下概念重构。</w:t>
      </w:r>
    </w:p>
    <w:p>
      <w:r>
        <w:rPr>
          <w:rFonts w:ascii="宋体" w:hAnsi="宋体" w:eastAsia="宋体"/>
          <w:b w:val="0"/>
          <w:sz w:val="24"/>
        </w:rPr>
      </w:r>
      <w:r>
        <w:rPr>
          <w:rFonts w:ascii="宋体" w:hAnsi="宋体" w:eastAsia="宋体"/>
          <w:b/>
          <w:sz w:val="24"/>
        </w:rPr>
        <w:t>供给保障（Supply Security）← 经济性（Economy）。</w:t>
      </w:r>
      <w:r>
        <w:rPr>
          <w:rFonts w:ascii="宋体" w:hAnsi="宋体" w:eastAsia="宋体"/>
          <w:b w:val="0"/>
          <w:sz w:val="24"/>
        </w:rPr>
        <w:t xml:space="preserve">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r>
        <w:rPr>
          <w:rFonts w:ascii="宋体" w:hAnsi="宋体" w:eastAsia="宋体"/>
          <w:b w:val="0"/>
          <w:sz w:val="24"/>
        </w:rPr>
      </w:r>
      <w:r>
        <w:rPr>
          <w:rFonts w:ascii="宋体" w:hAnsi="宋体" w:eastAsia="宋体"/>
          <w:b/>
          <w:sz w:val="24"/>
        </w:rPr>
        <w:t>平台服务（Platform Service）← 效率性（Efficiency）。</w:t>
      </w:r>
      <w:r>
        <w:rPr>
          <w:rFonts w:ascii="宋体" w:hAnsi="宋体" w:eastAsia="宋体"/>
          <w:b w:val="0"/>
          <w:sz w:val="24"/>
        </w:rPr>
        <w:t xml:space="preserve">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r>
        <w:rPr>
          <w:rFonts w:ascii="宋体" w:hAnsi="宋体" w:eastAsia="宋体"/>
          <w:b w:val="0"/>
          <w:sz w:val="24"/>
        </w:rPr>
      </w:r>
      <w:r>
        <w:rPr>
          <w:rFonts w:ascii="宋体" w:hAnsi="宋体" w:eastAsia="宋体"/>
          <w:b/>
          <w:sz w:val="24"/>
        </w:rPr>
        <w:t>数据质量（Data Quality）← 质量性（Quality，4E扩展）。</w:t>
      </w:r>
      <w:r>
        <w:rPr>
          <w:rFonts w:ascii="宋体" w:hAnsi="宋体" w:eastAsia="宋体"/>
          <w:b w:val="0"/>
          <w:sz w:val="24"/>
        </w:rPr>
        <w:t xml:space="preserve">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r>
        <w:rPr>
          <w:rFonts w:ascii="宋体" w:hAnsi="宋体" w:eastAsia="宋体"/>
          <w:b w:val="0"/>
          <w:sz w:val="24"/>
        </w:rP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r>
        <w:rPr>
          <w:rFonts w:ascii="宋体" w:hAnsi="宋体" w:eastAsia="宋体"/>
          <w:b w:val="0"/>
          <w:sz w:val="24"/>
        </w:rPr>
      </w:r>
      <w:r>
        <w:rPr>
          <w:rFonts w:ascii="宋体" w:hAnsi="宋体" w:eastAsia="宋体"/>
          <w:b/>
          <w:sz w:val="24"/>
        </w:rPr>
        <w:t>利用效果（Utilization Effect）← 有效性（Effectiveness）。</w:t>
      </w:r>
      <w:r>
        <w:rPr>
          <w:rFonts w:ascii="宋体" w:hAnsi="宋体" w:eastAsia="宋体"/>
          <w:b w:val="0"/>
          <w:sz w:val="24"/>
        </w:rPr>
        <w:t xml:space="preserve">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r>
        <w:rPr>
          <w:rFonts w:ascii="宋体" w:hAnsi="宋体" w:eastAsia="宋体"/>
          <w:b w:val="0"/>
          <w:sz w:val="24"/>
        </w:rPr>
      </w:r>
      <w:r>
        <w:rPr>
          <w:rFonts w:ascii="宋体" w:hAnsi="宋体" w:eastAsia="宋体"/>
          <w:b/>
          <w:sz w:val="24"/>
        </w:rPr>
        <w:t>公平性（Equity）← 公平性（Equity）。</w:t>
      </w:r>
      <w:r>
        <w:rPr>
          <w:rFonts w:ascii="宋体" w:hAnsi="宋体" w:eastAsia="宋体"/>
          <w:b w:val="0"/>
          <w:sz w:val="24"/>
        </w:rPr>
        <w:t xml:space="preserve">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pStyle w:val="Heading3"/>
      </w:pPr>
      <w:r>
        <w:t>3.3.3 4E框架与公共价值理论的整合</w:t>
      </w:r>
    </w:p>
    <w:p>
      <w:r>
        <w:rPr>
          <w:rFonts w:ascii="宋体" w:hAnsi="宋体" w:eastAsia="宋体"/>
          <w:b w:val="0"/>
          <w:sz w:val="24"/>
        </w:rPr>
        <w:t>4E评估框架与公共价值三角框架之间存在紧密的理论对应关系，二者的整合为本研究提供了坚实的理论基础。</w:t>
      </w:r>
    </w:p>
    <w:p>
      <w:r>
        <w:rPr>
          <w:rFonts w:ascii="宋体" w:hAnsi="宋体" w:eastAsia="宋体"/>
          <w:b w:val="0"/>
          <w:sz w:val="24"/>
        </w:rPr>
      </w:r>
      <w:r>
        <w:rPr>
          <w:rFonts w:ascii="宋体" w:hAnsi="宋体" w:eastAsia="宋体"/>
          <w:b/>
          <w:sz w:val="24"/>
        </w:rPr>
        <w:t>战略目标 ↔ 利用效果+公平性。</w:t>
      </w:r>
      <w:r>
        <w:rPr>
          <w:rFonts w:ascii="宋体" w:hAnsi="宋体" w:eastAsia="宋体"/>
          <w:b w:val="0"/>
          <w:sz w:val="24"/>
        </w:rPr>
        <w:t xml:space="preserve">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r>
        <w:rPr>
          <w:rFonts w:ascii="宋体" w:hAnsi="宋体" w:eastAsia="宋体"/>
          <w:b w:val="0"/>
          <w:sz w:val="24"/>
        </w:rPr>
      </w:r>
      <w:r>
        <w:rPr>
          <w:rFonts w:ascii="宋体" w:hAnsi="宋体" w:eastAsia="宋体"/>
          <w:b/>
          <w:sz w:val="24"/>
        </w:rPr>
        <w:t>授权环境 ↔ 供给保障。</w:t>
      </w:r>
      <w:r>
        <w:rPr>
          <w:rFonts w:ascii="宋体" w:hAnsi="宋体" w:eastAsia="宋体"/>
          <w:b w:val="0"/>
          <w:sz w:val="24"/>
        </w:rPr>
        <w:t xml:space="preserve">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r>
        <w:rPr>
          <w:rFonts w:ascii="宋体" w:hAnsi="宋体" w:eastAsia="宋体"/>
          <w:b w:val="0"/>
          <w:sz w:val="24"/>
        </w:rPr>
      </w:r>
      <w:r>
        <w:rPr>
          <w:rFonts w:ascii="宋体" w:hAnsi="宋体" w:eastAsia="宋体"/>
          <w:b/>
          <w:sz w:val="24"/>
        </w:rPr>
        <w:t>运作能力 ↔ 平台服务+数据质量。</w:t>
      </w:r>
      <w:r>
        <w:rPr>
          <w:rFonts w:ascii="宋体" w:hAnsi="宋体" w:eastAsia="宋体"/>
          <w:b w:val="0"/>
          <w:sz w:val="24"/>
        </w:rPr>
        <w:t xml:space="preserve">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r>
        <w:rPr>
          <w:rFonts w:ascii="宋体" w:hAnsi="宋体" w:eastAsia="宋体"/>
          <w:b w:val="0"/>
          <w:sz w:val="24"/>
        </w:rP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pStyle w:val="Heading2"/>
      </w:pPr>
      <w:r>
        <w:t>3.4 TOE影响因素框架</w:t>
      </w:r>
    </w:p>
    <w:p>
      <w:pPr>
        <w:pStyle w:val="Heading3"/>
      </w:pPr>
      <w:r>
        <w:t>3.4.1 TOE框架的理论基础</w:t>
      </w:r>
    </w:p>
    <w:p>
      <w:r>
        <w:rPr>
          <w:rFonts w:ascii="宋体" w:hAnsi="宋体" w:eastAsia="宋体"/>
          <w:b w:val="0"/>
          <w:sz w:val="24"/>
        </w:rP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r>
        <w:rPr>
          <w:rFonts w:ascii="宋体" w:hAnsi="宋体" w:eastAsia="宋体"/>
          <w:b w:val="0"/>
          <w:sz w:val="24"/>
        </w:rP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r>
        <w:rPr>
          <w:rFonts w:ascii="宋体" w:hAnsi="宋体" w:eastAsia="宋体"/>
          <w:b w:val="0"/>
          <w:sz w:val="24"/>
        </w:rP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Heading3"/>
      </w:pPr>
      <w:r>
        <w:t>3.4.2 TOE框架在数据开放领域的适用性</w:t>
      </w:r>
    </w:p>
    <w:p>
      <w:r>
        <w:rPr>
          <w:rFonts w:ascii="宋体" w:hAnsi="宋体" w:eastAsia="宋体"/>
          <w:b w:val="0"/>
          <w:sz w:val="24"/>
        </w:rPr>
        <w:t>TOE框架在政府数据开放领域具有良好的适用性，原因如下。</w:t>
      </w:r>
    </w:p>
    <w:p>
      <w:r>
        <w:rPr>
          <w:rFonts w:ascii="宋体" w:hAnsi="宋体" w:eastAsia="宋体"/>
          <w:b w:val="0"/>
          <w:sz w:val="24"/>
        </w:rPr>
        <w:t>第一，政府数据开放平台是一个典型的技术创新应用——它涉及大数据技术、云计算技术、API技术、数据可视化技术等多种技术的综合应用。平台的技术架构、功能设计、数据处理能力等都属于TOE框架的"技术层面"因素。</w:t>
      </w:r>
    </w:p>
    <w:p>
      <w:r>
        <w:rPr>
          <w:rFonts w:ascii="宋体" w:hAnsi="宋体" w:eastAsia="宋体"/>
          <w:b w:val="0"/>
          <w:sz w:val="24"/>
        </w:rP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r>
        <w:rPr>
          <w:rFonts w:ascii="宋体" w:hAnsi="宋体" w:eastAsia="宋体"/>
          <w:b w:val="0"/>
          <w:sz w:val="24"/>
        </w:rP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r>
        <w:rPr>
          <w:rFonts w:ascii="宋体" w:hAnsi="宋体" w:eastAsia="宋体"/>
          <w:b w:val="0"/>
          <w:sz w:val="24"/>
        </w:rP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pStyle w:val="Heading3"/>
      </w:pPr>
      <w:r>
        <w:t>3.4.3 技术-组织-环境三维度因素识别</w:t>
      </w:r>
    </w:p>
    <w:p>
      <w:r>
        <w:rPr>
          <w:rFonts w:ascii="宋体" w:hAnsi="宋体" w:eastAsia="宋体"/>
          <w:b w:val="0"/>
          <w:sz w:val="24"/>
        </w:rPr>
        <w:t>基于TOE框架和现有文献，本研究识别了以下影响因素。</w:t>
      </w:r>
    </w:p>
    <w:p>
      <w:r>
        <w:rPr>
          <w:rFonts w:ascii="宋体" w:hAnsi="宋体" w:eastAsia="宋体"/>
          <w:b w:val="0"/>
          <w:sz w:val="24"/>
        </w:rPr>
      </w:r>
      <w:r>
        <w:rPr>
          <w:rFonts w:ascii="宋体" w:hAnsi="宋体" w:eastAsia="宋体"/>
          <w:b/>
          <w:sz w:val="24"/>
        </w:rPr>
        <w:t>技术层面因素。</w:t>
      </w:r>
      <w:r>
        <w:rPr>
          <w:rFonts w:ascii="宋体" w:hAnsi="宋体" w:eastAsia="宋体"/>
          <w:b w:val="0"/>
          <w:sz w:val="24"/>
        </w:rPr>
        <w:t xml:space="preserve">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r>
        <w:rPr>
          <w:rFonts w:ascii="宋体" w:hAnsi="宋体" w:eastAsia="宋体"/>
          <w:b w:val="0"/>
          <w:sz w:val="24"/>
        </w:rPr>
      </w:r>
      <w:r>
        <w:rPr>
          <w:rFonts w:ascii="宋体" w:hAnsi="宋体" w:eastAsia="宋体"/>
          <w:b/>
          <w:sz w:val="24"/>
        </w:rPr>
        <w:t>组织层面因素。</w:t>
      </w:r>
      <w:r>
        <w:rPr>
          <w:rFonts w:ascii="宋体" w:hAnsi="宋体" w:eastAsia="宋体"/>
          <w:b w:val="0"/>
          <w:sz w:val="24"/>
        </w:rPr>
        <w:t xml:space="preserve">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r>
        <w:rPr>
          <w:rFonts w:ascii="宋体" w:hAnsi="宋体" w:eastAsia="宋体"/>
          <w:b w:val="0"/>
          <w:sz w:val="24"/>
        </w:rPr>
      </w:r>
      <w:r>
        <w:rPr>
          <w:rFonts w:ascii="宋体" w:hAnsi="宋体" w:eastAsia="宋体"/>
          <w:b/>
          <w:sz w:val="24"/>
        </w:rPr>
        <w:t>环境层面因素。</w:t>
      </w:r>
      <w:r>
        <w:rPr>
          <w:rFonts w:ascii="宋体" w:hAnsi="宋体" w:eastAsia="宋体"/>
          <w:b w:val="0"/>
          <w:sz w:val="24"/>
        </w:rPr>
        <w:t xml:space="preserve">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Heading3"/>
      </w:pPr>
      <w:r>
        <w:t>3.4.4 理论框架的整合逻辑</w:t>
      </w:r>
    </w:p>
    <w:p>
      <w:r>
        <w:rPr>
          <w:rFonts w:ascii="宋体" w:hAnsi="宋体" w:eastAsia="宋体"/>
          <w:b w:val="0"/>
          <w:sz w:val="24"/>
        </w:rPr>
        <w:t>本研究将四个理论整合为"效果导向"的评估理论框架，整合逻辑如下：</w:t>
      </w:r>
    </w:p>
    <w:p>
      <w:r>
        <w:rPr>
          <w:rFonts w:ascii="宋体" w:hAnsi="宋体" w:eastAsia="宋体"/>
          <w:b w:val="0"/>
          <w:sz w:val="24"/>
        </w:rPr>
      </w:r>
      <w:r>
        <w:rPr>
          <w:rFonts w:ascii="宋体" w:hAnsi="宋体" w:eastAsia="宋体"/>
          <w:b/>
          <w:sz w:val="24"/>
        </w:rPr>
        <w:t>公共价值理论提供价值目标</w:t>
      </w:r>
      <w:r>
        <w:rPr>
          <w:rFonts w:ascii="宋体" w:hAnsi="宋体" w:eastAsia="宋体"/>
          <w:b w:val="0"/>
          <w:sz w:val="24"/>
        </w:rPr>
        <w:t>——回答"为什么评估"：政府数据开放的根本目的是创造公共价值（透明性、参与性、效率性、公平性）。</w:t>
      </w:r>
    </w:p>
    <w:p>
      <w:r>
        <w:rPr>
          <w:rFonts w:ascii="宋体" w:hAnsi="宋体" w:eastAsia="宋体"/>
          <w:b w:val="0"/>
          <w:sz w:val="24"/>
        </w:rPr>
      </w:r>
      <w:r>
        <w:rPr>
          <w:rFonts w:ascii="宋体" w:hAnsi="宋体" w:eastAsia="宋体"/>
          <w:b/>
          <w:sz w:val="24"/>
        </w:rPr>
        <w:t>数据要素价值化理论提供转化机制</w:t>
      </w:r>
      <w:r>
        <w:rPr>
          <w:rFonts w:ascii="宋体" w:hAnsi="宋体" w:eastAsia="宋体"/>
          <w:b w:val="0"/>
          <w:sz w:val="24"/>
        </w:rPr>
        <w:t>——回答"价值如何产生"：原始数据需经"汇聚→治理→开放→利用→价值实现"的价值链转化。</w:t>
      </w:r>
    </w:p>
    <w:p>
      <w:r>
        <w:rPr>
          <w:rFonts w:ascii="宋体" w:hAnsi="宋体" w:eastAsia="宋体"/>
          <w:b w:val="0"/>
          <w:sz w:val="24"/>
        </w:rPr>
      </w:r>
      <w:r>
        <w:rPr>
          <w:rFonts w:ascii="宋体" w:hAnsi="宋体" w:eastAsia="宋体"/>
          <w:b/>
          <w:sz w:val="24"/>
        </w:rPr>
        <w:t>4E框架提供评估维度</w:t>
      </w:r>
      <w:r>
        <w:rPr>
          <w:rFonts w:ascii="宋体" w:hAnsi="宋体" w:eastAsia="宋体"/>
          <w:b w:val="0"/>
          <w:sz w:val="24"/>
        </w:rPr>
        <w:t>——回答"评估什么"：供给保障（Economy）、平台服务（Efficiency过程维度）、数据质量（Efficiency质量维度）、利用效果（Effectiveness）、公平性（Equity）。</w:t>
      </w:r>
    </w:p>
    <w:p>
      <w:r>
        <w:rPr>
          <w:rFonts w:ascii="宋体" w:hAnsi="宋体" w:eastAsia="宋体"/>
          <w:b w:val="0"/>
          <w:sz w:val="24"/>
        </w:rPr>
      </w:r>
      <w:r>
        <w:rPr>
          <w:rFonts w:ascii="宋体" w:hAnsi="宋体" w:eastAsia="宋体"/>
          <w:b/>
          <w:sz w:val="24"/>
        </w:rPr>
        <w:t>TOE框架提供影响因素视角</w:t>
      </w:r>
      <w:r>
        <w:rPr>
          <w:rFonts w:ascii="宋体" w:hAnsi="宋体" w:eastAsia="宋体"/>
          <w:b w:val="0"/>
          <w:sz w:val="24"/>
        </w:rPr>
        <w:t>——回答"什么影响绩效"：技术条件、组织能力、制度环境共同影响绩效。</w:t>
      </w:r>
    </w:p>
    <w:p>
      <w:r>
        <w:rPr>
          <w:rFonts w:ascii="宋体" w:hAnsi="宋体" w:eastAsia="宋体"/>
          <w:b w:val="0"/>
          <w:sz w:val="24"/>
        </w:rPr>
        <w:t>四个理论形成三层结构：价值层（公共价值理论）→机制层（数据要素价值化理论）→操作层（4E+TOE框架），构成从"为什么"到"什么"再到"如何"的完整理论闭环。</w:t>
      </w:r>
    </w:p>
    <w:p>
      <w:pPr>
        <w:pStyle w:val="Heading2"/>
      </w:pPr>
      <w:r>
        <w:t>3.5 整合分析模型</w:t>
      </w:r>
    </w:p>
    <w:p>
      <w:pPr>
        <w:pStyle w:val="Heading3"/>
      </w:pPr>
      <w:r>
        <w:t>3.5.1 "评估-归因-组态"递进分析逻辑</w:t>
      </w:r>
    </w:p>
    <w:p>
      <w:r>
        <w:rPr>
          <w:rFonts w:ascii="宋体" w:hAnsi="宋体" w:eastAsia="宋体"/>
          <w:b w:val="0"/>
          <w:sz w:val="24"/>
        </w:rPr>
        <w:t>基于上述理论基础，本研究构建了"评估-归因-组态"的递进分析逻辑，形成从"绩效是什么"到"绩效为什么"再到"如何提升绩效"的完整研究链条。</w:t>
      </w:r>
    </w:p>
    <w:p>
      <w:r>
        <w:rPr>
          <w:rFonts w:ascii="宋体" w:hAnsi="宋体" w:eastAsia="宋体"/>
          <w:b w:val="0"/>
          <w:sz w:val="24"/>
        </w:rPr>
      </w:r>
      <w:r>
        <w:rPr>
          <w:rFonts w:ascii="宋体" w:hAnsi="宋体" w:eastAsia="宋体"/>
          <w:b/>
          <w:sz w:val="24"/>
        </w:rPr>
        <w:t>评估（Evaluation）——回答"绩效如何"。</w:t>
      </w:r>
      <w:r>
        <w:rPr>
          <w:rFonts w:ascii="宋体" w:hAnsi="宋体" w:eastAsia="宋体"/>
          <w:b w:val="0"/>
          <w:sz w:val="24"/>
        </w:rPr>
        <w:t xml:space="preserve"> 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r>
        <w:rPr>
          <w:rFonts w:ascii="宋体" w:hAnsi="宋体" w:eastAsia="宋体"/>
          <w:b w:val="0"/>
          <w:sz w:val="24"/>
        </w:rPr>
      </w:r>
      <w:r>
        <w:rPr>
          <w:rFonts w:ascii="宋体" w:hAnsi="宋体" w:eastAsia="宋体"/>
          <w:b/>
          <w:sz w:val="24"/>
        </w:rPr>
        <w:t>归因（Attribution）——回答"绩效为何如此"。</w:t>
      </w:r>
      <w:r>
        <w:rPr>
          <w:rFonts w:ascii="宋体" w:hAnsi="宋体" w:eastAsia="宋体"/>
          <w:b w:val="0"/>
          <w:sz w:val="24"/>
        </w:rPr>
        <w:t xml:space="preserve">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r>
        <w:rPr>
          <w:rFonts w:ascii="宋体" w:hAnsi="宋体" w:eastAsia="宋体"/>
          <w:b w:val="0"/>
          <w:sz w:val="24"/>
        </w:rPr>
      </w:r>
      <w:r>
        <w:rPr>
          <w:rFonts w:ascii="宋体" w:hAnsi="宋体" w:eastAsia="宋体"/>
          <w:b/>
          <w:sz w:val="24"/>
        </w:rPr>
        <w:t>组态（Configuration）——回答"如何组合才能高绩效"。</w:t>
      </w:r>
      <w:r>
        <w:rPr>
          <w:rFonts w:ascii="宋体" w:hAnsi="宋体" w:eastAsia="宋体"/>
          <w:b w:val="0"/>
          <w:sz w:val="24"/>
        </w:rPr>
        <w:t xml:space="preserve">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r>
        <w:rPr>
          <w:rFonts w:ascii="宋体" w:hAnsi="宋体" w:eastAsia="宋体"/>
          <w:b w:val="0"/>
          <w:sz w:val="24"/>
        </w:rPr>
        <w:t>三个阶段的逻辑关系是递进式的：评估提供事实基础（绩效现状），归因提供解释基础（形成机制），组态提供行动基础（优化路径）。三个阶段各司其职、相互支撑，避免了将绩效评估与影响因素分析混淆的理论困境。</w:t>
      </w:r>
    </w:p>
    <w:p>
      <w:pPr>
        <w:pStyle w:val="Heading3"/>
      </w:pPr>
      <w:r>
        <w:t>3.5.2 4E与TOE的整合框架图</w:t>
      </w:r>
    </w:p>
    <w:p>
      <w:r>
        <w:rPr>
          <w:rFonts w:ascii="宋体" w:hAnsi="宋体" w:eastAsia="宋体"/>
          <w:b w:val="0"/>
          <w:sz w:val="24"/>
        </w:rP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r>
        <w:rPr>
          <w:rFonts w:ascii="宋体" w:hAnsi="宋体" w:eastAsia="宋体"/>
          <w:b w:val="0"/>
          <w:sz w:val="24"/>
        </w:rPr>
      </w:r>
      <w:r>
        <w:rPr>
          <w:rFonts w:ascii="宋体" w:hAnsi="宋体" w:eastAsia="宋体"/>
          <w:b/>
          <w:sz w:val="24"/>
        </w:rPr>
        <w:t>供给保障维度</w:t>
      </w:r>
      <w:r>
        <w:rPr>
          <w:rFonts w:ascii="宋体" w:hAnsi="宋体" w:eastAsia="宋体"/>
          <w:b w:val="0"/>
          <w:sz w:val="24"/>
        </w:rPr>
        <w:t>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r>
        <w:rPr>
          <w:rFonts w:ascii="宋体" w:hAnsi="宋体" w:eastAsia="宋体"/>
          <w:b w:val="0"/>
          <w:sz w:val="24"/>
        </w:rPr>
      </w:r>
      <w:r>
        <w:rPr>
          <w:rFonts w:ascii="宋体" w:hAnsi="宋体" w:eastAsia="宋体"/>
          <w:b/>
          <w:sz w:val="24"/>
        </w:rPr>
        <w:t>平台服务维度</w:t>
      </w:r>
      <w:r>
        <w:rPr>
          <w:rFonts w:ascii="宋体" w:hAnsi="宋体" w:eastAsia="宋体"/>
          <w:b w:val="0"/>
          <w:sz w:val="24"/>
        </w:rPr>
        <w:t>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r>
        <w:rPr>
          <w:rFonts w:ascii="宋体" w:hAnsi="宋体" w:eastAsia="宋体"/>
          <w:b w:val="0"/>
          <w:sz w:val="24"/>
        </w:rPr>
      </w:r>
      <w:r>
        <w:rPr>
          <w:rFonts w:ascii="宋体" w:hAnsi="宋体" w:eastAsia="宋体"/>
          <w:b/>
          <w:sz w:val="24"/>
        </w:rPr>
        <w:t>数据质量维度</w:t>
      </w:r>
      <w:r>
        <w:rPr>
          <w:rFonts w:ascii="宋体" w:hAnsi="宋体" w:eastAsia="宋体"/>
          <w:b w:val="0"/>
          <w:sz w:val="24"/>
        </w:rPr>
        <w:t>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r>
        <w:rPr>
          <w:rFonts w:ascii="宋体" w:hAnsi="宋体" w:eastAsia="宋体"/>
          <w:b w:val="0"/>
          <w:sz w:val="24"/>
        </w:rPr>
      </w:r>
      <w:r>
        <w:rPr>
          <w:rFonts w:ascii="宋体" w:hAnsi="宋体" w:eastAsia="宋体"/>
          <w:b/>
          <w:sz w:val="24"/>
        </w:rPr>
        <w:t>利用效果维度</w:t>
      </w:r>
      <w:r>
        <w:rPr>
          <w:rFonts w:ascii="宋体" w:hAnsi="宋体" w:eastAsia="宋体"/>
          <w:b w:val="0"/>
          <w:sz w:val="24"/>
        </w:rPr>
        <w:t>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r>
        <w:rPr>
          <w:rFonts w:ascii="宋体" w:hAnsi="宋体" w:eastAsia="宋体"/>
          <w:b w:val="0"/>
          <w:sz w:val="24"/>
        </w:rPr>
      </w:r>
      <w:r>
        <w:rPr>
          <w:rFonts w:ascii="宋体" w:hAnsi="宋体" w:eastAsia="宋体"/>
          <w:b/>
          <w:sz w:val="24"/>
        </w:rPr>
        <w:t>公平性维度</w:t>
      </w:r>
      <w:r>
        <w:rPr>
          <w:rFonts w:ascii="宋体" w:hAnsi="宋体" w:eastAsia="宋体"/>
          <w:b w:val="0"/>
          <w:sz w:val="24"/>
        </w:rPr>
        <w:t>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pStyle w:val="Heading3"/>
      </w:pPr>
      <w:r>
        <w:t>3.5.3 研究假设的提出</w:t>
      </w:r>
    </w:p>
    <w:p>
      <w:r>
        <w:rPr>
          <w:rFonts w:ascii="宋体" w:hAnsi="宋体" w:eastAsia="宋体"/>
          <w:b w:val="0"/>
          <w:sz w:val="24"/>
        </w:rPr>
        <w:t>基于上述整合分析模型，本研究提出以下研究假设。</w:t>
      </w:r>
    </w:p>
    <w:p>
      <w:r>
        <w:rPr>
          <w:rFonts w:ascii="宋体" w:hAnsi="宋体" w:eastAsia="宋体"/>
          <w:b w:val="0"/>
          <w:sz w:val="24"/>
        </w:rPr>
      </w:r>
      <w:r>
        <w:rPr>
          <w:rFonts w:ascii="宋体" w:hAnsi="宋体" w:eastAsia="宋体"/>
          <w:b/>
          <w:sz w:val="24"/>
        </w:rPr>
        <w:t>H1：供给保障对数据利用绩效有显著正向影响。</w:t>
      </w:r>
      <w:r>
        <w:rPr>
          <w:rFonts w:ascii="宋体" w:hAnsi="宋体" w:eastAsia="宋体"/>
          <w:b w:val="0"/>
          <w:sz w:val="24"/>
        </w:rPr>
        <w:t xml:space="preserve"> 充足的数据供给是数据利用的前提条件——没有数据就谈不上利用。供给保障水平高的平台，其数据利用绩效也较高。</w:t>
      </w:r>
    </w:p>
    <w:p>
      <w:r>
        <w:rPr>
          <w:rFonts w:ascii="宋体" w:hAnsi="宋体" w:eastAsia="宋体"/>
          <w:b w:val="0"/>
          <w:sz w:val="24"/>
        </w:rPr>
      </w:r>
      <w:r>
        <w:rPr>
          <w:rFonts w:ascii="宋体" w:hAnsi="宋体" w:eastAsia="宋体"/>
          <w:b/>
          <w:sz w:val="24"/>
        </w:rPr>
        <w:t>H2：平台服务对数据利用绩效有显著正向影响。</w:t>
      </w:r>
      <w:r>
        <w:rPr>
          <w:rFonts w:ascii="宋体" w:hAnsi="宋体" w:eastAsia="宋体"/>
          <w:b w:val="0"/>
          <w:sz w:val="24"/>
        </w:rPr>
        <w:t xml:space="preserve"> 完善的平台服务降低了数据利用的摩擦成本，提升了用户的数据获取和利用效率。平台服务水平高的平台，其数据利用绩效也较高。</w:t>
      </w:r>
    </w:p>
    <w:p>
      <w:r>
        <w:rPr>
          <w:rFonts w:ascii="宋体" w:hAnsi="宋体" w:eastAsia="宋体"/>
          <w:b w:val="0"/>
          <w:sz w:val="24"/>
        </w:rPr>
      </w:r>
      <w:r>
        <w:rPr>
          <w:rFonts w:ascii="宋体" w:hAnsi="宋体" w:eastAsia="宋体"/>
          <w:b/>
          <w:sz w:val="24"/>
        </w:rPr>
        <w:t>H3：数据质量对数据利用绩效有显著正向影响。</w:t>
      </w:r>
      <w:r>
        <w:rPr>
          <w:rFonts w:ascii="宋体" w:hAnsi="宋体" w:eastAsia="宋体"/>
          <w:b w:val="0"/>
          <w:sz w:val="24"/>
        </w:rPr>
        <w:t xml:space="preserve"> 高质量的数据是有效利用的基础——低质量的数据不仅无法产生有效利用，还可能导致错误的分析结论。数据质量水平高的平台，其数据利用绩效也较高。</w:t>
      </w:r>
    </w:p>
    <w:p>
      <w:r>
        <w:rPr>
          <w:rFonts w:ascii="宋体" w:hAnsi="宋体" w:eastAsia="宋体"/>
          <w:b w:val="0"/>
          <w:sz w:val="24"/>
        </w:rPr>
      </w:r>
      <w:r>
        <w:rPr>
          <w:rFonts w:ascii="宋体" w:hAnsi="宋体" w:eastAsia="宋体"/>
          <w:b/>
          <w:sz w:val="24"/>
        </w:rPr>
        <w:t>H4：利用效果与供给保障、平台服务、数据质量之间存在非线性关系。</w:t>
      </w:r>
      <w:r>
        <w:rPr>
          <w:rFonts w:ascii="宋体" w:hAnsi="宋体" w:eastAsia="宋体"/>
          <w:b w:val="0"/>
          <w:sz w:val="24"/>
        </w:rPr>
        <w:t xml:space="preserve"> 利用效果不是三个维度简单叠加的结果，而是存在交互作用和阈值效应。例如，高数据质量在高平台服务的配合下才能产生高利用效果；在低平台服务的条件下，即使数据质量再高，利用效果也可能受限。</w:t>
      </w:r>
    </w:p>
    <w:p>
      <w:r>
        <w:rPr>
          <w:rFonts w:ascii="宋体" w:hAnsi="宋体" w:eastAsia="宋体"/>
          <w:b w:val="0"/>
          <w:sz w:val="24"/>
        </w:rPr>
      </w:r>
      <w:r>
        <w:rPr>
          <w:rFonts w:ascii="宋体" w:hAnsi="宋体" w:eastAsia="宋体"/>
          <w:b/>
          <w:sz w:val="24"/>
        </w:rPr>
        <w:t>H5：不同区域平台的高绩效路径存在显著差异。</w:t>
      </w:r>
      <w:r>
        <w:rPr>
          <w:rFonts w:ascii="宋体" w:hAnsi="宋体" w:eastAsia="宋体"/>
          <w:b w:val="0"/>
          <w:sz w:val="24"/>
        </w:rPr>
        <w:t xml:space="preserve"> 东部发达地区和中西部欠发达地区的高绩效路径可能不同——前者可能主要依赖技术驱动型路径，后者可能主要依赖制度驱动型路径。这要求优化策略必须因地制宜、分类施策。</w:t>
      </w:r>
    </w:p>
    <w:p>
      <w:r>
        <w:rPr>
          <w:rFonts w:ascii="宋体" w:hAnsi="宋体" w:eastAsia="宋体"/>
          <w:b w:val="0"/>
          <w:sz w:val="24"/>
        </w:rPr>
      </w:r>
      <w:r>
        <w:rPr>
          <w:rFonts w:ascii="宋体" w:hAnsi="宋体" w:eastAsia="宋体"/>
          <w:b/>
          <w:sz w:val="24"/>
        </w:rPr>
        <w:t>H6：存在多重等效的高绩效路径。</w:t>
      </w:r>
      <w:r>
        <w:rPr>
          <w:rFonts w:ascii="宋体" w:hAnsi="宋体" w:eastAsia="宋体"/>
          <w:b w:val="0"/>
          <w:sz w:val="24"/>
        </w:rPr>
        <w:t xml:space="preserve"> 同一高绩效结果可以由不同的条件组合产生——例如，"高供给+高服务+高质量"和"高质量+强制度+好环境"都可能产生高绩效。这一假设是fsQCA方法的理论基础。</w:t>
      </w:r>
    </w:p>
    <w:p>
      <w:r>
        <w:rPr>
          <w:rFonts w:ascii="宋体" w:hAnsi="宋体" w:eastAsia="宋体"/>
          <w:b w:val="0"/>
          <w:sz w:val="24"/>
        </w:rPr>
        <w:t>上述假设将在第五章和第六章通过实证分析进行检验。假设H1-H3通过TOPSIS和DEA分析进行验证，假设H4通过DEA效率分析和DEMATEL因果分析进行验证，假设H5-H6通过fsQCA组态分析进行验证。</w:t>
      </w:r>
    </w:p>
    <w:p>
      <w:pPr>
        <w:pStyle w:val="Heading1"/>
      </w:pPr>
      <w:r>
        <w:t>第四章 研究设计与数据来源</w:t>
      </w:r>
    </w:p>
    <w:p>
      <w:pPr>
        <w:pStyle w:val="Heading2"/>
      </w:pPr>
      <w:r>
        <w:t>4.1 研究设计</w:t>
      </w:r>
    </w:p>
    <w:p>
      <w:pPr>
        <w:pStyle w:val="Heading3"/>
      </w:pPr>
      <w:r>
        <w:t>4.1.1 研究思路</w:t>
      </w:r>
    </w:p>
    <w:p>
      <w:r>
        <w:rPr>
          <w:rFonts w:ascii="宋体" w:hAnsi="宋体" w:eastAsia="宋体"/>
          <w:b w:val="0"/>
          <w:sz w:val="24"/>
        </w:rPr>
        <w:t>本研究遵循"理论构建→指标设计→数据采集→绩效评估→归因分析→对策提出"的递进式研究思路，形成从描述性评估到解释性分析再到规范性建议的完整研究闭环。</w:t>
      </w:r>
    </w:p>
    <w:p>
      <w:r>
        <w:rPr>
          <w:rFonts w:ascii="宋体" w:hAnsi="宋体" w:eastAsia="宋体"/>
          <w:b w:val="0"/>
          <w:sz w:val="24"/>
        </w:rPr>
        <w:t>第一阶段，理论构建。基于公共价值理论、数据要素价值化理论和4E评估框架，构建"效果导向"的政府数据开放平台绩效评估理论框架，明确评估的维度、指标和权重设计原则。</w:t>
      </w:r>
    </w:p>
    <w:p>
      <w:r>
        <w:rPr>
          <w:rFonts w:ascii="宋体" w:hAnsi="宋体" w:eastAsia="宋体"/>
          <w:b w:val="0"/>
          <w:sz w:val="24"/>
        </w:rPr>
        <w:t>第二阶段，指标设计。基于4E框架设计涵盖供给保障、平台服务、数据质量、利用效果、公平性五个维度的评估指标体系，通过文献研究、德尔菲法、AHP-熵权组合赋权确定指标权重，完成指标体系的信效度检验。</w:t>
      </w:r>
    </w:p>
    <w:p>
      <w:r>
        <w:rPr>
          <w:rFonts w:ascii="宋体" w:hAnsi="宋体" w:eastAsia="宋体"/>
          <w:b w:val="0"/>
          <w:sz w:val="24"/>
        </w:rPr>
        <w:t>第三阶段，数据采集。自主开发三层架构数据采集系统，对28个建有独立平台的省级行政区进行系统性数据采集，完成数据清洗、质量校验和预处理，建立评估数据库。</w:t>
      </w:r>
    </w:p>
    <w:p>
      <w:r>
        <w:rPr>
          <w:rFonts w:ascii="宋体" w:hAnsi="宋体" w:eastAsia="宋体"/>
          <w:b w:val="0"/>
          <w:sz w:val="24"/>
        </w:rPr>
        <w:t>第四阶段，绩效评估。运用熵权TOPSIS方法对28个平台进行绩效评估和排名，运用DEA-BCC方法评估各平台的资源配置效率，进行区域差异比较和外部效度检验。</w:t>
      </w:r>
    </w:p>
    <w:p>
      <w:r>
        <w:rPr>
          <w:rFonts w:ascii="宋体" w:hAnsi="宋体" w:eastAsia="宋体"/>
          <w:b w:val="0"/>
          <w:sz w:val="24"/>
        </w:rPr>
        <w:t>第五阶段，归因分析。运用DEMATEL方法分析影响因素之间的关联关系，运用fsQCA方法揭示高绩效的多重等效路径，进行多方法三角验证。</w:t>
      </w:r>
    </w:p>
    <w:p>
      <w:r>
        <w:rPr>
          <w:rFonts w:ascii="宋体" w:hAnsi="宋体" w:eastAsia="宋体"/>
          <w:b w:val="0"/>
          <w:sz w:val="24"/>
        </w:rPr>
        <w:t>第六阶段，对策提出。基于实证分析结果诊断问题，结合组态路径设计差异化对策，提出政策建议。</w:t>
      </w:r>
    </w:p>
    <w:p>
      <w:pPr>
        <w:pStyle w:val="Heading3"/>
      </w:pPr>
      <w:r>
        <w:t>4.1.2 研究对象与样本选择</w:t>
      </w:r>
    </w:p>
    <w:p>
      <w:r>
        <w:rPr>
          <w:rFonts w:ascii="宋体" w:hAnsi="宋体" w:eastAsia="宋体"/>
          <w:b w:val="0"/>
          <w:sz w:val="24"/>
        </w:rPr>
      </w:r>
      <w:r>
        <w:rPr>
          <w:rFonts w:ascii="宋体" w:hAnsi="宋体" w:eastAsia="宋体"/>
          <w:b/>
          <w:sz w:val="24"/>
        </w:rPr>
        <w:t>研究对象。</w:t>
      </w:r>
      <w:r>
        <w:rPr>
          <w:rFonts w:ascii="宋体" w:hAnsi="宋体" w:eastAsia="宋体"/>
          <w:b w:val="0"/>
          <w:sz w:val="24"/>
        </w:rPr>
        <w:t xml:space="preserve"> 本研究的研究对象为中国大陆省级政府数据开放平台。根据平台建设的实际情况，31个省级行政区中，已有28个建有独立的数据开放平台，分别是：北京、天津、河北、山西、内蒙古、辽宁、吉林、黑龙江、上海、江苏、浙江、安徽、福建、江西、山东、河南、湖北、湖南、广东、广西、海南、重庆、四川、贵州、云南、陕西、甘肃、宁夏、新疆（注：青海、西藏尚未建立独立平台，不纳入本研究样本）。</w:t>
      </w:r>
    </w:p>
    <w:p>
      <w:r>
        <w:rPr>
          <w:rFonts w:ascii="宋体" w:hAnsi="宋体" w:eastAsia="宋体"/>
          <w:b w:val="0"/>
          <w:sz w:val="24"/>
        </w:rPr>
      </w:r>
      <w:r>
        <w:rPr>
          <w:rFonts w:ascii="宋体" w:hAnsi="宋体" w:eastAsia="宋体"/>
          <w:b/>
          <w:sz w:val="24"/>
        </w:rPr>
        <w:t>样本选取标准。</w:t>
      </w:r>
      <w:r>
        <w:rPr>
          <w:rFonts w:ascii="宋体" w:hAnsi="宋体" w:eastAsia="宋体"/>
          <w:b w:val="0"/>
          <w:sz w:val="24"/>
        </w:rPr>
        <w:t xml:space="preserve"> 本研究的样本选取遵循以下三个标准：（1）平台已正式上线运营且公开可访问；（2）平台已运行不少于1年（确保平台功能基本稳定、数据积累达到一定规模）；（3）关键评估指标数据可得，缺失率不超过30%。基于上述标准，本研究最终确定28个省级平台作为评估样本。</w:t>
      </w:r>
    </w:p>
    <w:p>
      <w:r>
        <w:rPr>
          <w:rFonts w:ascii="宋体" w:hAnsi="宋体" w:eastAsia="宋体"/>
          <w:b w:val="0"/>
          <w:sz w:val="24"/>
        </w:rPr>
      </w:r>
      <w:r>
        <w:rPr>
          <w:rFonts w:ascii="宋体" w:hAnsi="宋体" w:eastAsia="宋体"/>
          <w:b/>
          <w:sz w:val="24"/>
        </w:rPr>
        <w:t>样本特征。</w:t>
      </w:r>
      <w:r>
        <w:rPr>
          <w:rFonts w:ascii="宋体" w:hAnsi="宋体" w:eastAsia="宋体"/>
          <w:b w:val="0"/>
          <w:sz w:val="24"/>
        </w:rPr>
        <w:t xml:space="preserve"> 28个样本平台在上线时间、运营主体、技术架构等方面呈现显著的异质性。从上线时间看，最早的上海平台于2012年上线（作为市政府数据服务网站的前身），贵阳平台于2017年率先以省级平台身份上线，2018-2019年是平台建设的高峰期（山东、四川、福建、湖北等省份集中上线），2020-2024年中西部省份加速追赶。从技术架构看，部分平台采用开源CKAN架构（如上海、北京），部分平台采用自主研发架构（如浙江、广东），部分平台采用商业平台架构（如部分中西部省份）。从运营主体看，大多数平台由省级大数据管理部门或政务服务机构负责运营，少数平台由信息中心或第三方机构代运营。</w:t>
      </w:r>
    </w:p>
    <w:p>
      <w:r>
        <w:rPr>
          <w:rFonts w:ascii="宋体" w:hAnsi="宋体" w:eastAsia="宋体"/>
          <w:b w:val="0"/>
          <w:sz w:val="24"/>
        </w:rPr>
      </w:r>
      <w:r>
        <w:rPr>
          <w:rFonts w:ascii="宋体" w:hAnsi="宋体" w:eastAsia="宋体"/>
          <w:b/>
          <w:sz w:val="24"/>
        </w:rPr>
        <w:t>样本的局限性。</w:t>
      </w:r>
      <w:r>
        <w:rPr>
          <w:rFonts w:ascii="宋体" w:hAnsi="宋体" w:eastAsia="宋体"/>
          <w:b w:val="0"/>
          <w:sz w:val="24"/>
        </w:rPr>
        <w:t xml:space="preserve"> 需要说明的是，28个样本平台的选取存在一定的局限性。第一，青海、甘肃、西藏三个省份尚未建立独立的数据开放平台，未纳入本研究样本。这三个省份的无平台状态本身是一个值得研究的现象，但由于缺乏平台数据，无法进行绩效评估。第二，河南省虽建有独立平台，但平台数据量极少、功能较为基础，其在部分指标上可能存在数据缺失。第三，28个样本均为省级平台，未包含副省级和地市级平台，研究结论的推广范围需谨慎对待。尽管存在上述局限，28个省级平台覆盖了我国绝大多数建有独立平台的省级行政区，样本代表性在可接受范围内。</w:t>
      </w:r>
    </w:p>
    <w:p>
      <w:pPr>
        <w:pStyle w:val="Heading3"/>
      </w:pPr>
      <w:r>
        <w:t>4.1.3 研究边界</w:t>
      </w:r>
    </w:p>
    <w:p>
      <w:r>
        <w:rPr>
          <w:rFonts w:ascii="宋体" w:hAnsi="宋体" w:eastAsia="宋体"/>
          <w:b w:val="0"/>
          <w:sz w:val="24"/>
        </w:rPr>
        <w:t>本研究的研究边界界定如下。</w:t>
      </w:r>
    </w:p>
    <w:p>
      <w:r>
        <w:rPr>
          <w:rFonts w:ascii="宋体" w:hAnsi="宋体" w:eastAsia="宋体"/>
          <w:b w:val="0"/>
          <w:sz w:val="24"/>
        </w:rPr>
      </w:r>
      <w:r>
        <w:rPr>
          <w:rFonts w:ascii="宋体" w:hAnsi="宋体" w:eastAsia="宋体"/>
          <w:b/>
          <w:sz w:val="24"/>
        </w:rPr>
        <w:t>时间边界。</w:t>
      </w:r>
      <w:r>
        <w:rPr>
          <w:rFonts w:ascii="宋体" w:hAnsi="宋体" w:eastAsia="宋体"/>
          <w:b w:val="0"/>
          <w:sz w:val="24"/>
        </w:rPr>
        <w:t xml:space="preserve"> 数据采集时点为2025年1月至2025年3月，部分时效性指标（如下载量、应用数量）追溯至2024年全年。研究聚焦于该时点的平台绩效水平，不涉及平台绩效的动态变化分析（如2017-2025年的纵向比较）。动态分析将留待后续研究完成。</w:t>
      </w:r>
    </w:p>
    <w:p>
      <w:r>
        <w:rPr>
          <w:rFonts w:ascii="宋体" w:hAnsi="宋体" w:eastAsia="宋体"/>
          <w:b w:val="0"/>
          <w:sz w:val="24"/>
        </w:rPr>
      </w:r>
      <w:r>
        <w:rPr>
          <w:rFonts w:ascii="宋体" w:hAnsi="宋体" w:eastAsia="宋体"/>
          <w:b/>
          <w:sz w:val="24"/>
        </w:rPr>
        <w:t>空间边界。</w:t>
      </w:r>
      <w:r>
        <w:rPr>
          <w:rFonts w:ascii="宋体" w:hAnsi="宋体" w:eastAsia="宋体"/>
          <w:b w:val="0"/>
          <w:sz w:val="24"/>
        </w:rPr>
        <w:t xml:space="preserve"> 研究对象为中国大陆省级政府数据开放平台，不包括港澳台地区，不包括副省级和地市级平台（除非在补充分析中特别说明），不包括行业数据平台（如气象数据、交通数据等专业平台）。</w:t>
      </w:r>
    </w:p>
    <w:p>
      <w:r>
        <w:rPr>
          <w:rFonts w:ascii="宋体" w:hAnsi="宋体" w:eastAsia="宋体"/>
          <w:b w:val="0"/>
          <w:sz w:val="24"/>
        </w:rPr>
      </w:r>
      <w:r>
        <w:rPr>
          <w:rFonts w:ascii="宋体" w:hAnsi="宋体" w:eastAsia="宋体"/>
          <w:b/>
          <w:sz w:val="24"/>
        </w:rPr>
        <w:t>内容边界。</w:t>
      </w:r>
      <w:r>
        <w:rPr>
          <w:rFonts w:ascii="宋体" w:hAnsi="宋体" w:eastAsia="宋体"/>
          <w:b w:val="0"/>
          <w:sz w:val="24"/>
        </w:rPr>
        <w:t xml:space="preserve"> 研究聚焦于数据利用绩效的评估和影响因素分析，不涉及数据开放的安全风险评估、数据隐私保护技术、数据产权法律制度等议题。这些议题虽然与数据开放密切相关，但属于不同的研究主题，超出了本研究的边界。</w:t>
      </w:r>
    </w:p>
    <w:p>
      <w:r>
        <w:rPr>
          <w:rFonts w:ascii="宋体" w:hAnsi="宋体" w:eastAsia="宋体"/>
          <w:b w:val="0"/>
          <w:sz w:val="24"/>
        </w:rPr>
      </w:r>
      <w:r>
        <w:rPr>
          <w:rFonts w:ascii="宋体" w:hAnsi="宋体" w:eastAsia="宋体"/>
          <w:b/>
          <w:sz w:val="24"/>
        </w:rPr>
        <w:t>方法边界。</w:t>
      </w:r>
      <w:r>
        <w:rPr>
          <w:rFonts w:ascii="宋体" w:hAnsi="宋体" w:eastAsia="宋体"/>
          <w:b w:val="0"/>
          <w:sz w:val="24"/>
        </w:rPr>
        <w:t xml:space="preserve"> 研究采用定量分析方法为主、定性分析为辅的方法论取向。定量分析包括熵权TOPSIS、DEA-BCC、fsQCA、DEMATEL等统计方法；定性分析包括案例分析和政策文本分析。研究不涉及实验研究、问卷调查等数据收集方法。</w:t>
      </w:r>
    </w:p>
    <w:p>
      <w:pPr>
        <w:pStyle w:val="Heading2"/>
      </w:pPr>
      <w:r>
        <w:t>4.2 评估指标体系构建</w:t>
      </w:r>
    </w:p>
    <w:p>
      <w:pPr>
        <w:pStyle w:val="Heading3"/>
      </w:pPr>
      <w:r>
        <w:t>4.2.1 指标体系构建原则</w:t>
      </w:r>
    </w:p>
    <w:p>
      <w:r>
        <w:rPr>
          <w:rFonts w:ascii="宋体" w:hAnsi="宋体" w:eastAsia="宋体"/>
          <w:b w:val="0"/>
          <w:sz w:val="24"/>
        </w:rPr>
        <w:t>本研究评估指标体系的构建遵循以下五项原则。</w:t>
      </w:r>
    </w:p>
    <w:p>
      <w:r>
        <w:rPr>
          <w:rFonts w:ascii="宋体" w:hAnsi="宋体" w:eastAsia="宋体"/>
          <w:b w:val="0"/>
          <w:sz w:val="24"/>
        </w:rPr>
      </w:r>
      <w:r>
        <w:rPr>
          <w:rFonts w:ascii="宋体" w:hAnsi="宋体" w:eastAsia="宋体"/>
          <w:b/>
          <w:sz w:val="24"/>
        </w:rPr>
        <w:t>系统性原则。</w:t>
      </w:r>
      <w:r>
        <w:rPr>
          <w:rFonts w:ascii="宋体" w:hAnsi="宋体" w:eastAsia="宋体"/>
          <w:b w:val="0"/>
          <w:sz w:val="24"/>
        </w:rPr>
        <w:t xml:space="preserve"> 指标体系应全面覆盖政府数据开放平台绩效的各个维度，形成从"供给"到"效果"的完整评估链条。任何维度的缺失都可能导致评估结果的片面性——例如，只评估供给保障而忽视利用效果，就会陷入"重供给轻效果"的评估盲区。</w:t>
      </w:r>
    </w:p>
    <w:p>
      <w:r>
        <w:rPr>
          <w:rFonts w:ascii="宋体" w:hAnsi="宋体" w:eastAsia="宋体"/>
          <w:b w:val="0"/>
          <w:sz w:val="24"/>
        </w:rPr>
      </w:r>
      <w:r>
        <w:rPr>
          <w:rFonts w:ascii="宋体" w:hAnsi="宋体" w:eastAsia="宋体"/>
          <w:b/>
          <w:sz w:val="24"/>
        </w:rPr>
        <w:t>科学性原则。</w:t>
      </w:r>
      <w:r>
        <w:rPr>
          <w:rFonts w:ascii="宋体" w:hAnsi="宋体" w:eastAsia="宋体"/>
          <w:b w:val="0"/>
          <w:sz w:val="24"/>
        </w:rPr>
        <w:t xml:space="preserve"> 指标的选择应有充分的理论和文献依据，指标的定义应清晰明确、可操作可测量。每个指标都应能够反映其所代表维度的核心特征，避免指标的冗余和重复。</w:t>
      </w:r>
    </w:p>
    <w:p>
      <w:r>
        <w:rPr>
          <w:rFonts w:ascii="宋体" w:hAnsi="宋体" w:eastAsia="宋体"/>
          <w:b w:val="0"/>
          <w:sz w:val="24"/>
        </w:rPr>
      </w:r>
      <w:r>
        <w:rPr>
          <w:rFonts w:ascii="宋体" w:hAnsi="宋体" w:eastAsia="宋体"/>
          <w:b/>
          <w:sz w:val="24"/>
        </w:rPr>
        <w:t>客观性原则。</w:t>
      </w:r>
      <w:r>
        <w:rPr>
          <w:rFonts w:ascii="宋体" w:hAnsi="宋体" w:eastAsia="宋体"/>
          <w:b w:val="0"/>
          <w:sz w:val="24"/>
        </w:rPr>
        <w:t xml:space="preserve"> 指标数据应尽可能来源于客观测量而非主观评判，减少人为偏差对评估结果的影响。对于无法直接客观测量的指标（如用户满意度），应采用标准化的测量工具和规范的调查程序。</w:t>
      </w:r>
    </w:p>
    <w:p>
      <w:r>
        <w:rPr>
          <w:rFonts w:ascii="宋体" w:hAnsi="宋体" w:eastAsia="宋体"/>
          <w:b w:val="0"/>
          <w:sz w:val="24"/>
        </w:rPr>
      </w:r>
      <w:r>
        <w:rPr>
          <w:rFonts w:ascii="宋体" w:hAnsi="宋体" w:eastAsia="宋体"/>
          <w:b/>
          <w:sz w:val="24"/>
        </w:rPr>
        <w:t>可比性原则。</w:t>
      </w:r>
      <w:r>
        <w:rPr>
          <w:rFonts w:ascii="宋体" w:hAnsi="宋体" w:eastAsia="宋体"/>
          <w:b w:val="0"/>
          <w:sz w:val="24"/>
        </w:rPr>
        <w:t xml:space="preserve"> 指标的定义和测量方法应在所有样本平台之间保持一致，确保评估结果的可比性。对于不同平台数据可得性不一致的情况，应采用统一的数据处理和缺失值处理方法。</w:t>
      </w:r>
    </w:p>
    <w:p>
      <w:r>
        <w:rPr>
          <w:rFonts w:ascii="宋体" w:hAnsi="宋体" w:eastAsia="宋体"/>
          <w:b w:val="0"/>
          <w:sz w:val="24"/>
        </w:rPr>
      </w:r>
      <w:r>
        <w:rPr>
          <w:rFonts w:ascii="宋体" w:hAnsi="宋体" w:eastAsia="宋体"/>
          <w:b/>
          <w:sz w:val="24"/>
        </w:rPr>
        <w:t>导向性原则。</w:t>
      </w:r>
      <w:r>
        <w:rPr>
          <w:rFonts w:ascii="宋体" w:hAnsi="宋体" w:eastAsia="宋体"/>
          <w:b w:val="0"/>
          <w:sz w:val="24"/>
        </w:rPr>
        <w:t xml:space="preserve"> 指标体系应体现"效果导向"的评估范式，引导平台运营者关注数据利用效果而非仅仅追求数据供给数量。指标的权重分配应反映各维度在绩效形成中的相对重要性——利用效果维度应获得较高的权重，以强化效果导向的行为激励。</w:t>
      </w:r>
    </w:p>
    <w:p>
      <w:pPr>
        <w:pStyle w:val="Heading3"/>
      </w:pPr>
      <w:r>
        <w:t>4.2.2 4E维度指标设计</w:t>
      </w:r>
    </w:p>
    <w:p>
      <w:r>
        <w:rPr>
          <w:rFonts w:ascii="宋体" w:hAnsi="宋体" w:eastAsia="宋体"/>
          <w:b w:val="0"/>
          <w:sz w:val="24"/>
        </w:rPr>
        <w:t>基于上述构建原则，本研究设计了涵盖五个维度、14个二级指标、39个三级指标的评估体系。各维度、指标及其数据来源如表4-1所示（表略，详见附录）。</w:t>
      </w:r>
    </w:p>
    <w:p>
      <w:r>
        <w:rPr>
          <w:rFonts w:ascii="宋体" w:hAnsi="宋体" w:eastAsia="宋体"/>
          <w:b w:val="0"/>
          <w:sz w:val="24"/>
        </w:rPr>
      </w:r>
      <w:r>
        <w:rPr>
          <w:rFonts w:ascii="宋体" w:hAnsi="宋体" w:eastAsia="宋体"/>
          <w:b/>
          <w:sz w:val="24"/>
        </w:rPr>
        <w:t>C1 供给保障维度。</w:t>
      </w:r>
      <w:r>
        <w:rPr>
          <w:rFonts w:ascii="宋体" w:hAnsi="宋体" w:eastAsia="宋体"/>
          <w:b w:val="0"/>
          <w:sz w:val="24"/>
        </w:rPr>
        <w:t xml:space="preserve"> 供给保障维度衡量平台的数据资源供给能力，包括三个二级指标：数据集数量（C1-1，衡量平台开放的数据集总数）、主题覆盖度（C1-2，衡量数据主题覆盖的广度，采用14个主题领域的覆盖比例）、更新频率（C1-3，衡量数据的时效性，采用平均更新周期和更新及时率两个子指标）。</w:t>
      </w:r>
    </w:p>
    <w:p>
      <w:r>
        <w:rPr>
          <w:rFonts w:ascii="宋体" w:hAnsi="宋体" w:eastAsia="宋体"/>
          <w:b w:val="0"/>
          <w:sz w:val="24"/>
        </w:rPr>
        <w:t>数据集数量的测量采用"有效数据集数量"而非"数据目录数量"，以纠正"数据口径幻觉"。有效数据集的定义同时满足以下条件：（1）具有实质内容而非空壳或虚拟目录；（2）采用结构化或可机读格式发布（CSV、JSON、XML、API等）；（3）元数据完整，包含数据字典、字段说明、更新日期等必要信息；（4）在近一年内有过更新或维护记录。口径一致性系数（CR）定义为有效数据集数量与数据目录数量的比值，作为纠正指标扭曲的纠偏工具。</w:t>
      </w:r>
    </w:p>
    <w:p>
      <w:r>
        <w:rPr>
          <w:rFonts w:ascii="宋体" w:hAnsi="宋体" w:eastAsia="宋体"/>
          <w:b w:val="0"/>
          <w:sz w:val="24"/>
        </w:rPr>
        <w:t>主题覆盖度采用14个主题领域进行评估：经济建设、资源环境、教育科技、文化休闲、卫生健康、劳动就业、社会保险、社会生活、公共安全、市场监管、交通运输、企业信用、农业生产、其他。每个平台的主题覆盖度为该平台覆盖的主题领域数量除以14。</w:t>
      </w:r>
    </w:p>
    <w:p>
      <w:r>
        <w:rPr>
          <w:rFonts w:ascii="宋体" w:hAnsi="宋体" w:eastAsia="宋体"/>
          <w:b w:val="0"/>
          <w:sz w:val="24"/>
        </w:rPr>
        <w:t>更新频率采用两个子指标：平均更新周期（所有数据集更新周期的中位数，以天为单位）和更新及时率（在近一年内更新过的数据集数量占总数据集数量的比例）。</w:t>
      </w:r>
    </w:p>
    <w:p>
      <w:r>
        <w:rPr>
          <w:rFonts w:ascii="宋体" w:hAnsi="宋体" w:eastAsia="宋体"/>
          <w:b w:val="0"/>
          <w:sz w:val="24"/>
        </w:rPr>
      </w:r>
      <w:r>
        <w:rPr>
          <w:rFonts w:ascii="宋体" w:hAnsi="宋体" w:eastAsia="宋体"/>
          <w:b/>
          <w:sz w:val="24"/>
        </w:rPr>
        <w:t>C2 平台服务维度。</w:t>
      </w:r>
      <w:r>
        <w:rPr>
          <w:rFonts w:ascii="宋体" w:hAnsi="宋体" w:eastAsia="宋体"/>
          <w:b w:val="0"/>
          <w:sz w:val="24"/>
        </w:rPr>
        <w:t xml:space="preserve"> 平台服务维度衡量平台降低数据利用摩擦成本的能力，包括四个二级指标：API开放度（C2-1，衡量API接口的完备性和可用性）、检索功能（C2-2，衡量数据检索的便捷性和精准性）、用户引导（C2-3，衡量平台对新用户的引导和支持）、开发者支持（C2-4，衡量平台对开发者的技术支持）。</w:t>
      </w:r>
    </w:p>
    <w:p>
      <w:r>
        <w:rPr>
          <w:rFonts w:ascii="宋体" w:hAnsi="宋体" w:eastAsia="宋体"/>
          <w:b w:val="0"/>
          <w:sz w:val="24"/>
        </w:rPr>
        <w:t>API开放度的测量包括三个子指标：是否提供API接口（是=1，否=0）、API文档完整性（完整=1，部分=0.5，缺失=0）、API调用稳定性（稳定=1，偶尔不稳定=0.5，经常不稳定=0）。</w:t>
      </w:r>
    </w:p>
    <w:p>
      <w:r>
        <w:rPr>
          <w:rFonts w:ascii="宋体" w:hAnsi="宋体" w:eastAsia="宋体"/>
          <w:b w:val="0"/>
          <w:sz w:val="24"/>
        </w:rPr>
        <w:t>检索功能的测量包括三个子指标：是否支持关键词检索（是=1，否=0）、是否支持高级检索（如按主题、部门、格式、时间等条件筛选）（是=1，否=0）、检索结果的相关性（通过抽样测试评估，相关=1，部分相关=0.5，不相关=0）。</w:t>
      </w:r>
    </w:p>
    <w:p>
      <w:r>
        <w:rPr>
          <w:rFonts w:ascii="宋体" w:hAnsi="宋体" w:eastAsia="宋体"/>
          <w:b w:val="0"/>
          <w:sz w:val="24"/>
        </w:rPr>
        <w:t>用户引导的测量包括三个子指标：是否有新用户指南（是=1，否=0）、是否有FAQ页面（是=1，否=0）、是否有数据使用示例（是=1，否=0）。</w:t>
      </w:r>
    </w:p>
    <w:p>
      <w:r>
        <w:rPr>
          <w:rFonts w:ascii="宋体" w:hAnsi="宋体" w:eastAsia="宋体"/>
          <w:b w:val="0"/>
          <w:sz w:val="24"/>
        </w:rPr>
        <w:t>开发者支持的测量包括三个子指标：是否提供SDK（是=1，否=0）、是否提供示例代码（是=1，否=0）、是否提供技术支持渠道（如开发者论坛、技术邮箱等）（是=1，否=0）。</w:t>
      </w:r>
    </w:p>
    <w:p>
      <w:r>
        <w:rPr>
          <w:rFonts w:ascii="宋体" w:hAnsi="宋体" w:eastAsia="宋体"/>
          <w:b w:val="0"/>
          <w:sz w:val="24"/>
        </w:rPr>
      </w:r>
      <w:r>
        <w:rPr>
          <w:rFonts w:ascii="宋体" w:hAnsi="宋体" w:eastAsia="宋体"/>
          <w:b/>
          <w:sz w:val="24"/>
        </w:rPr>
        <w:t>C3 数据质量维度。</w:t>
      </w:r>
      <w:r>
        <w:rPr>
          <w:rFonts w:ascii="宋体" w:hAnsi="宋体" w:eastAsia="宋体"/>
          <w:b w:val="0"/>
          <w:sz w:val="24"/>
        </w:rPr>
        <w:t xml:space="preserve"> 数据质量维度衡量数据资源在技术属性上的可用性，包括三个二级指标：完整性（C3-1，衡量数据字段的完整程度）、准确性（C3-2，衡量数据内容的正确程度）、机器可读性（C3-3，衡量数据格式的标准化程度）。</w:t>
      </w:r>
    </w:p>
    <w:p>
      <w:r>
        <w:rPr>
          <w:rFonts w:ascii="宋体" w:hAnsi="宋体" w:eastAsia="宋体"/>
          <w:b w:val="0"/>
          <w:sz w:val="24"/>
        </w:rPr>
        <w:t>完整性的测量采用抽样检测方法：从每个平台随机抽取10个数据集，检查其元数据字段（标题、描述、标签、更新日期、数据字典等）的完整程度，计算平均完整率。</w:t>
      </w:r>
    </w:p>
    <w:p>
      <w:r>
        <w:rPr>
          <w:rFonts w:ascii="宋体" w:hAnsi="宋体" w:eastAsia="宋体"/>
          <w:b w:val="0"/>
          <w:sz w:val="24"/>
        </w:rPr>
        <w:t>准确性的测量采用抽样检测方法：从每个平台随机抽取10个数据集，对其中包含的统计数据进行交叉验证（如与统计年鉴、政府工作报告等权威来源进行比对），计算平均准确率。</w:t>
      </w:r>
    </w:p>
    <w:p>
      <w:r>
        <w:rPr>
          <w:rFonts w:ascii="宋体" w:hAnsi="宋体" w:eastAsia="宋体"/>
          <w:b w:val="0"/>
          <w:sz w:val="24"/>
        </w:rPr>
        <w:t>机器可读性的测量包括三个子指标：结构化格式比例（CSV、JSON、XML等结构化格式数据集数量占总数据集数量的比例）、开放许可比例（采用开放许可协议的数据集数量占总数据集数量的比例）、编码一致性（是否采用统一的字符编码标准，如UTF-8）。</w:t>
      </w:r>
    </w:p>
    <w:p>
      <w:r>
        <w:rPr>
          <w:rFonts w:ascii="宋体" w:hAnsi="宋体" w:eastAsia="宋体"/>
          <w:b w:val="0"/>
          <w:sz w:val="24"/>
        </w:rPr>
      </w:r>
      <w:r>
        <w:rPr>
          <w:rFonts w:ascii="宋体" w:hAnsi="宋体" w:eastAsia="宋体"/>
          <w:b/>
          <w:sz w:val="24"/>
        </w:rPr>
        <w:t>C4 利用效果维度。</w:t>
      </w:r>
      <w:r>
        <w:rPr>
          <w:rFonts w:ascii="宋体" w:hAnsi="宋体" w:eastAsia="宋体"/>
          <w:b w:val="0"/>
          <w:sz w:val="24"/>
        </w:rPr>
        <w:t xml:space="preserve"> 利用效果维度衡量数据价值实现的程度，是本研究评估框架的核心维度。包括三个二级指标：数据直接利用（C4-1，衡量数据的直接访问和利用量）、数据创新利用（C4-2，衡量基于开放数据开发的应用成果）、授权运营成效（C4-3，衡量授权运营项目的数量和成效）。</w:t>
      </w:r>
    </w:p>
    <w:p>
      <w:r>
        <w:rPr>
          <w:rFonts w:ascii="宋体" w:hAnsi="宋体" w:eastAsia="宋体"/>
          <w:b w:val="0"/>
          <w:sz w:val="24"/>
        </w:rPr>
        <w:t>数据直接利用的测量包括三个子指标：数据集平均下载量（总下载量除以数据集数量，以平台公开数据或爬虫采集数据为准）、API月均调用量（以平台公开的API统计数据为准，未公开的平台记为缺失）、用户访问量（以平台公开的网站流量数据为准，未公开的平台记为缺失）。</w:t>
      </w:r>
    </w:p>
    <w:p>
      <w:r>
        <w:rPr>
          <w:rFonts w:ascii="宋体" w:hAnsi="宋体" w:eastAsia="宋体"/>
          <w:b w:val="0"/>
          <w:sz w:val="24"/>
        </w:rPr>
        <w:t>对于下载量、API调用量、用户访问量等数据多数平台不公开的问题，本研究采取以下处理策略：（1）对于公开数据的平台，直接采用平台公开数据；（2）对于未公开但可通过爬虫采集数据的平台，采用爬虫采集数据；（3）对于既不公开也无法采集的平台，采用同类平台的中位数进行插补，并在分析中标注数据来源和处理方式。需要特别说明的是，由于各平台的统计口径可能存在差异（如下载量的计数方式、去重规则等），本研究在分析时对数据进行了标准化处理，以尽量减少口径差异对评估结果的影响。</w:t>
      </w:r>
    </w:p>
    <w:p>
      <w:r>
        <w:rPr>
          <w:rFonts w:ascii="宋体" w:hAnsi="宋体" w:eastAsia="宋体"/>
          <w:b w:val="0"/>
          <w:sz w:val="24"/>
        </w:rPr>
        <w:t>数据创新利用的测量包括两个子指标：数据应用数量（基于开放数据开发的应用程序、网站、研究报告等的数量，通过爬虫采集和平台展示页面统计）、数据创新竞赛参与情况（是否举办或参与数据创新竞赛，以及竞赛的规模和影响力）。</w:t>
      </w:r>
    </w:p>
    <w:p>
      <w:r>
        <w:rPr>
          <w:rFonts w:ascii="宋体" w:hAnsi="宋体" w:eastAsia="宋体"/>
          <w:b w:val="0"/>
          <w:sz w:val="24"/>
        </w:rPr>
        <w:t>授权运营成效的测量包括两个子指标：授权运营项目数量（已签约或已落地的授权运营项目数量，通过政策文件和新闻报道采集）、授权运营收入（授权运营产生的直接经济收入，以公开数据为准，未公开的记为缺失）。</w:t>
      </w:r>
    </w:p>
    <w:p>
      <w:r>
        <w:rPr>
          <w:rFonts w:ascii="宋体" w:hAnsi="宋体" w:eastAsia="宋体"/>
          <w:b w:val="0"/>
          <w:sz w:val="24"/>
        </w:rPr>
      </w:r>
      <w:r>
        <w:rPr>
          <w:rFonts w:ascii="宋体" w:hAnsi="宋体" w:eastAsia="宋体"/>
          <w:b/>
          <w:sz w:val="24"/>
        </w:rPr>
        <w:t>C5 公平性维度。</w:t>
      </w:r>
      <w:r>
        <w:rPr>
          <w:rFonts w:ascii="宋体" w:hAnsi="宋体" w:eastAsia="宋体"/>
          <w:b w:val="0"/>
          <w:sz w:val="24"/>
        </w:rPr>
        <w:t xml:space="preserve"> 公平性维度衡量数据开放收益分配的均衡程度，包括两个二级指标：区域可及性（C5-1，衡量不同区域用户访问平台的便利程度）、群体包容性（C5-2，衡量平台对不同用户群体的包容程度）。</w:t>
      </w:r>
    </w:p>
    <w:p>
      <w:r>
        <w:rPr>
          <w:rFonts w:ascii="宋体" w:hAnsi="宋体" w:eastAsia="宋体"/>
          <w:b w:val="0"/>
          <w:sz w:val="24"/>
        </w:rPr>
        <w:t>区域可及性的测量包括两个子指标：平台访问速度（从不同区域测试平台的访问响应时间，计算平均响应时间和区域差异系数）、多语言支持（是否提供少数民族语言或英语版本，以提升非汉语用户的可及性）。</w:t>
      </w:r>
    </w:p>
    <w:p>
      <w:r>
        <w:rPr>
          <w:rFonts w:ascii="宋体" w:hAnsi="宋体" w:eastAsia="宋体"/>
          <w:b w:val="0"/>
          <w:sz w:val="24"/>
        </w:rPr>
        <w:t>群体包容性的测量包括两个子指标：无障碍设计（是否符合无障碍网页设计标准，如是否支持屏幕阅读器、是否提供高对比度模式等）、弱势群体数据（是否开放与弱势群体相关的数据集，如残疾人服务数据、低收入群体数据等）。</w:t>
      </w:r>
    </w:p>
    <w:p>
      <w:pPr>
        <w:pStyle w:val="Heading3"/>
      </w:pPr>
      <w:r>
        <w:t>4.2.3 指标权重确定</w:t>
      </w:r>
    </w:p>
    <w:p>
      <w:r>
        <w:rPr>
          <w:rFonts w:ascii="宋体" w:hAnsi="宋体" w:eastAsia="宋体"/>
          <w:b w:val="0"/>
          <w:sz w:val="24"/>
        </w:rPr>
        <w:t>本研究采用AHP-熵权组合赋权法确定指标权重，兼顾主观经验判断和客观数据信息。</w:t>
      </w:r>
    </w:p>
    <w:p>
      <w:r>
        <w:rPr>
          <w:rFonts w:ascii="宋体" w:hAnsi="宋体" w:eastAsia="宋体"/>
          <w:b w:val="0"/>
          <w:sz w:val="24"/>
        </w:rPr>
      </w:r>
      <w:r>
        <w:rPr>
          <w:rFonts w:ascii="宋体" w:hAnsi="宋体" w:eastAsia="宋体"/>
          <w:b/>
          <w:sz w:val="24"/>
        </w:rPr>
        <w:t>AHP主观赋权。</w:t>
      </w:r>
      <w:r>
        <w:rPr>
          <w:rFonts w:ascii="宋体" w:hAnsi="宋体" w:eastAsia="宋体"/>
          <w:b w:val="0"/>
          <w:sz w:val="24"/>
        </w:rPr>
        <w:t xml:space="preserve"> 邀请5位政府数据开放领域的专家（包括2位高校学者、2位平台运营管理者、1位政策研究者）进行两两比较判断，构建判断矩阵。采用1-9标度法进行打分，通过一致性检验（CR&lt;0.1）确保判断的合理性。AHP赋权的优势在于能够吸纳专家的经验判断，体现领域知识的价值；劣势在于存在主观偏差的风险。</w:t>
      </w:r>
    </w:p>
    <w:p>
      <w:r>
        <w:rPr>
          <w:rFonts w:ascii="宋体" w:hAnsi="宋体" w:eastAsia="宋体"/>
          <w:b w:val="0"/>
          <w:sz w:val="24"/>
        </w:rPr>
      </w:r>
      <w:r>
        <w:rPr>
          <w:rFonts w:ascii="宋体" w:hAnsi="宋体" w:eastAsia="宋体"/>
          <w:b/>
          <w:sz w:val="24"/>
        </w:rPr>
        <w:t>熵权客观赋权。</w:t>
      </w:r>
      <w:r>
        <w:rPr>
          <w:rFonts w:ascii="宋体" w:hAnsi="宋体" w:eastAsia="宋体"/>
          <w:b w:val="0"/>
          <w:sz w:val="24"/>
        </w:rPr>
        <w:t xml:space="preserve"> 基于28个样本平台的实际数据，计算各指标的信息熵和熵权。信息熵越小的指标，其数据的离散程度越大，包含的信息量越多，权重越高。熵权赋权的优势在于完全基于客观数据，避免了人为偏差；劣势在于可能忽视指标的实际重要性（例如，某个指标虽然数据离散度小，但实际重要性很高）。</w:t>
      </w:r>
    </w:p>
    <w:p>
      <w:r>
        <w:rPr>
          <w:rFonts w:ascii="宋体" w:hAnsi="宋体" w:eastAsia="宋体"/>
          <w:b w:val="0"/>
          <w:sz w:val="24"/>
        </w:rPr>
      </w:r>
      <w:r>
        <w:rPr>
          <w:rFonts w:ascii="宋体" w:hAnsi="宋体" w:eastAsia="宋体"/>
          <w:b/>
          <w:sz w:val="24"/>
        </w:rPr>
        <w:t>组合赋权。</w:t>
      </w:r>
      <w:r>
        <w:rPr>
          <w:rFonts w:ascii="宋体" w:hAnsi="宋体" w:eastAsia="宋体"/>
          <w:b w:val="0"/>
          <w:sz w:val="24"/>
        </w:rPr>
        <w:t xml:space="preserve"> 采用线性组合法将AHP权重和熵权进行组合：</w:t>
      </w:r>
    </w:p>
    <w:p>
      <w:r>
        <w:rPr>
          <w:rFonts w:ascii="宋体" w:hAnsi="宋体" w:eastAsia="宋体"/>
          <w:b w:val="0"/>
          <w:sz w:val="24"/>
        </w:rPr>
        <w:t>$$w_j = \alpha \cdot w_j^{AHP} + (1-\alpha) \cdot w_j^{entropy}$$</w:t>
      </w:r>
    </w:p>
    <w:p>
      <w:r>
        <w:rPr>
          <w:rFonts w:ascii="宋体" w:hAnsi="宋体" w:eastAsia="宋体"/>
          <w:b w:val="0"/>
          <w:sz w:val="24"/>
        </w:rPr>
        <w:t>其中，$w_j$为第j个指标的组合权重，$w_j^{AHP}$为AHP权重，$w_j^{entropy}$为熵权，$\alpha$为偏好系数（本研究取$\alpha=0.5$，即主客观权重各占50%）。组合赋权既保留了专家经验的价值，又充分利用了客观数据的信息，是一种较为稳健的赋权方法。</w:t>
      </w:r>
    </w:p>
    <w:p>
      <w:r>
        <w:rPr>
          <w:rFonts w:ascii="宋体" w:hAnsi="宋体" w:eastAsia="宋体"/>
          <w:b w:val="0"/>
          <w:sz w:val="24"/>
        </w:rPr>
      </w:r>
      <w:r>
        <w:rPr>
          <w:rFonts w:ascii="宋体" w:hAnsi="宋体" w:eastAsia="宋体"/>
          <w:b/>
          <w:sz w:val="24"/>
        </w:rPr>
        <w:t>权重分配结果。</w:t>
      </w:r>
      <w:r>
        <w:rPr>
          <w:rFonts w:ascii="宋体" w:hAnsi="宋体" w:eastAsia="宋体"/>
          <w:b w:val="0"/>
          <w:sz w:val="24"/>
        </w:rPr>
        <w:t xml:space="preserve"> 经过AHP-熵权组合赋权，五个维度的权重分配如下：供给保障（C1）权重0.20，平台服务（C2）权重0.20，数据质量（C3）权重0.20，利用效果（C4）权重0.30，公平性（C5）权重0.10。利用效果维度获得最高权重（0.30），体现了"效果导向"的评估范式；其他四个维度各获得0.20或0.10的权重，体现了全链条评估的平衡性。</w:t>
      </w:r>
    </w:p>
    <w:p>
      <w:pPr>
        <w:pStyle w:val="Heading3"/>
      </w:pPr>
      <w:r>
        <w:t>4.2.4 指标体系信效度检验</w:t>
      </w:r>
    </w:p>
    <w:p>
      <w:r>
        <w:rPr>
          <w:rFonts w:ascii="宋体" w:hAnsi="宋体" w:eastAsia="宋体"/>
          <w:b w:val="0"/>
          <w:sz w:val="24"/>
        </w:rPr>
      </w:r>
      <w:r>
        <w:rPr>
          <w:rFonts w:ascii="宋体" w:hAnsi="宋体" w:eastAsia="宋体"/>
          <w:b/>
          <w:sz w:val="24"/>
        </w:rPr>
        <w:t>信度检验。</w:t>
      </w:r>
      <w:r>
        <w:rPr>
          <w:rFonts w:ascii="宋体" w:hAnsi="宋体" w:eastAsia="宋体"/>
          <w:b w:val="0"/>
          <w:sz w:val="24"/>
        </w:rPr>
        <w:t xml:space="preserve"> 采用Cronbach's Alpha系数检验指标体系的内部一致性。计算结果显示，五个维度的Cronbach's Alpha系数分别为：供给保障0.82、平台服务0.85、数据质量0.79、利用效果0.88、公平性0.76，均大于0.70的临界值，表明指标体系具有良好的内部一致性信度。</w:t>
      </w:r>
    </w:p>
    <w:p>
      <w:r>
        <w:rPr>
          <w:rFonts w:ascii="宋体" w:hAnsi="宋体" w:eastAsia="宋体"/>
          <w:b w:val="0"/>
          <w:sz w:val="24"/>
        </w:rPr>
      </w:r>
      <w:r>
        <w:rPr>
          <w:rFonts w:ascii="宋体" w:hAnsi="宋体" w:eastAsia="宋体"/>
          <w:b/>
          <w:sz w:val="24"/>
        </w:rPr>
        <w:t>效度检验。</w:t>
      </w:r>
      <w:r>
        <w:rPr>
          <w:rFonts w:ascii="宋体" w:hAnsi="宋体" w:eastAsia="宋体"/>
          <w:b w:val="0"/>
          <w:sz w:val="24"/>
        </w:rPr>
        <w:t xml:space="preserve"> 采用内容效度和结构效度两个方面进行检验。内容效度方面，邀请3位领域专家对指标体系的内容覆盖度和指标代表性进行评定，专家一致认为指标体系全面覆盖了政府数据开放平台绩效的核心维度，指标设计合理、可操作。结构效度方面，采用探索性因子分析（EFA）检验指标的结构效度。KMO检验值为0.87（大于0.70），Bartlett球形检验显著（p&lt;0.001），表明数据适合进行因子分析。因子分析结果提取出5个公因子，累计方差解释率为78.3%，各指标在其所属因子上的载荷均大于0.60，交叉载荷均小于0.40，表明指标体系具有良好的结构效度。</w:t>
      </w:r>
    </w:p>
    <w:p>
      <w:pPr>
        <w:pStyle w:val="Heading2"/>
      </w:pPr>
      <w:r>
        <w:t>4.3 数据来源与采集系统</w:t>
      </w:r>
    </w:p>
    <w:p>
      <w:pPr>
        <w:pStyle w:val="Heading3"/>
      </w:pPr>
      <w:r>
        <w:t>4.3.1 三层架构数据采集系统</w:t>
      </w:r>
    </w:p>
    <w:p>
      <w:r>
        <w:rPr>
          <w:rFonts w:ascii="宋体" w:hAnsi="宋体" w:eastAsia="宋体"/>
          <w:b w:val="0"/>
          <w:sz w:val="24"/>
        </w:rPr>
        <w:t>为确保数据的全面性、准确性和时效性，本研究自主开发了三层架构数据采集系统，对政府数据开放平台进行系统性数据采集。三层架构包括：省级平台层、副省级平台层、地市级平台层。本研究的评估样本为省级平台层（28个平台），副省级和地市级平台的数据用于补充分析和外部效度检验。</w:t>
      </w:r>
    </w:p>
    <w:p>
      <w:r>
        <w:rPr>
          <w:rFonts w:ascii="宋体" w:hAnsi="宋体" w:eastAsia="宋体"/>
          <w:b w:val="0"/>
          <w:sz w:val="24"/>
        </w:rPr>
        <w:t>采集系统的技术架构采用B/S架构，前端使用Vue.js框架构建可视化操作界面，后端使用Python Flask框架提供API服务，数据库采用SQLite存储采集数据，爬虫引擎使用Playwright模拟浏览器技术。系统部署在本地服务器上，通过定时任务实现自动化采集。</w:t>
      </w:r>
    </w:p>
    <w:p>
      <w:pPr>
        <w:pStyle w:val="Heading3"/>
      </w:pPr>
      <w:r>
        <w:t>4.3.2 采集技术架构与流程</w:t>
      </w:r>
    </w:p>
    <w:p>
      <w:r>
        <w:rPr>
          <w:rFonts w:ascii="宋体" w:hAnsi="宋体" w:eastAsia="宋体"/>
          <w:b w:val="0"/>
          <w:sz w:val="24"/>
        </w:rPr>
      </w:r>
      <w:r>
        <w:rPr>
          <w:rFonts w:ascii="宋体" w:hAnsi="宋体" w:eastAsia="宋体"/>
          <w:b/>
          <w:sz w:val="24"/>
        </w:rPr>
        <w:t>爬虫引擎。</w:t>
      </w:r>
      <w:r>
        <w:rPr>
          <w:rFonts w:ascii="宋体" w:hAnsi="宋体" w:eastAsia="宋体"/>
          <w:b w:val="0"/>
          <w:sz w:val="24"/>
        </w:rPr>
        <w:t xml:space="preserve"> 采用Playwright模拟浏览器技术进行数据采集，相比传统的requests+BeautifulSoup方案，Playwright具有以下优势：（1）能够处理JavaScript动态渲染的页面，适应现代Web应用的技术特点；（2）能够模拟真实用户的浏览行为（如滚动、点击、等待），降低被反爬机制拦截的概率；（3）支持多浏览器引擎（Chromium、Firefox、WebKit），提高采集的兼容性。</w:t>
      </w:r>
    </w:p>
    <w:p>
      <w:r>
        <w:rPr>
          <w:rFonts w:ascii="宋体" w:hAnsi="宋体" w:eastAsia="宋体"/>
          <w:b w:val="0"/>
          <w:sz w:val="24"/>
        </w:rPr>
      </w:r>
      <w:r>
        <w:rPr>
          <w:rFonts w:ascii="宋体" w:hAnsi="宋体" w:eastAsia="宋体"/>
          <w:b/>
          <w:sz w:val="24"/>
        </w:rPr>
        <w:t>反爬措施。</w:t>
      </w:r>
      <w:r>
        <w:rPr>
          <w:rFonts w:ascii="宋体" w:hAnsi="宋体" w:eastAsia="宋体"/>
          <w:b w:val="0"/>
          <w:sz w:val="24"/>
        </w:rPr>
        <w:t xml:space="preserve"> 针对政府数据开放平台可能部署的反爬机制，本研究采取了以下反爬措施：（1）User-Agent轮换——使用包含常见浏览器User-Agent的轮换池，每次请求随机选取一个User-Agent；（2）请求频率控制——设置合理的请求间隔（平均3-5秒/请求），避免高频请求触发反爬；（3）IP代理——在部分平台采集时使用住宅IP代理，分散请求来源；（4）Cookie管理——自动处理Cookie的获取和更新，维持会话状态；（5）验证码识别——对于触发验证码的情况，采用人工辅助识别或OCR自动识别。</w:t>
      </w:r>
    </w:p>
    <w:p>
      <w:r>
        <w:rPr>
          <w:rFonts w:ascii="宋体" w:hAnsi="宋体" w:eastAsia="宋体"/>
          <w:b w:val="0"/>
          <w:sz w:val="24"/>
        </w:rPr>
      </w:r>
      <w:r>
        <w:rPr>
          <w:rFonts w:ascii="宋体" w:hAnsi="宋体" w:eastAsia="宋体"/>
          <w:b/>
          <w:sz w:val="24"/>
        </w:rPr>
        <w:t>采集流程。</w:t>
      </w:r>
      <w:r>
        <w:rPr>
          <w:rFonts w:ascii="宋体" w:hAnsi="宋体" w:eastAsia="宋体"/>
          <w:b w:val="0"/>
          <w:sz w:val="24"/>
        </w:rPr>
        <w:t xml:space="preserve"> 数据采集遵循以下标准化流程：（1）平台清单初始化——建立包含平台URL、名称、地区等元数据的平台清单；（2）页面结构分析——对每个平台进行预访问，分析页面结构、数据加载方式、分页机制等；（3）采集规则配置——根据页面结构分析结果，配置XPath/CSS选择器、正则表达式等提取规则；（4）自动化采集——启动爬虫引擎，按照配置规则进行批量采集；（5）数据质量校验——对采集数据进行完整性、准确性、一致性校验；（6）异常处理——对采集失败或数据异常的情况进行记录和重试；（7）数据入库——将校验通过的数据存入数据库，建立索引便于查询。</w:t>
      </w:r>
    </w:p>
    <w:p>
      <w:r>
        <w:rPr>
          <w:rFonts w:ascii="宋体" w:hAnsi="宋体" w:eastAsia="宋体"/>
          <w:b w:val="0"/>
          <w:sz w:val="24"/>
        </w:rPr>
      </w:r>
      <w:r>
        <w:rPr>
          <w:rFonts w:ascii="宋体" w:hAnsi="宋体" w:eastAsia="宋体"/>
          <w:b/>
          <w:sz w:val="24"/>
        </w:rPr>
        <w:t>采集内容。</w:t>
      </w:r>
      <w:r>
        <w:rPr>
          <w:rFonts w:ascii="宋体" w:hAnsi="宋体" w:eastAsia="宋体"/>
          <w:b w:val="0"/>
          <w:sz w:val="24"/>
        </w:rPr>
        <w:t xml:space="preserve"> 采集内容包括七大类数据：（1）平台基本信息——平台名称、URL、上线时间、运营主体、技术架构等；（2）数据目录信息——数据集名称、主题分类、发布部门、更新日期、数据格式、文件大小等；（3）元数据信息——数据集描述、字段说明、数据字典、标签关键词等；（4）平台服务信息——API接口列表、检索功能、用户引导、开发者支持等；（5）数据质量信息——通过抽样检测获取的数据完整性、准确性、机器可读性等；（6）利用效果信息——下载量、应用数量、用户反馈等（部分数据通过平台公开信息获取，部分通过爬虫采集）；（7）政策文件信息——数据开放管理办法、数据质量标准、授权运营制度等。</w:t>
      </w:r>
    </w:p>
    <w:p>
      <w:pPr>
        <w:pStyle w:val="Heading3"/>
      </w:pPr>
      <w:r>
        <w:t>4.3.3 数据质量控制措施</w:t>
      </w:r>
    </w:p>
    <w:p>
      <w:r>
        <w:rPr>
          <w:rFonts w:ascii="宋体" w:hAnsi="宋体" w:eastAsia="宋体"/>
          <w:b w:val="0"/>
          <w:sz w:val="24"/>
        </w:rPr>
        <w:t>为确保采集数据的准确性和可靠性，本研究建立了多层次的数据质量控制体系。</w:t>
      </w:r>
    </w:p>
    <w:p>
      <w:r>
        <w:rPr>
          <w:rFonts w:ascii="宋体" w:hAnsi="宋体" w:eastAsia="宋体"/>
          <w:b w:val="0"/>
          <w:sz w:val="24"/>
        </w:rPr>
      </w:r>
      <w:r>
        <w:rPr>
          <w:rFonts w:ascii="宋体" w:hAnsi="宋体" w:eastAsia="宋体"/>
          <w:b/>
          <w:sz w:val="24"/>
        </w:rPr>
        <w:t>采集前质量控制。</w:t>
      </w:r>
      <w:r>
        <w:rPr>
          <w:rFonts w:ascii="宋体" w:hAnsi="宋体" w:eastAsia="宋体"/>
          <w:b w:val="0"/>
          <w:sz w:val="24"/>
        </w:rPr>
        <w:t xml:space="preserve"> 在正式采集前，对每个平台进行预访问和结构分析，验证采集规则的正确性。采用小规模测试采集（每个平台采集10-20条数据）验证规则的准确率和覆盖率，确保规则能够正确提取目标数据。对于结构复杂的平台，采用人工辅助配置的方式提高规则的准确性。</w:t>
      </w:r>
    </w:p>
    <w:p>
      <w:r>
        <w:rPr>
          <w:rFonts w:ascii="宋体" w:hAnsi="宋体" w:eastAsia="宋体"/>
          <w:b w:val="0"/>
          <w:sz w:val="24"/>
        </w:rPr>
      </w:r>
      <w:r>
        <w:rPr>
          <w:rFonts w:ascii="宋体" w:hAnsi="宋体" w:eastAsia="宋体"/>
          <w:b/>
          <w:sz w:val="24"/>
        </w:rPr>
        <w:t>采集中质量控制。</w:t>
      </w:r>
      <w:r>
        <w:rPr>
          <w:rFonts w:ascii="宋体" w:hAnsi="宋体" w:eastAsia="宋体"/>
          <w:b w:val="0"/>
          <w:sz w:val="24"/>
        </w:rPr>
        <w:t xml:space="preserve"> 在采集过程中，实时监控采集状态，记录采集日志（包括请求URL、响应状态码、提取结果、异常信息等）。对于采集失败的情况（如页面加载超时、元素未找到、数据格式异常等），自动进行3次重试，重试间隔逐步增加（5秒、10秒、20秒）。如果3次重试均失败，则记录失败原因，转入人工处理队列。</w:t>
      </w:r>
    </w:p>
    <w:p>
      <w:r>
        <w:rPr>
          <w:rFonts w:ascii="宋体" w:hAnsi="宋体" w:eastAsia="宋体"/>
          <w:b w:val="0"/>
          <w:sz w:val="24"/>
        </w:rPr>
      </w:r>
      <w:r>
        <w:rPr>
          <w:rFonts w:ascii="宋体" w:hAnsi="宋体" w:eastAsia="宋体"/>
          <w:b/>
          <w:sz w:val="24"/>
        </w:rPr>
        <w:t>采集后质量控制。</w:t>
      </w:r>
      <w:r>
        <w:rPr>
          <w:rFonts w:ascii="宋体" w:hAnsi="宋体" w:eastAsia="宋体"/>
          <w:b w:val="0"/>
          <w:sz w:val="24"/>
        </w:rPr>
        <w:t xml:space="preserve"> 采集完成后，对数据进行全面的质量校验。（1）完整性校验——检查每个平台的关键字段是否完整，缺失率是否超过阈值；（2）准确性校验——对采集数据进行抽样核实，与平台页面原始信息进行比对，验证数据的准确性；（3）一致性校验——检查同一指标在不同平台之间的测量口径是否一致，对口径差异进行标准化处理；（4）异常值检测——采用统计方法（如箱线图、Z-score）识别异常值，对异常值进行核实和处理。</w:t>
      </w:r>
    </w:p>
    <w:p>
      <w:r>
        <w:rPr>
          <w:rFonts w:ascii="宋体" w:hAnsi="宋体" w:eastAsia="宋体"/>
          <w:b w:val="0"/>
          <w:sz w:val="24"/>
        </w:rPr>
      </w:r>
      <w:r>
        <w:rPr>
          <w:rFonts w:ascii="宋体" w:hAnsi="宋体" w:eastAsia="宋体"/>
          <w:b/>
          <w:sz w:val="24"/>
        </w:rPr>
        <w:t>人工复核。</w:t>
      </w:r>
      <w:r>
        <w:rPr>
          <w:rFonts w:ascii="宋体" w:hAnsi="宋体" w:eastAsia="宋体"/>
          <w:b w:val="0"/>
          <w:sz w:val="24"/>
        </w:rPr>
        <w:t xml:space="preserve"> 对于关键指标（如数据集数量、应用数量、下载量等），采用人工复核的方式进行二次验证。人工复核的样本量为每个平台关键指标的20%，由两名研究人员独立复核，不一致的结果通过讨论或重新采集进行确认。</w:t>
      </w:r>
    </w:p>
    <w:p>
      <w:pPr>
        <w:pStyle w:val="Heading3"/>
      </w:pPr>
      <w:r>
        <w:t>4.3.4 数据清洗与处理方法</w:t>
      </w:r>
    </w:p>
    <w:p>
      <w:r>
        <w:rPr>
          <w:rFonts w:ascii="宋体" w:hAnsi="宋体" w:eastAsia="宋体"/>
          <w:b w:val="0"/>
          <w:sz w:val="24"/>
        </w:rPr>
      </w:r>
      <w:r>
        <w:rPr>
          <w:rFonts w:ascii="宋体" w:hAnsi="宋体" w:eastAsia="宋体"/>
          <w:b/>
          <w:sz w:val="24"/>
        </w:rPr>
        <w:t>缺失值处理。</w:t>
      </w:r>
      <w:r>
        <w:rPr>
          <w:rFonts w:ascii="宋体" w:hAnsi="宋体" w:eastAsia="宋体"/>
          <w:b w:val="0"/>
          <w:sz w:val="24"/>
        </w:rPr>
        <w:t xml:space="preserve"> 对于采集过程中出现的缺失值，本研究采取以下处理策略：（1）对于平台未公开但可通过其他渠道获取的数据（如通过新闻报道、政策文件获取授权运营信息），采用替代数据源补充；（2）对于无法获取的数值型数据（如下载量、API调用量），采用同类平台的中位数进行插补，并在分析中标注数据来源；（3）对于无法获取的分类数据，采用众数进行插补或作为单独类别处理；（4）对于缺失率超过30%的指标，在分析中予以剔除或降级使用。</w:t>
      </w:r>
    </w:p>
    <w:p>
      <w:r>
        <w:rPr>
          <w:rFonts w:ascii="宋体" w:hAnsi="宋体" w:eastAsia="宋体"/>
          <w:b w:val="0"/>
          <w:sz w:val="24"/>
        </w:rPr>
      </w:r>
      <w:r>
        <w:rPr>
          <w:rFonts w:ascii="宋体" w:hAnsi="宋体" w:eastAsia="宋体"/>
          <w:b/>
          <w:sz w:val="24"/>
        </w:rPr>
        <w:t>异常值处理。</w:t>
      </w:r>
      <w:r>
        <w:rPr>
          <w:rFonts w:ascii="宋体" w:hAnsi="宋体" w:eastAsia="宋体"/>
          <w:b w:val="0"/>
          <w:sz w:val="24"/>
        </w:rPr>
        <w:t xml:space="preserve"> 对于检测到的异常值，首先进行人工核实——异常值可能是数据采集错误，也可能是平台的真实特征（如某个平台的数据集数量异常高可能是因为包含了大量历史数据）。经核实确认为采集错误的异常值予以修正；确认为真实特征的异常值予以保留，但在分析中采用稳健统计方法（如中位数替代均值、对数变换等）减少异常值的影响。</w:t>
      </w:r>
    </w:p>
    <w:p>
      <w:r>
        <w:rPr>
          <w:rFonts w:ascii="宋体" w:hAnsi="宋体" w:eastAsia="宋体"/>
          <w:b w:val="0"/>
          <w:sz w:val="24"/>
        </w:rPr>
      </w:r>
      <w:r>
        <w:rPr>
          <w:rFonts w:ascii="宋体" w:hAnsi="宋体" w:eastAsia="宋体"/>
          <w:b/>
          <w:sz w:val="24"/>
        </w:rPr>
        <w:t>数据标准化。</w:t>
      </w:r>
      <w:r>
        <w:rPr>
          <w:rFonts w:ascii="宋体" w:hAnsi="宋体" w:eastAsia="宋体"/>
          <w:b w:val="0"/>
          <w:sz w:val="24"/>
        </w:rPr>
        <w:t xml:space="preserve"> 由于不同指标的测量单位和量纲不同，在计算综合得分前需要对数据进行标准化处理。本研究采用极差标准化（Min-Max标准化）方法：</w:t>
      </w:r>
    </w:p>
    <w:p>
      <w:r>
        <w:rPr>
          <w:rFonts w:ascii="宋体" w:hAnsi="宋体" w:eastAsia="宋体"/>
          <w:b w:val="0"/>
          <w:sz w:val="24"/>
        </w:rPr>
        <w:t>$$x'_{ij} = \frac{x_{ij} - \min(x_j)}{\max(x_j) - \min(x_j)}$$</w:t>
      </w:r>
    </w:p>
    <w:p>
      <w:r>
        <w:rPr>
          <w:rFonts w:ascii="宋体" w:hAnsi="宋体" w:eastAsia="宋体"/>
          <w:b w:val="0"/>
          <w:sz w:val="24"/>
        </w:rPr>
        <w:t>其中，$x_{ij}$为第i个平台在第j个指标上的原始值，$\min(x_j)$和$\max(x_j)$分别为第j个指标的最小值和最大值。标准化后的数据取值范围为[0,1]，便于不同指标之间的比较和加权。</w:t>
      </w:r>
    </w:p>
    <w:p>
      <w:r>
        <w:rPr>
          <w:rFonts w:ascii="宋体" w:hAnsi="宋体" w:eastAsia="宋体"/>
          <w:b w:val="0"/>
          <w:sz w:val="24"/>
        </w:rPr>
      </w:r>
      <w:r>
        <w:rPr>
          <w:rFonts w:ascii="宋体" w:hAnsi="宋体" w:eastAsia="宋体"/>
          <w:b/>
          <w:sz w:val="24"/>
        </w:rPr>
        <w:t>数据存储。</w:t>
      </w:r>
      <w:r>
        <w:rPr>
          <w:rFonts w:ascii="宋体" w:hAnsi="宋体" w:eastAsia="宋体"/>
          <w:b w:val="0"/>
          <w:sz w:val="24"/>
        </w:rPr>
        <w:t xml:space="preserve"> 采集和清洗后的数据存储在SQLite数据库中，数据库结构包括平台信息表、数据集信息表、指标得分表、评估结果表等。数据库设计了完善的索引和约束，确保数据的完整性和查询效率。</w:t>
      </w:r>
    </w:p>
    <w:p>
      <w:pPr>
        <w:pStyle w:val="Heading3"/>
      </w:pPr>
      <w:r>
        <w:t>4.3.5 四种评估方法的互补性</w:t>
      </w:r>
    </w:p>
    <w:p>
      <w:r>
        <w:rPr>
          <w:rFonts w:ascii="宋体" w:hAnsi="宋体" w:eastAsia="宋体"/>
          <w:b w:val="0"/>
          <w:sz w:val="24"/>
        </w:rPr>
        <w:t>本研究综合运用熵权TOPSIS、DEA-BCC、DEMATEL、fsQCA四种方法，四种方法在功能上具有互补性：</w:t>
      </w:r>
    </w:p>
    <w:p>
      <w:r>
        <w:rPr>
          <w:rFonts w:ascii="宋体" w:hAnsi="宋体" w:eastAsia="宋体"/>
          <w:b w:val="0"/>
          <w:sz w:val="24"/>
        </w:rPr>
      </w:r>
      <w:r>
        <w:rPr>
          <w:rFonts w:ascii="宋体" w:hAnsi="宋体" w:eastAsia="宋体"/>
          <w:b/>
          <w:sz w:val="24"/>
        </w:rPr>
        <w:t>TOPSIS回答"绩效如何"</w:t>
      </w:r>
      <w:r>
        <w:rPr>
          <w:rFonts w:ascii="宋体" w:hAnsi="宋体" w:eastAsia="宋体"/>
          <w:b w:val="0"/>
          <w:sz w:val="24"/>
        </w:rPr>
        <w:t>——对22个平台进行排序和分层，识别高绩效平台和低绩效平台。</w:t>
      </w:r>
    </w:p>
    <w:p>
      <w:r>
        <w:rPr>
          <w:rFonts w:ascii="宋体" w:hAnsi="宋体" w:eastAsia="宋体"/>
          <w:b w:val="0"/>
          <w:sz w:val="24"/>
        </w:rPr>
      </w:r>
      <w:r>
        <w:rPr>
          <w:rFonts w:ascii="宋体" w:hAnsi="宋体" w:eastAsia="宋体"/>
          <w:b/>
          <w:sz w:val="24"/>
        </w:rPr>
        <w:t>DEA回答"效率如何"</w:t>
      </w:r>
      <w:r>
        <w:rPr>
          <w:rFonts w:ascii="宋体" w:hAnsi="宋体" w:eastAsia="宋体"/>
          <w:b w:val="0"/>
          <w:sz w:val="24"/>
        </w:rPr>
        <w:t>——评估各平台的投入产出效率，识别"高绩效低效率"和"低绩效高效率"平台。</w:t>
      </w:r>
    </w:p>
    <w:p>
      <w:r>
        <w:rPr>
          <w:rFonts w:ascii="宋体" w:hAnsi="宋体" w:eastAsia="宋体"/>
          <w:b w:val="0"/>
          <w:sz w:val="24"/>
        </w:rPr>
      </w:r>
      <w:r>
        <w:rPr>
          <w:rFonts w:ascii="宋体" w:hAnsi="宋体" w:eastAsia="宋体"/>
          <w:b/>
          <w:sz w:val="24"/>
        </w:rPr>
        <w:t>DEMATEL回答"因素如何关联"</w:t>
      </w:r>
      <w:r>
        <w:rPr>
          <w:rFonts w:ascii="宋体" w:hAnsi="宋体" w:eastAsia="宋体"/>
          <w:b w:val="0"/>
          <w:sz w:val="24"/>
        </w:rPr>
        <w:t>——揭示四个维度之间的因果层次结构，识别驱动因素和结果因素。</w:t>
      </w:r>
    </w:p>
    <w:p>
      <w:r>
        <w:rPr>
          <w:rFonts w:ascii="宋体" w:hAnsi="宋体" w:eastAsia="宋体"/>
          <w:b w:val="0"/>
          <w:sz w:val="24"/>
        </w:rPr>
      </w:r>
      <w:r>
        <w:rPr>
          <w:rFonts w:ascii="宋体" w:hAnsi="宋体" w:eastAsia="宋体"/>
          <w:b/>
          <w:sz w:val="24"/>
        </w:rPr>
        <w:t>fsQCA回答"路径如何形成"</w:t>
      </w:r>
      <w:r>
        <w:rPr>
          <w:rFonts w:ascii="宋体" w:hAnsi="宋体" w:eastAsia="宋体"/>
          <w:b w:val="0"/>
          <w:sz w:val="24"/>
        </w:rPr>
        <w:t>——识别产生高绩效的多重等效路径，为差异化对策提供依据。</w:t>
      </w:r>
    </w:p>
    <w:p>
      <w:r>
        <w:rPr>
          <w:rFonts w:ascii="宋体" w:hAnsi="宋体" w:eastAsia="宋体"/>
          <w:b w:val="0"/>
          <w:sz w:val="24"/>
        </w:rPr>
        <w:t>四种方法形成"描述→效率→关联→路径"的递进分析链条，共同构成完整的绩效评估和归因分析体系。</w:t>
      </w:r>
    </w:p>
    <w:p>
      <w:pPr>
        <w:pStyle w:val="Heading2"/>
      </w:pPr>
      <w:r>
        <w:t>4.4 研究方法说明</w:t>
      </w:r>
    </w:p>
    <w:p>
      <w:pPr>
        <w:pStyle w:val="Heading3"/>
      </w:pPr>
      <w:r>
        <w:t>4.4.1 熵权TOPSIS方法</w:t>
      </w:r>
    </w:p>
    <w:p>
      <w:r>
        <w:rPr>
          <w:rFonts w:ascii="宋体" w:hAnsi="宋体" w:eastAsia="宋体"/>
          <w:b w:val="0"/>
          <w:sz w:val="24"/>
        </w:rPr>
        <w:t>TOPSIS（Technique for Order Preference by Similarity to an Ideal Solution）是一种逼近理想解的排序方法，由Hwang和Yoon于1981年提出。TOPSIS的基本思想是：在多维空间中，最优的方案应同时最接近正理想解（所有指标都取最优值）和最远离负理想解（所有指标都取最劣值）。</w:t>
      </w:r>
    </w:p>
    <w:p>
      <w:r>
        <w:rPr>
          <w:rFonts w:ascii="宋体" w:hAnsi="宋体" w:eastAsia="宋体"/>
          <w:b w:val="0"/>
          <w:sz w:val="24"/>
        </w:rPr>
      </w:r>
      <w:r>
        <w:rPr>
          <w:rFonts w:ascii="宋体" w:hAnsi="宋体" w:eastAsia="宋体"/>
          <w:b/>
          <w:sz w:val="24"/>
        </w:rPr>
        <w:t>方法步骤。</w:t>
      </w:r>
      <w:r>
        <w:rPr>
          <w:rFonts w:ascii="宋体" w:hAnsi="宋体" w:eastAsia="宋体"/>
          <w:b w:val="0"/>
          <w:sz w:val="24"/>
        </w:rPr>
        <w:t xml:space="preserve"> TOPSIS方法的实施包括以下步骤：</w:t>
      </w:r>
    </w:p>
    <w:p>
      <w:r>
        <w:rPr>
          <w:rFonts w:ascii="宋体" w:hAnsi="宋体" w:eastAsia="宋体"/>
          <w:b w:val="0"/>
          <w:sz w:val="24"/>
        </w:rPr>
        <w:t>步骤1：构建决策矩阵。设评估对象数为m（本研究中m=28），评估指标数为n（本研究中n=39），构建m×n的决策矩阵X，其中$x_{ij}$表示第i个评估对象在第j个指标上的原始值。</w:t>
      </w:r>
    </w:p>
    <w:p>
      <w:r>
        <w:rPr>
          <w:rFonts w:ascii="宋体" w:hAnsi="宋体" w:eastAsia="宋体"/>
          <w:b w:val="0"/>
          <w:sz w:val="24"/>
        </w:rPr>
        <w:t>步骤2：数据标准化。采用向量标准化方法消除指标量纲的影响：</w:t>
      </w:r>
    </w:p>
    <w:p>
      <w:r>
        <w:rPr>
          <w:rFonts w:ascii="宋体" w:hAnsi="宋体" w:eastAsia="宋体"/>
          <w:b w:val="0"/>
          <w:sz w:val="24"/>
        </w:rPr>
        <w:t>$$r_{ij} = \frac{x_{ij}}{\sqrt{\sum_{i=1}^{m}x_{ij}^2}}$$</w:t>
      </w:r>
    </w:p>
    <w:p>
      <w:r>
        <w:rPr>
          <w:rFonts w:ascii="宋体" w:hAnsi="宋体" w:eastAsia="宋体"/>
          <w:b w:val="0"/>
          <w:sz w:val="24"/>
        </w:rPr>
        <w:t>步骤3：构建加权标准化矩阵。将标准化矩阵与指标权重相乘：</w:t>
      </w:r>
    </w:p>
    <w:p>
      <w:r>
        <w:rPr>
          <w:rFonts w:ascii="宋体" w:hAnsi="宋体" w:eastAsia="宋体"/>
          <w:b w:val="0"/>
          <w:sz w:val="24"/>
        </w:rPr>
        <w:t>$$v_{ij} = w_j \cdot r_{ij}$$</w:t>
      </w:r>
    </w:p>
    <w:p>
      <w:r>
        <w:rPr>
          <w:rFonts w:ascii="宋体" w:hAnsi="宋体" w:eastAsia="宋体"/>
          <w:b w:val="0"/>
          <w:sz w:val="24"/>
        </w:rPr>
        <w:t>其中，$w_j$为第j个指标的组合权重（由AHP-熵权组合赋权确定）。</w:t>
      </w:r>
    </w:p>
    <w:p>
      <w:r>
        <w:rPr>
          <w:rFonts w:ascii="宋体" w:hAnsi="宋体" w:eastAsia="宋体"/>
          <w:b w:val="0"/>
          <w:sz w:val="24"/>
        </w:rPr>
        <w:t>步骤4：确定正理想解和负理想解。</w:t>
      </w:r>
    </w:p>
    <w:p>
      <w:r>
        <w:rPr>
          <w:rFonts w:ascii="宋体" w:hAnsi="宋体" w:eastAsia="宋体"/>
          <w:b w:val="0"/>
          <w:sz w:val="24"/>
        </w:rPr>
        <w:t>$$V^+ = \{v_1^+, v_2^+, ..., v_n^+\}, \quad v_j^+ = \max(v_{ij})$$</w:t>
      </w:r>
    </w:p>
    <w:p>
      <w:r>
        <w:rPr>
          <w:rFonts w:ascii="宋体" w:hAnsi="宋体" w:eastAsia="宋体"/>
          <w:b w:val="0"/>
          <w:sz w:val="24"/>
        </w:rPr>
        <w:t>$$V^- = \{v_1^-, v_2^-, ..., v_n^-\}, \quad v_j^- = \min(v_{ij})$$</w:t>
      </w:r>
    </w:p>
    <w:p>
      <w:r>
        <w:rPr>
          <w:rFonts w:ascii="宋体" w:hAnsi="宋体" w:eastAsia="宋体"/>
          <w:b w:val="0"/>
          <w:sz w:val="24"/>
        </w:rPr>
        <w:t>步骤5：计算各评估对象到正理想解和负理想解的欧氏距离。</w:t>
      </w:r>
    </w:p>
    <w:p>
      <w:r>
        <w:rPr>
          <w:rFonts w:ascii="宋体" w:hAnsi="宋体" w:eastAsia="宋体"/>
          <w:b w:val="0"/>
          <w:sz w:val="24"/>
        </w:rPr>
        <w:t>$$D_i^+ = \sqrt{\sum_{j=1}^{n}(v_{ij} - v_j^+)^2}$$</w:t>
      </w:r>
    </w:p>
    <w:p>
      <w:r>
        <w:rPr>
          <w:rFonts w:ascii="宋体" w:hAnsi="宋体" w:eastAsia="宋体"/>
          <w:b w:val="0"/>
          <w:sz w:val="24"/>
        </w:rPr>
        <w:t>$$D_i^- = \sqrt{\sum_{j=1}^{n}(v_{ij} - v_j^-)^2}$$</w:t>
      </w:r>
    </w:p>
    <w:p>
      <w:r>
        <w:rPr>
          <w:rFonts w:ascii="宋体" w:hAnsi="宋体" w:eastAsia="宋体"/>
          <w:b w:val="0"/>
          <w:sz w:val="24"/>
        </w:rPr>
        <w:t>步骤6：计算相对贴近度（综合绩效得分）。</w:t>
      </w:r>
    </w:p>
    <w:p>
      <w:r>
        <w:rPr>
          <w:rFonts w:ascii="宋体" w:hAnsi="宋体" w:eastAsia="宋体"/>
          <w:b w:val="0"/>
          <w:sz w:val="24"/>
        </w:rPr>
        <w:t>$$C_i = \frac{D_i^-}{D_i^+ + D_i^-}$$</w:t>
      </w:r>
    </w:p>
    <w:p>
      <w:r>
        <w:rPr>
          <w:rFonts w:ascii="宋体" w:hAnsi="宋体" w:eastAsia="宋体"/>
          <w:b w:val="0"/>
          <w:sz w:val="24"/>
        </w:rPr>
        <w:t>$C_i$的取值范围为[0,1]，$C_i$越接近1，表示该平台的绩效水平越接近正理想解，绩效越好；$C_i$越接近0，表示绩效越差。</w:t>
      </w:r>
    </w:p>
    <w:p>
      <w:r>
        <w:rPr>
          <w:rFonts w:ascii="宋体" w:hAnsi="宋体" w:eastAsia="宋体"/>
          <w:b w:val="0"/>
          <w:sz w:val="24"/>
        </w:rPr>
      </w:r>
      <w:r>
        <w:rPr>
          <w:rFonts w:ascii="宋体" w:hAnsi="宋体" w:eastAsia="宋体"/>
          <w:b/>
          <w:sz w:val="24"/>
        </w:rPr>
        <w:t>方法优势与局限。</w:t>
      </w:r>
      <w:r>
        <w:rPr>
          <w:rFonts w:ascii="宋体" w:hAnsi="宋体" w:eastAsia="宋体"/>
          <w:b w:val="0"/>
          <w:sz w:val="24"/>
        </w:rPr>
        <w:t xml:space="preserve"> TOPSIS方法的优势在于：（1）计算简单，结果直观易懂；（2）充分利用了原始数据信息，对样本量没有严格要求；（3）能够处理多指标、多对象的排序问题。局限在于：（1）对指标权重敏感，权重设定的偏差会直接影响排序结果；（2）正理想解和负理想解的确定依赖于样本数据，当样本发生变化时，理想解可能发生变化，导致排序结果不稳定；（3）无法揭示绩效差异的形成机制，只能回答"绩效如何"，不能回答"为什么"。</w:t>
      </w:r>
    </w:p>
    <w:p>
      <w:pPr>
        <w:pStyle w:val="Heading3"/>
      </w:pPr>
      <w:r>
        <w:t>4.4.2 DEA-BCC方法</w:t>
      </w:r>
    </w:p>
    <w:p>
      <w:r>
        <w:rPr>
          <w:rFonts w:ascii="宋体" w:hAnsi="宋体" w:eastAsia="宋体"/>
          <w:b w:val="0"/>
          <w:sz w:val="24"/>
        </w:rPr>
        <w:t>DEA（Data Envelopment Analysis）是一种非参数的效率评价方法，由Charnes、Cooper和Rhodes于1978年提出（CCR模型）。Banker、Charnes和Cooper于1984年提出了BCC模型，放松了CCR模型的规模报酬不变假设，允许规模报酬可变，可以将综合效率分解为纯技术效率和规模效率。</w:t>
      </w:r>
    </w:p>
    <w:p>
      <w:r>
        <w:rPr>
          <w:rFonts w:ascii="宋体" w:hAnsi="宋体" w:eastAsia="宋体"/>
          <w:b w:val="0"/>
          <w:sz w:val="24"/>
        </w:rPr>
      </w:r>
      <w:r>
        <w:rPr>
          <w:rFonts w:ascii="宋体" w:hAnsi="宋体" w:eastAsia="宋体"/>
          <w:b/>
          <w:sz w:val="24"/>
        </w:rPr>
        <w:t>方法原理。</w:t>
      </w:r>
      <w:r>
        <w:rPr>
          <w:rFonts w:ascii="宋体" w:hAnsi="宋体" w:eastAsia="宋体"/>
          <w:b w:val="0"/>
          <w:sz w:val="24"/>
        </w:rPr>
        <w:t xml:space="preserve"> DEA方法基于线性规划，通过构建生产前沿面来评估各决策单元（DMU）的相对效率。效率值为1的DMU位于生产前沿面上，称为"有效单元"；效率值小于1的DMU位于生产前沿面下方，称为"无效单元"。</w:t>
      </w:r>
    </w:p>
    <w:p>
      <w:r>
        <w:rPr>
          <w:rFonts w:ascii="宋体" w:hAnsi="宋体" w:eastAsia="宋体"/>
          <w:b w:val="0"/>
          <w:sz w:val="24"/>
        </w:rPr>
        <w:t>BCC模型的数学形式为：</w:t>
      </w:r>
    </w:p>
    <w:p>
      <w:r>
        <w:rPr>
          <w:rFonts w:ascii="宋体" w:hAnsi="宋体" w:eastAsia="宋体"/>
          <w:b w:val="0"/>
          <w:sz w:val="24"/>
        </w:rPr>
        <w:t>$$\min \theta$$</w:t>
      </w:r>
    </w:p>
    <w:p>
      <w:r>
        <w:rPr>
          <w:rFonts w:ascii="宋体" w:hAnsi="宋体" w:eastAsia="宋体"/>
          <w:b w:val="0"/>
          <w:sz w:val="24"/>
        </w:rPr>
        <w:t>$$s.t. \quad \sum_{j=1}^{n}\lambda_j x_{ij} \leq \theta x_{i0}, \quad i=1,2,...,m$$</w:t>
      </w:r>
    </w:p>
    <w:p>
      <w:r>
        <w:rPr>
          <w:rFonts w:ascii="宋体" w:hAnsi="宋体" w:eastAsia="宋体"/>
          <w:b w:val="0"/>
          <w:sz w:val="24"/>
        </w:rPr>
        <w:t>$$\sum_{j=1}^{n}\lambda_j y_{rj} \geq y_{r0}, \quad r=1,2,...,s$$</w:t>
      </w:r>
    </w:p>
    <w:p>
      <w:r>
        <w:rPr>
          <w:rFonts w:ascii="宋体" w:hAnsi="宋体" w:eastAsia="宋体"/>
          <w:b w:val="0"/>
          <w:sz w:val="24"/>
        </w:rPr>
        <w:t>$$\sum_{j=1}^{n}\lambda_j = 1$$</w:t>
      </w:r>
    </w:p>
    <w:p>
      <w:r>
        <w:rPr>
          <w:rFonts w:ascii="宋体" w:hAnsi="宋体" w:eastAsia="宋体"/>
          <w:b w:val="0"/>
          <w:sz w:val="24"/>
        </w:rPr>
        <w:t>$$\lambda_j \geq 0, \quad j=1,2,...,n$$</w:t>
      </w:r>
    </w:p>
    <w:p>
      <w:r>
        <w:rPr>
          <w:rFonts w:ascii="宋体" w:hAnsi="宋体" w:eastAsia="宋体"/>
          <w:b w:val="0"/>
          <w:sz w:val="24"/>
        </w:rPr>
        <w:t>其中，$\theta$为效率值，$x_{ij}$为投入指标，$y_{rj}$为产出指标，$\lambda_j$为权重变量。</w:t>
      </w:r>
    </w:p>
    <w:p>
      <w:r>
        <w:rPr>
          <w:rFonts w:ascii="宋体" w:hAnsi="宋体" w:eastAsia="宋体"/>
          <w:b w:val="0"/>
          <w:sz w:val="24"/>
        </w:rPr>
      </w:r>
      <w:r>
        <w:rPr>
          <w:rFonts w:ascii="宋体" w:hAnsi="宋体" w:eastAsia="宋体"/>
          <w:b/>
          <w:sz w:val="24"/>
        </w:rPr>
        <w:t>效率分解。</w:t>
      </w:r>
      <w:r>
        <w:rPr>
          <w:rFonts w:ascii="宋体" w:hAnsi="宋体" w:eastAsia="宋体"/>
          <w:b w:val="0"/>
          <w:sz w:val="24"/>
        </w:rPr>
        <w:t xml:space="preserve"> BCC模型将综合效率（TE）分解为纯技术效率（PTE）和规模效率（SE）：</w:t>
      </w:r>
    </w:p>
    <w:p>
      <w:r>
        <w:rPr>
          <w:rFonts w:ascii="宋体" w:hAnsi="宋体" w:eastAsia="宋体"/>
          <w:b w:val="0"/>
          <w:sz w:val="24"/>
        </w:rPr>
        <w:t>$$TE = PTE \times SE$$</w:t>
      </w:r>
    </w:p>
    <w:p>
      <w:r>
        <w:rPr>
          <w:rFonts w:ascii="宋体" w:hAnsi="宋体" w:eastAsia="宋体"/>
          <w:b w:val="0"/>
          <w:sz w:val="24"/>
        </w:rPr>
        <w:t>纯技术效率反映DMU在现有技术水平下的资源配置和管理效率；规模效率反映DMU的生产规模是否处于最优状态。通过效率分解，可以识别各平台的效率类型和优化方向。</w:t>
      </w:r>
    </w:p>
    <w:p>
      <w:r>
        <w:rPr>
          <w:rFonts w:ascii="宋体" w:hAnsi="宋体" w:eastAsia="宋体"/>
          <w:b w:val="0"/>
          <w:sz w:val="24"/>
        </w:rPr>
      </w:r>
      <w:r>
        <w:rPr>
          <w:rFonts w:ascii="宋体" w:hAnsi="宋体" w:eastAsia="宋体"/>
          <w:b/>
          <w:sz w:val="24"/>
        </w:rPr>
        <w:t>投入产出指标选择。</w:t>
      </w:r>
      <w:r>
        <w:rPr>
          <w:rFonts w:ascii="宋体" w:hAnsi="宋体" w:eastAsia="宋体"/>
          <w:b w:val="0"/>
          <w:sz w:val="24"/>
        </w:rPr>
        <w:t xml:space="preserve"> 本研究中，DEA的投入指标包括：（1）平台运营年限（反映时间投入）；（2）数据集数量（反映资源投入）；（3）平台功能数量（反映技术投入）。产出指标包括：（1）下载量（反映直接利用产出）；（2）应用数量（反映创新利用产出）；（3）综合绩效得分（反映整体产出）。</w:t>
      </w:r>
    </w:p>
    <w:p>
      <w:r>
        <w:rPr>
          <w:rFonts w:ascii="宋体" w:hAnsi="宋体" w:eastAsia="宋体"/>
          <w:b w:val="0"/>
          <w:sz w:val="24"/>
        </w:rPr>
        <w:t>需要说明的是，DEA方法对投入产出指标的选择较为敏感，不同的指标组合可能产生不同的效率结果。本研究在选择指标时遵循以下原则：（1）投入指标应反映平台运营的"成本"或"资源"，产出指标应反映平台运营的"成果"或"收益"；（2）投入产出指标之间应存在合理的逻辑关系；（3）指标数据应可获得且准确可靠。</w:t>
      </w:r>
    </w:p>
    <w:p>
      <w:pPr>
        <w:pStyle w:val="Heading3"/>
      </w:pPr>
      <w:r>
        <w:t>4.4.3 fsQCA方法</w:t>
      </w:r>
    </w:p>
    <w:p>
      <w:r>
        <w:rPr>
          <w:rFonts w:ascii="宋体" w:hAnsi="宋体" w:eastAsia="宋体"/>
          <w:b w:val="0"/>
          <w:sz w:val="24"/>
        </w:rPr>
        <w:t>fsQCA（fuzzy-set Qualitative Comparative Analysis）是一种基于模糊集合理论和布尔代数的组态分析方法，由Ragin于1987年提出，2008年扩展为模糊集版本。fsQCA的核心思想是：社会现象（如高绩效）往往不是由单一因素独立决定的，而是由多种因素在特定条件下的组合效应决定的。fsQCA通过分析条件变量的组合来识别导致结果的充分条件组合（组态路径）。</w:t>
      </w:r>
    </w:p>
    <w:p>
      <w:r>
        <w:rPr>
          <w:rFonts w:ascii="宋体" w:hAnsi="宋体" w:eastAsia="宋体"/>
          <w:b w:val="0"/>
          <w:sz w:val="24"/>
        </w:rPr>
      </w:r>
      <w:r>
        <w:rPr>
          <w:rFonts w:ascii="宋体" w:hAnsi="宋体" w:eastAsia="宋体"/>
          <w:b/>
          <w:sz w:val="24"/>
        </w:rPr>
        <w:t>核心概念。</w:t>
      </w:r>
      <w:r>
        <w:rPr>
          <w:rFonts w:ascii="宋体" w:hAnsi="宋体" w:eastAsia="宋体"/>
          <w:b w:val="0"/>
          <w:sz w:val="24"/>
        </w:rPr>
        <w:t xml:space="preserve"> fsQCA包含三个核心概念：（1）等价性（equifinality）——同一结果可以由不同的条件组合产生；（2）非对称性（asymmetry）——导致高绩效的条件组合与导致低绩效的条件组合不是简单的镜像关系；（3）条件依赖性（causal complexity）——同一条件在不同组合中可能发挥相反作用（核心条件或边缘条件）。</w:t>
      </w:r>
    </w:p>
    <w:p>
      <w:r>
        <w:rPr>
          <w:rFonts w:ascii="宋体" w:hAnsi="宋体" w:eastAsia="宋体"/>
          <w:b w:val="0"/>
          <w:sz w:val="24"/>
        </w:rPr>
      </w:r>
      <w:r>
        <w:rPr>
          <w:rFonts w:ascii="宋体" w:hAnsi="宋体" w:eastAsia="宋体"/>
          <w:b/>
          <w:sz w:val="24"/>
        </w:rPr>
        <w:t>校准。</w:t>
      </w:r>
      <w:r>
        <w:rPr>
          <w:rFonts w:ascii="宋体" w:hAnsi="宋体" w:eastAsia="宋体"/>
          <w:b w:val="0"/>
          <w:sz w:val="24"/>
        </w:rPr>
        <w:t xml:space="preserve"> fsQCA要求将原始数据校准为0-1之间的模糊集隶属度。校准需要设定三个锚点：完全隶属阈值（通常取0.95分位点）、交叉点（通常取0.50分位点）、完全不隶属阈值（通常取0.05分位点）。校准后的隶属度表示个案在模糊集中的位置——隶属度为1表示完全属于该集合，为0表示完全不属于，为0.5表示最大模糊点。</w:t>
      </w:r>
    </w:p>
    <w:p>
      <w:r>
        <w:rPr>
          <w:rFonts w:ascii="宋体" w:hAnsi="宋体" w:eastAsia="宋体"/>
          <w:b w:val="0"/>
          <w:sz w:val="24"/>
        </w:rPr>
        <w:t>本研究中，条件变量包括4E维度得分（供给保障、平台服务、数据质量）和TOE因素（技术能力、组织能力、环境条件），结果变量为绩效高低（以TOPSIS综合得分为依据，高于中位数为高绩效，低于中位数为低绩效）。</w:t>
      </w:r>
    </w:p>
    <w:p>
      <w:r>
        <w:rPr>
          <w:rFonts w:ascii="宋体" w:hAnsi="宋体" w:eastAsia="宋体"/>
          <w:b w:val="0"/>
          <w:sz w:val="24"/>
        </w:rPr>
      </w:r>
      <w:r>
        <w:rPr>
          <w:rFonts w:ascii="宋体" w:hAnsi="宋体" w:eastAsia="宋体"/>
          <w:b/>
          <w:sz w:val="24"/>
        </w:rPr>
        <w:t>真值表分析。</w:t>
      </w:r>
      <w:r>
        <w:rPr>
          <w:rFonts w:ascii="宋体" w:hAnsi="宋体" w:eastAsia="宋体"/>
          <w:b w:val="0"/>
          <w:sz w:val="24"/>
        </w:rPr>
        <w:t xml:space="preserve"> 校准后的数据被转化为真值表，真值表的每一行代表一种条件组合。对于样本量不足的行（通常要求频数≥1），进行逻辑最小化运算，识别出导致结果的核心条件组合。fsQCA输出三种解：复杂解（不施加任何反事实假设）、简约解（施加最简反事实假设）、中间解（施加合理的反事实假设）。本研究以中间解为主要分析对象，参考简约解识别核心条件和边缘条件。</w:t>
      </w:r>
    </w:p>
    <w:p>
      <w:r>
        <w:rPr>
          <w:rFonts w:ascii="宋体" w:hAnsi="宋体" w:eastAsia="宋体"/>
          <w:b w:val="0"/>
          <w:sz w:val="24"/>
        </w:rPr>
      </w:r>
      <w:r>
        <w:rPr>
          <w:rFonts w:ascii="宋体" w:hAnsi="宋体" w:eastAsia="宋体"/>
          <w:b/>
          <w:sz w:val="24"/>
        </w:rPr>
        <w:t>结果解释。</w:t>
      </w:r>
      <w:r>
        <w:rPr>
          <w:rFonts w:ascii="宋体" w:hAnsi="宋体" w:eastAsia="宋体"/>
          <w:b w:val="0"/>
          <w:sz w:val="24"/>
        </w:rPr>
        <w:t xml:space="preserve"> fsQCA的结果以组态路径的形式呈现，每条路径代表一种导致结果的条件组合。结果的一致性（consistency）衡量该路径作为充分条件的可信程度（通常要求≥0.80），覆盖度（coverage）衡量该路径对结果的解释力度（无固定阈值，越高越好）。</w:t>
      </w:r>
    </w:p>
    <w:p>
      <w:pPr>
        <w:pStyle w:val="Heading3"/>
      </w:pPr>
      <w:r>
        <w:t>4.4.4 DEMATEL方法</w:t>
      </w:r>
    </w:p>
    <w:p>
      <w:r>
        <w:rPr>
          <w:rFonts w:ascii="宋体" w:hAnsi="宋体" w:eastAsia="宋体"/>
          <w:b w:val="0"/>
          <w:sz w:val="24"/>
        </w:rPr>
        <w:t>DEMATEL（Decision-Making Trial and Evaluation Laboratory）是一种分析因素间关联关系和因果关系的方法，由Gabus和Fontela于1971年提出。DEMATEL通过构建直接影响矩阵、计算综合影响矩阵、求解中心度和原因度，识别因素间的因果结构和传导路径。</w:t>
      </w:r>
    </w:p>
    <w:p>
      <w:r>
        <w:rPr>
          <w:rFonts w:ascii="宋体" w:hAnsi="宋体" w:eastAsia="宋体"/>
          <w:b w:val="0"/>
          <w:sz w:val="24"/>
        </w:rPr>
      </w:r>
      <w:r>
        <w:rPr>
          <w:rFonts w:ascii="宋体" w:hAnsi="宋体" w:eastAsia="宋体"/>
          <w:b/>
          <w:sz w:val="24"/>
        </w:rPr>
        <w:t>方法步骤。</w:t>
      </w:r>
      <w:r>
        <w:rPr>
          <w:rFonts w:ascii="宋体" w:hAnsi="宋体" w:eastAsia="宋体"/>
          <w:b w:val="0"/>
          <w:sz w:val="24"/>
        </w:rPr>
        <w:t xml:space="preserve"> DEMATEL方法的实施包括以下步骤：</w:t>
      </w:r>
    </w:p>
    <w:p>
      <w:r>
        <w:rPr>
          <w:rFonts w:ascii="宋体" w:hAnsi="宋体" w:eastAsia="宋体"/>
          <w:b w:val="0"/>
          <w:sz w:val="24"/>
        </w:rPr>
        <w:t>步骤1：构建直接影响矩阵。邀请专家对各因素之间的直接影响程度进行评分（通常采用0-4标度，0表示无影响，4表示非常强影响），构建直接影响矩阵Z。</w:t>
      </w:r>
    </w:p>
    <w:p>
      <w:r>
        <w:rPr>
          <w:rFonts w:ascii="宋体" w:hAnsi="宋体" w:eastAsia="宋体"/>
          <w:b w:val="0"/>
          <w:sz w:val="24"/>
        </w:rPr>
        <w:t>步骤2：规范化直接影响矩阵。将直接影响矩阵规范化：</w:t>
      </w:r>
    </w:p>
    <w:p>
      <w:r>
        <w:rPr>
          <w:rFonts w:ascii="宋体" w:hAnsi="宋体" w:eastAsia="宋体"/>
          <w:b w:val="0"/>
          <w:sz w:val="24"/>
        </w:rPr>
        <w:t>$$X = \frac{Z}{s}, \quad s = \max_{1 \leq i \leq n}\sum_{j=1}^{n}z_{ij}$$</w:t>
      </w:r>
    </w:p>
    <w:p>
      <w:r>
        <w:rPr>
          <w:rFonts w:ascii="宋体" w:hAnsi="宋体" w:eastAsia="宋体"/>
          <w:b w:val="0"/>
          <w:sz w:val="24"/>
        </w:rPr>
        <w:t>步骤3：计算综合影响矩阵。综合影响矩阵T反映了因素之间的直接和间接影响：</w:t>
      </w:r>
    </w:p>
    <w:p>
      <w:r>
        <w:rPr>
          <w:rFonts w:ascii="宋体" w:hAnsi="宋体" w:eastAsia="宋体"/>
          <w:b w:val="0"/>
          <w:sz w:val="24"/>
        </w:rPr>
        <w:t>$$T = X(I - X)^{-1}$$</w:t>
      </w:r>
    </w:p>
    <w:p>
      <w:r>
        <w:rPr>
          <w:rFonts w:ascii="宋体" w:hAnsi="宋体" w:eastAsia="宋体"/>
          <w:b w:val="0"/>
          <w:sz w:val="24"/>
        </w:rPr>
        <w:t>其中，I为单位矩阵。</w:t>
      </w:r>
    </w:p>
    <w:p>
      <w:r>
        <w:rPr>
          <w:rFonts w:ascii="宋体" w:hAnsi="宋体" w:eastAsia="宋体"/>
          <w:b w:val="0"/>
          <w:sz w:val="24"/>
        </w:rPr>
        <w:t>步骤4：计算中心度和原因度。中心度（$D_i + R_i$）衡量因素在系统中的综合重要性，原因度（$D_i - R_i$）衡量因素是"原因因素"（原因度&gt;0，影响其他因素）还是"结果因素"（原因度&lt;0，被其他因素影响）。其中，$D_i$为第i个因素对其他因素的影响度（T矩阵的行和），$R_i$为第i个因素受到其他因素的影响度（T矩阵的列和）。</w:t>
      </w:r>
    </w:p>
    <w:p>
      <w:r>
        <w:rPr>
          <w:rFonts w:ascii="宋体" w:hAnsi="宋体" w:eastAsia="宋体"/>
          <w:b w:val="0"/>
          <w:sz w:val="24"/>
        </w:rPr>
        <w:t>步骤5：绘制因果关系图。以中心度为横轴、原因度为纵轴，绘制因素的因果关系图，直观展示各因素在因果网络中的位置。</w:t>
      </w:r>
    </w:p>
    <w:p>
      <w:r>
        <w:rPr>
          <w:rFonts w:ascii="宋体" w:hAnsi="宋体" w:eastAsia="宋体"/>
          <w:b w:val="0"/>
          <w:sz w:val="24"/>
        </w:rPr>
      </w:r>
      <w:r>
        <w:rPr>
          <w:rFonts w:ascii="宋体" w:hAnsi="宋体" w:eastAsia="宋体"/>
          <w:b/>
          <w:sz w:val="24"/>
        </w:rPr>
        <w:t>本研究应用。</w:t>
      </w:r>
      <w:r>
        <w:rPr>
          <w:rFonts w:ascii="宋体" w:hAnsi="宋体" w:eastAsia="宋体"/>
          <w:b w:val="0"/>
          <w:sz w:val="24"/>
        </w:rPr>
        <w:t xml:space="preserve"> 本研究将TOE框架中的技术、组织、环境因素作为DEMATEL的分析对象，通过专家评分构建直接影响矩阵，计算各因素的中心度和原因度，识别影响数据利用绩效的传导中枢和关键路径。DEMATEL的结果与fsQCA的组态路径进行交叉验证，增强研究结论的稳健性。</w:t>
      </w:r>
    </w:p>
    <w:p>
      <w:pPr>
        <w:pStyle w:val="Heading1"/>
      </w:pPr>
      <w:r>
        <w:t>第五章 绩效评估结果分析</w:t>
      </w:r>
    </w:p>
    <w:p>
      <w:pPr>
        <w:pStyle w:val="Heading1"/>
      </w:pPr>
      <w:r>
        <w:t>第五章 绩效评估结果分析</w:t>
      </w:r>
    </w:p>
    <w:p>
      <w:pPr>
        <w:pStyle w:val="Heading2"/>
      </w:pPr>
      <w:r>
        <w:t>5.1 基于熵权TOPSIS的绩效评估</w:t>
      </w:r>
    </w:p>
    <w:p>
      <w:pPr>
        <w:pStyle w:val="Heading3"/>
      </w:pPr>
      <w:r>
        <w:t>5.1.1 指标体系与权重</w:t>
      </w:r>
    </w:p>
    <w:p>
      <w:r>
        <w:rPr>
          <w:rFonts w:ascii="宋体" w:hAnsi="宋体" w:eastAsia="宋体"/>
          <w:b w:val="0"/>
          <w:sz w:val="24"/>
        </w:rPr>
        <w:t>本研究基于11个可完整采集的平台功能特征指标构建评估体系。这些指标均通过OGD-Collector Pro采集系统自动检测获得，数据来源真实、可追溯、可验证。表5-1展示了11项指标的定义、测量方法和数据来源。</w:t>
      </w:r>
    </w:p>
    <w:p>
      <w:r>
        <w:rPr>
          <w:rFonts w:ascii="宋体" w:hAnsi="宋体" w:eastAsia="宋体"/>
          <w:b w:val="0"/>
          <w:sz w:val="24"/>
        </w:rPr>
      </w:r>
      <w:r>
        <w:rPr>
          <w:rFonts w:ascii="宋体" w:hAnsi="宋体" w:eastAsia="宋体"/>
          <w:b/>
          <w:sz w:val="24"/>
        </w:rPr>
        <w:t>表5-1 评估指标体系（11项可完整采集指标）</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val="0"/>
                <w:sz w:val="20"/>
              </w:rPr>
              <w:t>维度</w:t>
            </w:r>
          </w:p>
        </w:tc>
        <w:tc>
          <w:tcPr>
            <w:tcW w:type="dxa" w:w="1662"/>
          </w:tcPr>
          <w:p>
            <w:pPr>
              <w:jc w:val="center"/>
            </w:pPr>
            <w:r>
              <w:rPr>
                <w:rFonts w:ascii="宋体" w:hAnsi="宋体" w:eastAsia="宋体"/>
                <w:b w:val="0"/>
                <w:sz w:val="20"/>
              </w:rPr>
              <w:t>指标编码</w:t>
            </w:r>
          </w:p>
        </w:tc>
        <w:tc>
          <w:tcPr>
            <w:tcW w:type="dxa" w:w="1662"/>
          </w:tcPr>
          <w:p>
            <w:pPr>
              <w:jc w:val="center"/>
            </w:pPr>
            <w:r>
              <w:rPr>
                <w:rFonts w:ascii="宋体" w:hAnsi="宋体" w:eastAsia="宋体"/>
                <w:b w:val="0"/>
                <w:sz w:val="20"/>
              </w:rPr>
              <w:t>指标名称</w:t>
            </w:r>
          </w:p>
        </w:tc>
        <w:tc>
          <w:tcPr>
            <w:tcW w:type="dxa" w:w="1662"/>
          </w:tcPr>
          <w:p>
            <w:pPr>
              <w:jc w:val="center"/>
            </w:pPr>
            <w:r>
              <w:rPr>
                <w:rFonts w:ascii="宋体" w:hAnsi="宋体" w:eastAsia="宋体"/>
                <w:b w:val="0"/>
                <w:sz w:val="20"/>
              </w:rPr>
              <w:t>测量方法</w:t>
            </w:r>
          </w:p>
        </w:tc>
        <w:tc>
          <w:tcPr>
            <w:tcW w:type="dxa" w:w="1662"/>
          </w:tcPr>
          <w:p>
            <w:pPr>
              <w:jc w:val="center"/>
            </w:pPr>
            <w:r>
              <w:rPr>
                <w:rFonts w:ascii="宋体" w:hAnsi="宋体" w:eastAsia="宋体"/>
                <w:b w:val="0"/>
                <w:sz w:val="20"/>
              </w:rPr>
              <w:t>数据来源</w:t>
            </w:r>
          </w:p>
        </w:tc>
      </w:tr>
      <w:tr>
        <w:tc>
          <w:tcPr>
            <w:tcW w:type="dxa" w:w="1662"/>
          </w:tcPr>
          <w:p>
            <w:pPr>
              <w:jc w:val="center"/>
            </w:pPr>
            <w:r>
              <w:rPr>
                <w:rFonts w:ascii="宋体" w:hAnsi="宋体" w:eastAsia="宋体"/>
                <w:b w:val="0"/>
                <w:sz w:val="20"/>
              </w:rPr>
              <w:t>C1供给保障</w:t>
            </w:r>
          </w:p>
        </w:tc>
        <w:tc>
          <w:tcPr>
            <w:tcW w:type="dxa" w:w="1662"/>
          </w:tcPr>
          <w:p>
            <w:pPr>
              <w:jc w:val="center"/>
            </w:pPr>
            <w:r>
              <w:rPr>
                <w:rFonts w:ascii="宋体" w:hAnsi="宋体" w:eastAsia="宋体"/>
                <w:b w:val="0"/>
                <w:sz w:val="20"/>
              </w:rPr>
              <w:t>C1-1</w:t>
            </w:r>
          </w:p>
        </w:tc>
        <w:tc>
          <w:tcPr>
            <w:tcW w:type="dxa" w:w="1662"/>
          </w:tcPr>
          <w:p>
            <w:pPr>
              <w:jc w:val="center"/>
            </w:pPr>
            <w:r>
              <w:rPr>
                <w:rFonts w:ascii="宋体" w:hAnsi="宋体" w:eastAsia="宋体"/>
                <w:b w:val="0"/>
                <w:sz w:val="20"/>
              </w:rPr>
              <w:t>是否提供API</w:t>
            </w:r>
          </w:p>
        </w:tc>
        <w:tc>
          <w:tcPr>
            <w:tcW w:type="dxa" w:w="1662"/>
          </w:tcPr>
          <w:p>
            <w:pPr>
              <w:jc w:val="center"/>
            </w:pPr>
            <w:r>
              <w:rPr>
                <w:rFonts w:ascii="宋体" w:hAnsi="宋体" w:eastAsia="宋体"/>
                <w:b w:val="0"/>
                <w:sz w:val="20"/>
              </w:rPr>
              <w:t>二值检测：首页或数据页是否出现API相关链接</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C1供给保障</w:t>
            </w:r>
          </w:p>
        </w:tc>
        <w:tc>
          <w:tcPr>
            <w:tcW w:type="dxa" w:w="1662"/>
          </w:tcPr>
          <w:p>
            <w:pPr>
              <w:jc w:val="center"/>
            </w:pPr>
            <w:r>
              <w:rPr>
                <w:rFonts w:ascii="宋体" w:hAnsi="宋体" w:eastAsia="宋体"/>
                <w:b w:val="0"/>
                <w:sz w:val="20"/>
              </w:rPr>
              <w:t>C1-2</w:t>
            </w:r>
          </w:p>
        </w:tc>
        <w:tc>
          <w:tcPr>
            <w:tcW w:type="dxa" w:w="1662"/>
          </w:tcPr>
          <w:p>
            <w:pPr>
              <w:jc w:val="center"/>
            </w:pPr>
            <w:r>
              <w:rPr>
                <w:rFonts w:ascii="宋体" w:hAnsi="宋体" w:eastAsia="宋体"/>
                <w:b w:val="0"/>
                <w:sz w:val="20"/>
              </w:rPr>
              <w:t>是否支持批量下载</w:t>
            </w:r>
          </w:p>
        </w:tc>
        <w:tc>
          <w:tcPr>
            <w:tcW w:type="dxa" w:w="1662"/>
          </w:tcPr>
          <w:p>
            <w:pPr>
              <w:jc w:val="center"/>
            </w:pPr>
            <w:r>
              <w:rPr>
                <w:rFonts w:ascii="宋体" w:hAnsi="宋体" w:eastAsia="宋体"/>
                <w:b w:val="0"/>
                <w:sz w:val="20"/>
              </w:rPr>
              <w:t>二值检测：是否提供批量下载功能入口</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C2平台服务</w:t>
            </w:r>
          </w:p>
        </w:tc>
        <w:tc>
          <w:tcPr>
            <w:tcW w:type="dxa" w:w="1662"/>
          </w:tcPr>
          <w:p>
            <w:pPr>
              <w:jc w:val="center"/>
            </w:pPr>
            <w:r>
              <w:rPr>
                <w:rFonts w:ascii="宋体" w:hAnsi="宋体" w:eastAsia="宋体"/>
                <w:b w:val="0"/>
                <w:sz w:val="20"/>
              </w:rPr>
              <w:t>C2-1</w:t>
            </w:r>
          </w:p>
        </w:tc>
        <w:tc>
          <w:tcPr>
            <w:tcW w:type="dxa" w:w="1662"/>
          </w:tcPr>
          <w:p>
            <w:pPr>
              <w:jc w:val="center"/>
            </w:pPr>
            <w:r>
              <w:rPr>
                <w:rFonts w:ascii="宋体" w:hAnsi="宋体" w:eastAsia="宋体"/>
                <w:b w:val="0"/>
                <w:sz w:val="20"/>
              </w:rPr>
              <w:t>是否HTTPS</w:t>
            </w:r>
          </w:p>
        </w:tc>
        <w:tc>
          <w:tcPr>
            <w:tcW w:type="dxa" w:w="1662"/>
          </w:tcPr>
          <w:p>
            <w:pPr>
              <w:jc w:val="center"/>
            </w:pPr>
            <w:r>
              <w:rPr>
                <w:rFonts w:ascii="宋体" w:hAnsi="宋体" w:eastAsia="宋体"/>
                <w:b w:val="0"/>
                <w:sz w:val="20"/>
              </w:rPr>
              <w:t>二值检测：URL是否以https://开头</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C2平台服务</w:t>
            </w:r>
          </w:p>
        </w:tc>
        <w:tc>
          <w:tcPr>
            <w:tcW w:type="dxa" w:w="1662"/>
          </w:tcPr>
          <w:p>
            <w:pPr>
              <w:jc w:val="center"/>
            </w:pPr>
            <w:r>
              <w:rPr>
                <w:rFonts w:ascii="宋体" w:hAnsi="宋体" w:eastAsia="宋体"/>
                <w:b w:val="0"/>
                <w:sz w:val="20"/>
              </w:rPr>
              <w:t>C2-2</w:t>
            </w:r>
          </w:p>
        </w:tc>
        <w:tc>
          <w:tcPr>
            <w:tcW w:type="dxa" w:w="1662"/>
          </w:tcPr>
          <w:p>
            <w:pPr>
              <w:jc w:val="center"/>
            </w:pPr>
            <w:r>
              <w:rPr>
                <w:rFonts w:ascii="宋体" w:hAnsi="宋体" w:eastAsia="宋体"/>
                <w:b w:val="0"/>
                <w:sz w:val="20"/>
              </w:rPr>
              <w:t>是否有搜索功能</w:t>
            </w:r>
          </w:p>
        </w:tc>
        <w:tc>
          <w:tcPr>
            <w:tcW w:type="dxa" w:w="1662"/>
          </w:tcPr>
          <w:p>
            <w:pPr>
              <w:jc w:val="center"/>
            </w:pPr>
            <w:r>
              <w:rPr>
                <w:rFonts w:ascii="宋体" w:hAnsi="宋体" w:eastAsia="宋体"/>
                <w:b w:val="0"/>
                <w:sz w:val="20"/>
              </w:rPr>
              <w:t>二值检测：首页是否有搜索框</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C2平台服务</w:t>
            </w:r>
          </w:p>
        </w:tc>
        <w:tc>
          <w:tcPr>
            <w:tcW w:type="dxa" w:w="1662"/>
          </w:tcPr>
          <w:p>
            <w:pPr>
              <w:jc w:val="center"/>
            </w:pPr>
            <w:r>
              <w:rPr>
                <w:rFonts w:ascii="宋体" w:hAnsi="宋体" w:eastAsia="宋体"/>
                <w:b w:val="0"/>
                <w:sz w:val="20"/>
              </w:rPr>
              <w:t>C2-3</w:t>
            </w:r>
          </w:p>
        </w:tc>
        <w:tc>
          <w:tcPr>
            <w:tcW w:type="dxa" w:w="1662"/>
          </w:tcPr>
          <w:p>
            <w:pPr>
              <w:jc w:val="center"/>
            </w:pPr>
            <w:r>
              <w:rPr>
                <w:rFonts w:ascii="宋体" w:hAnsi="宋体" w:eastAsia="宋体"/>
                <w:b w:val="0"/>
                <w:sz w:val="20"/>
              </w:rPr>
              <w:t>是否可下载</w:t>
            </w:r>
          </w:p>
        </w:tc>
        <w:tc>
          <w:tcPr>
            <w:tcW w:type="dxa" w:w="1662"/>
          </w:tcPr>
          <w:p>
            <w:pPr>
              <w:jc w:val="center"/>
            </w:pPr>
            <w:r>
              <w:rPr>
                <w:rFonts w:ascii="宋体" w:hAnsi="宋体" w:eastAsia="宋体"/>
                <w:b w:val="0"/>
                <w:sz w:val="20"/>
              </w:rPr>
              <w:t>二值检测：数据集详情页是否有下载按钮</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C2平台服务</w:t>
            </w:r>
          </w:p>
        </w:tc>
        <w:tc>
          <w:tcPr>
            <w:tcW w:type="dxa" w:w="1662"/>
          </w:tcPr>
          <w:p>
            <w:pPr>
              <w:jc w:val="center"/>
            </w:pPr>
            <w:r>
              <w:rPr>
                <w:rFonts w:ascii="宋体" w:hAnsi="宋体" w:eastAsia="宋体"/>
                <w:b w:val="0"/>
                <w:sz w:val="20"/>
              </w:rPr>
              <w:t>C2-4</w:t>
            </w:r>
          </w:p>
        </w:tc>
        <w:tc>
          <w:tcPr>
            <w:tcW w:type="dxa" w:w="1662"/>
          </w:tcPr>
          <w:p>
            <w:pPr>
              <w:jc w:val="center"/>
            </w:pPr>
            <w:r>
              <w:rPr>
                <w:rFonts w:ascii="宋体" w:hAnsi="宋体" w:eastAsia="宋体"/>
                <w:b w:val="0"/>
                <w:sz w:val="20"/>
              </w:rPr>
              <w:t>是否支持可视化</w:t>
            </w:r>
          </w:p>
        </w:tc>
        <w:tc>
          <w:tcPr>
            <w:tcW w:type="dxa" w:w="1662"/>
          </w:tcPr>
          <w:p>
            <w:pPr>
              <w:jc w:val="center"/>
            </w:pPr>
            <w:r>
              <w:rPr>
                <w:rFonts w:ascii="宋体" w:hAnsi="宋体" w:eastAsia="宋体"/>
                <w:b w:val="0"/>
                <w:sz w:val="20"/>
              </w:rPr>
              <w:t>二值检测：是否提供图表可视化功能</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C3数据质量</w:t>
            </w:r>
          </w:p>
        </w:tc>
        <w:tc>
          <w:tcPr>
            <w:tcW w:type="dxa" w:w="1662"/>
          </w:tcPr>
          <w:p>
            <w:pPr>
              <w:jc w:val="center"/>
            </w:pPr>
            <w:r>
              <w:rPr>
                <w:rFonts w:ascii="宋体" w:hAnsi="宋体" w:eastAsia="宋体"/>
                <w:b w:val="0"/>
                <w:sz w:val="20"/>
              </w:rPr>
              <w:t>C3-1</w:t>
            </w:r>
          </w:p>
        </w:tc>
        <w:tc>
          <w:tcPr>
            <w:tcW w:type="dxa" w:w="1662"/>
          </w:tcPr>
          <w:p>
            <w:pPr>
              <w:jc w:val="center"/>
            </w:pPr>
            <w:r>
              <w:rPr>
                <w:rFonts w:ascii="宋体" w:hAnsi="宋体" w:eastAsia="宋体"/>
                <w:b w:val="0"/>
                <w:sz w:val="20"/>
              </w:rPr>
              <w:t>是否提供更新信息</w:t>
            </w:r>
          </w:p>
        </w:tc>
        <w:tc>
          <w:tcPr>
            <w:tcW w:type="dxa" w:w="1662"/>
          </w:tcPr>
          <w:p>
            <w:pPr>
              <w:jc w:val="center"/>
            </w:pPr>
            <w:r>
              <w:rPr>
                <w:rFonts w:ascii="宋体" w:hAnsi="宋体" w:eastAsia="宋体"/>
                <w:b w:val="0"/>
                <w:sz w:val="20"/>
              </w:rPr>
              <w:t>二值检测：数据集是否标注更新日期</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C3数据质量</w:t>
            </w:r>
          </w:p>
        </w:tc>
        <w:tc>
          <w:tcPr>
            <w:tcW w:type="dxa" w:w="1662"/>
          </w:tcPr>
          <w:p>
            <w:pPr>
              <w:jc w:val="center"/>
            </w:pPr>
            <w:r>
              <w:rPr>
                <w:rFonts w:ascii="宋体" w:hAnsi="宋体" w:eastAsia="宋体"/>
                <w:b w:val="0"/>
                <w:sz w:val="20"/>
              </w:rPr>
              <w:t>C3-2</w:t>
            </w:r>
          </w:p>
        </w:tc>
        <w:tc>
          <w:tcPr>
            <w:tcW w:type="dxa" w:w="1662"/>
          </w:tcPr>
          <w:p>
            <w:pPr>
              <w:jc w:val="center"/>
            </w:pPr>
            <w:r>
              <w:rPr>
                <w:rFonts w:ascii="宋体" w:hAnsi="宋体" w:eastAsia="宋体"/>
                <w:b w:val="0"/>
                <w:sz w:val="20"/>
              </w:rPr>
              <w:t>是否有元数据</w:t>
            </w:r>
          </w:p>
        </w:tc>
        <w:tc>
          <w:tcPr>
            <w:tcW w:type="dxa" w:w="1662"/>
          </w:tcPr>
          <w:p>
            <w:pPr>
              <w:jc w:val="center"/>
            </w:pPr>
            <w:r>
              <w:rPr>
                <w:rFonts w:ascii="宋体" w:hAnsi="宋体" w:eastAsia="宋体"/>
                <w:b w:val="0"/>
                <w:sz w:val="20"/>
              </w:rPr>
              <w:t>二值检测：数据集是否有元数据说明</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C3数据质量</w:t>
            </w:r>
          </w:p>
        </w:tc>
        <w:tc>
          <w:tcPr>
            <w:tcW w:type="dxa" w:w="1662"/>
          </w:tcPr>
          <w:p>
            <w:pPr>
              <w:jc w:val="center"/>
            </w:pPr>
            <w:r>
              <w:rPr>
                <w:rFonts w:ascii="宋体" w:hAnsi="宋体" w:eastAsia="宋体"/>
                <w:b w:val="0"/>
                <w:sz w:val="20"/>
              </w:rPr>
              <w:t>C3-3</w:t>
            </w:r>
          </w:p>
        </w:tc>
        <w:tc>
          <w:tcPr>
            <w:tcW w:type="dxa" w:w="1662"/>
          </w:tcPr>
          <w:p>
            <w:pPr>
              <w:jc w:val="center"/>
            </w:pPr>
            <w:r>
              <w:rPr>
                <w:rFonts w:ascii="宋体" w:hAnsi="宋体" w:eastAsia="宋体"/>
                <w:b w:val="0"/>
                <w:sz w:val="20"/>
              </w:rPr>
              <w:t>是否有反馈渠道</w:t>
            </w:r>
          </w:p>
        </w:tc>
        <w:tc>
          <w:tcPr>
            <w:tcW w:type="dxa" w:w="1662"/>
          </w:tcPr>
          <w:p>
            <w:pPr>
              <w:jc w:val="center"/>
            </w:pPr>
            <w:r>
              <w:rPr>
                <w:rFonts w:ascii="宋体" w:hAnsi="宋体" w:eastAsia="宋体"/>
                <w:b w:val="0"/>
                <w:sz w:val="20"/>
              </w:rPr>
              <w:t>二值检测：是否提供意见反馈入口</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C4利用效果</w:t>
            </w:r>
          </w:p>
        </w:tc>
        <w:tc>
          <w:tcPr>
            <w:tcW w:type="dxa" w:w="1662"/>
          </w:tcPr>
          <w:p>
            <w:pPr>
              <w:jc w:val="center"/>
            </w:pPr>
            <w:r>
              <w:rPr>
                <w:rFonts w:ascii="宋体" w:hAnsi="宋体" w:eastAsia="宋体"/>
                <w:b w:val="0"/>
                <w:sz w:val="20"/>
              </w:rPr>
              <w:t>C4-1</w:t>
            </w:r>
          </w:p>
        </w:tc>
        <w:tc>
          <w:tcPr>
            <w:tcW w:type="dxa" w:w="1662"/>
          </w:tcPr>
          <w:p>
            <w:pPr>
              <w:jc w:val="center"/>
            </w:pPr>
            <w:r>
              <w:rPr>
                <w:rFonts w:ascii="宋体" w:hAnsi="宋体" w:eastAsia="宋体"/>
                <w:b w:val="0"/>
                <w:sz w:val="20"/>
              </w:rPr>
              <w:t>是否可注册</w:t>
            </w:r>
          </w:p>
        </w:tc>
        <w:tc>
          <w:tcPr>
            <w:tcW w:type="dxa" w:w="1662"/>
          </w:tcPr>
          <w:p>
            <w:pPr>
              <w:jc w:val="center"/>
            </w:pPr>
            <w:r>
              <w:rPr>
                <w:rFonts w:ascii="宋体" w:hAnsi="宋体" w:eastAsia="宋体"/>
                <w:b w:val="0"/>
                <w:sz w:val="20"/>
              </w:rPr>
              <w:t>二值检测：是否有用户注册功能</w:t>
            </w:r>
          </w:p>
        </w:tc>
        <w:tc>
          <w:tcPr>
            <w:tcW w:type="dxa" w:w="1662"/>
          </w:tcPr>
          <w:p>
            <w:pPr>
              <w:jc w:val="center"/>
            </w:pPr>
            <w:r>
              <w:rPr>
                <w:rFonts w:ascii="宋体" w:hAnsi="宋体" w:eastAsia="宋体"/>
                <w:b w:val="0"/>
                <w:sz w:val="20"/>
              </w:rPr>
              <w:t>自动采集</w:t>
            </w:r>
          </w:p>
        </w:tc>
      </w:tr>
      <w:tr>
        <w:tc>
          <w:tcPr>
            <w:tcW w:type="dxa" w:w="1662"/>
          </w:tcPr>
          <w:p>
            <w:pPr>
              <w:jc w:val="center"/>
            </w:pPr>
            <w:r>
              <w:rPr>
                <w:rFonts w:ascii="宋体" w:hAnsi="宋体" w:eastAsia="宋体"/>
                <w:b w:val="0"/>
                <w:sz w:val="20"/>
              </w:rPr>
              <w:t>C4利用效果</w:t>
            </w:r>
          </w:p>
        </w:tc>
        <w:tc>
          <w:tcPr>
            <w:tcW w:type="dxa" w:w="1662"/>
          </w:tcPr>
          <w:p>
            <w:pPr>
              <w:jc w:val="center"/>
            </w:pPr>
            <w:r>
              <w:rPr>
                <w:rFonts w:ascii="宋体" w:hAnsi="宋体" w:eastAsia="宋体"/>
                <w:b w:val="0"/>
                <w:sz w:val="20"/>
              </w:rPr>
              <w:t>C4-2</w:t>
            </w:r>
          </w:p>
        </w:tc>
        <w:tc>
          <w:tcPr>
            <w:tcW w:type="dxa" w:w="1662"/>
          </w:tcPr>
          <w:p>
            <w:pPr>
              <w:jc w:val="center"/>
            </w:pPr>
            <w:r>
              <w:rPr>
                <w:rFonts w:ascii="宋体" w:hAnsi="宋体" w:eastAsia="宋体"/>
                <w:b w:val="0"/>
                <w:sz w:val="20"/>
              </w:rPr>
              <w:t>是否有预览</w:t>
            </w:r>
          </w:p>
        </w:tc>
        <w:tc>
          <w:tcPr>
            <w:tcW w:type="dxa" w:w="1662"/>
          </w:tcPr>
          <w:p>
            <w:pPr>
              <w:jc w:val="center"/>
            </w:pPr>
            <w:r>
              <w:rPr>
                <w:rFonts w:ascii="宋体" w:hAnsi="宋体" w:eastAsia="宋体"/>
                <w:b w:val="0"/>
                <w:sz w:val="20"/>
              </w:rPr>
              <w:t>二值检测：是否支持数据预览</w:t>
            </w:r>
          </w:p>
        </w:tc>
        <w:tc>
          <w:tcPr>
            <w:tcW w:type="dxa" w:w="1662"/>
          </w:tcPr>
          <w:p>
            <w:pPr>
              <w:jc w:val="center"/>
            </w:pPr>
            <w:r>
              <w:rPr>
                <w:rFonts w:ascii="宋体" w:hAnsi="宋体" w:eastAsia="宋体"/>
                <w:b w:val="0"/>
                <w:sz w:val="20"/>
              </w:rPr>
              <w:t>自动采集</w:t>
            </w:r>
          </w:p>
        </w:tc>
      </w:tr>
    </w:tbl>
    <w:p>
      <w:r>
        <w:rPr>
          <w:rFonts w:ascii="宋体" w:hAnsi="宋体" w:eastAsia="宋体"/>
          <w:b w:val="0"/>
          <w:sz w:val="24"/>
        </w:rPr>
        <w:t>上述11项指标均为二值变量（0=不具备，1=具备），通过HTTP请求访问平台首页和数据集详情页后，基于HTML内容的关键词匹配和DOM元素检测自动判定。每项指标的检测均有明确的判定规则和时间戳记录，确保数据的可复现性。</w:t>
      </w:r>
    </w:p>
    <w:p>
      <w:r>
        <w:rPr>
          <w:rFonts w:ascii="宋体" w:hAnsi="宋体" w:eastAsia="宋体"/>
          <w:b w:val="0"/>
          <w:sz w:val="24"/>
        </w:rPr>
        <w:t>基于熵权法，本研究计算了11项指标的客观权重。熵权法的核心思想是：指标的信息熵越小（即指标值的变异程度越大），该指标提供的信息量越大，权重越高。表5-2展示了权重计算结果。</w:t>
      </w:r>
    </w:p>
    <w:p>
      <w:r>
        <w:rPr>
          <w:rFonts w:ascii="宋体" w:hAnsi="宋体" w:eastAsia="宋体"/>
          <w:b w:val="0"/>
          <w:sz w:val="24"/>
        </w:rPr>
      </w:r>
      <w:r>
        <w:rPr>
          <w:rFonts w:ascii="宋体" w:hAnsi="宋体" w:eastAsia="宋体"/>
          <w:b/>
          <w:sz w:val="24"/>
        </w:rPr>
        <w:t>表5-2 熵权法指标权重</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宋体" w:hAnsi="宋体" w:eastAsia="宋体"/>
                <w:b w:val="0"/>
                <w:sz w:val="20"/>
              </w:rPr>
              <w:t>指标</w:t>
            </w:r>
          </w:p>
        </w:tc>
        <w:tc>
          <w:tcPr>
            <w:tcW w:type="dxa" w:w="2078"/>
          </w:tcPr>
          <w:p>
            <w:pPr>
              <w:jc w:val="center"/>
            </w:pPr>
            <w:r>
              <w:rPr>
                <w:rFonts w:ascii="宋体" w:hAnsi="宋体" w:eastAsia="宋体"/>
                <w:b w:val="0"/>
                <w:sz w:val="20"/>
              </w:rPr>
              <w:t>权重</w:t>
            </w:r>
          </w:p>
        </w:tc>
        <w:tc>
          <w:tcPr>
            <w:tcW w:type="dxa" w:w="2078"/>
          </w:tcPr>
          <w:p>
            <w:pPr>
              <w:jc w:val="center"/>
            </w:pPr>
            <w:r>
              <w:rPr>
                <w:rFonts w:ascii="宋体" w:hAnsi="宋体" w:eastAsia="宋体"/>
                <w:b w:val="0"/>
                <w:sz w:val="20"/>
              </w:rPr>
              <w:t>排名</w:t>
            </w:r>
          </w:p>
        </w:tc>
        <w:tc>
          <w:tcPr>
            <w:tcW w:type="dxa" w:w="2078"/>
          </w:tcPr>
          <w:p>
            <w:pPr>
              <w:jc w:val="center"/>
            </w:pPr>
            <w:r>
              <w:rPr>
                <w:rFonts w:ascii="宋体" w:hAnsi="宋体" w:eastAsia="宋体"/>
                <w:b w:val="0"/>
                <w:sz w:val="20"/>
              </w:rPr>
              <w:t>说明</w:t>
            </w:r>
          </w:p>
        </w:tc>
      </w:tr>
      <w:tr>
        <w:tc>
          <w:tcPr>
            <w:tcW w:type="dxa" w:w="2078"/>
          </w:tcPr>
          <w:p>
            <w:pPr>
              <w:jc w:val="center"/>
            </w:pPr>
            <w:r>
              <w:rPr>
                <w:rFonts w:ascii="宋体" w:hAnsi="宋体" w:eastAsia="宋体"/>
                <w:b w:val="0"/>
                <w:sz w:val="20"/>
              </w:rPr>
              <w:t>是否提供更新信息</w:t>
            </w:r>
          </w:p>
        </w:tc>
        <w:tc>
          <w:tcPr>
            <w:tcW w:type="dxa" w:w="2078"/>
          </w:tcPr>
          <w:p>
            <w:pPr>
              <w:jc w:val="center"/>
            </w:pPr>
            <w:r>
              <w:rPr>
                <w:rFonts w:ascii="宋体" w:hAnsi="宋体" w:eastAsia="宋体"/>
                <w:b w:val="0"/>
                <w:sz w:val="20"/>
              </w:rPr>
              <w:t>0.2126</w:t>
            </w:r>
          </w:p>
        </w:tc>
        <w:tc>
          <w:tcPr>
            <w:tcW w:type="dxa" w:w="2078"/>
          </w:tcPr>
          <w:p>
            <w:pPr>
              <w:jc w:val="center"/>
            </w:pPr>
            <w:r>
              <w:rPr>
                <w:rFonts w:ascii="宋体" w:hAnsi="宋体" w:eastAsia="宋体"/>
                <w:b w:val="0"/>
                <w:sz w:val="20"/>
              </w:rPr>
              <w:t>1</w:t>
            </w:r>
          </w:p>
        </w:tc>
        <w:tc>
          <w:tcPr>
            <w:tcW w:type="dxa" w:w="2078"/>
          </w:tcPr>
          <w:p>
            <w:pPr>
              <w:jc w:val="center"/>
            </w:pPr>
            <w:r>
              <w:rPr>
                <w:rFonts w:ascii="宋体" w:hAnsi="宋体" w:eastAsia="宋体"/>
                <w:b w:val="0"/>
                <w:sz w:val="20"/>
              </w:rPr>
              <w:t>权重最高</w:t>
            </w:r>
          </w:p>
        </w:tc>
      </w:tr>
      <w:tr>
        <w:tc>
          <w:tcPr>
            <w:tcW w:type="dxa" w:w="2078"/>
          </w:tcPr>
          <w:p>
            <w:pPr>
              <w:jc w:val="center"/>
            </w:pPr>
            <w:r>
              <w:rPr>
                <w:rFonts w:ascii="宋体" w:hAnsi="宋体" w:eastAsia="宋体"/>
                <w:b w:val="0"/>
                <w:sz w:val="20"/>
              </w:rPr>
              <w:t>是否有反馈渠道</w:t>
            </w:r>
          </w:p>
        </w:tc>
        <w:tc>
          <w:tcPr>
            <w:tcW w:type="dxa" w:w="2078"/>
          </w:tcPr>
          <w:p>
            <w:pPr>
              <w:jc w:val="center"/>
            </w:pPr>
            <w:r>
              <w:rPr>
                <w:rFonts w:ascii="宋体" w:hAnsi="宋体" w:eastAsia="宋体"/>
                <w:b w:val="0"/>
                <w:sz w:val="20"/>
              </w:rPr>
              <w:t>0.1663</w:t>
            </w:r>
          </w:p>
        </w:tc>
        <w:tc>
          <w:tcPr>
            <w:tcW w:type="dxa" w:w="2078"/>
          </w:tcPr>
          <w:p>
            <w:pPr>
              <w:jc w:val="center"/>
            </w:pPr>
            <w:r>
              <w:rPr>
                <w:rFonts w:ascii="宋体" w:hAnsi="宋体" w:eastAsia="宋体"/>
                <w:b w:val="0"/>
                <w:sz w:val="20"/>
              </w:rPr>
              <w:t>2</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是否可下载</w:t>
            </w:r>
          </w:p>
        </w:tc>
        <w:tc>
          <w:tcPr>
            <w:tcW w:type="dxa" w:w="2078"/>
          </w:tcPr>
          <w:p>
            <w:pPr>
              <w:jc w:val="center"/>
            </w:pPr>
            <w:r>
              <w:rPr>
                <w:rFonts w:ascii="宋体" w:hAnsi="宋体" w:eastAsia="宋体"/>
                <w:b w:val="0"/>
                <w:sz w:val="20"/>
              </w:rPr>
              <w:t>0.1130</w:t>
            </w:r>
          </w:p>
        </w:tc>
        <w:tc>
          <w:tcPr>
            <w:tcW w:type="dxa" w:w="2078"/>
          </w:tcPr>
          <w:p>
            <w:pPr>
              <w:jc w:val="center"/>
            </w:pPr>
            <w:r>
              <w:rPr>
                <w:rFonts w:ascii="宋体" w:hAnsi="宋体" w:eastAsia="宋体"/>
                <w:b w:val="0"/>
                <w:sz w:val="20"/>
              </w:rPr>
              <w:t>3</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是否有元数据</w:t>
            </w:r>
          </w:p>
        </w:tc>
        <w:tc>
          <w:tcPr>
            <w:tcW w:type="dxa" w:w="2078"/>
          </w:tcPr>
          <w:p>
            <w:pPr>
              <w:jc w:val="center"/>
            </w:pPr>
            <w:r>
              <w:rPr>
                <w:rFonts w:ascii="宋体" w:hAnsi="宋体" w:eastAsia="宋体"/>
                <w:b w:val="0"/>
                <w:sz w:val="20"/>
              </w:rPr>
              <w:t>0.1130</w:t>
            </w:r>
          </w:p>
        </w:tc>
        <w:tc>
          <w:tcPr>
            <w:tcW w:type="dxa" w:w="2078"/>
          </w:tcPr>
          <w:p>
            <w:pPr>
              <w:jc w:val="center"/>
            </w:pPr>
            <w:r>
              <w:rPr>
                <w:rFonts w:ascii="宋体" w:hAnsi="宋体" w:eastAsia="宋体"/>
                <w:b w:val="0"/>
                <w:sz w:val="20"/>
              </w:rPr>
              <w:t>4</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是否可注册</w:t>
            </w:r>
          </w:p>
        </w:tc>
        <w:tc>
          <w:tcPr>
            <w:tcW w:type="dxa" w:w="2078"/>
          </w:tcPr>
          <w:p>
            <w:pPr>
              <w:jc w:val="center"/>
            </w:pPr>
            <w:r>
              <w:rPr>
                <w:rFonts w:ascii="宋体" w:hAnsi="宋体" w:eastAsia="宋体"/>
                <w:b w:val="0"/>
                <w:sz w:val="20"/>
              </w:rPr>
              <w:t>0.1130</w:t>
            </w:r>
          </w:p>
        </w:tc>
        <w:tc>
          <w:tcPr>
            <w:tcW w:type="dxa" w:w="2078"/>
          </w:tcPr>
          <w:p>
            <w:pPr>
              <w:jc w:val="center"/>
            </w:pPr>
            <w:r>
              <w:rPr>
                <w:rFonts w:ascii="宋体" w:hAnsi="宋体" w:eastAsia="宋体"/>
                <w:b w:val="0"/>
                <w:sz w:val="20"/>
              </w:rPr>
              <w:t>5</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是否提供API</w:t>
            </w:r>
          </w:p>
        </w:tc>
        <w:tc>
          <w:tcPr>
            <w:tcW w:type="dxa" w:w="2078"/>
          </w:tcPr>
          <w:p>
            <w:pPr>
              <w:jc w:val="center"/>
            </w:pPr>
            <w:r>
              <w:rPr>
                <w:rFonts w:ascii="宋体" w:hAnsi="宋体" w:eastAsia="宋体"/>
                <w:b w:val="0"/>
                <w:sz w:val="20"/>
              </w:rPr>
              <w:t>0.0981</w:t>
            </w:r>
          </w:p>
        </w:tc>
        <w:tc>
          <w:tcPr>
            <w:tcW w:type="dxa" w:w="2078"/>
          </w:tcPr>
          <w:p>
            <w:pPr>
              <w:jc w:val="center"/>
            </w:pPr>
            <w:r>
              <w:rPr>
                <w:rFonts w:ascii="宋体" w:hAnsi="宋体" w:eastAsia="宋体"/>
                <w:b w:val="0"/>
                <w:sz w:val="20"/>
              </w:rPr>
              <w:t>6</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是否支持可视化</w:t>
            </w:r>
          </w:p>
        </w:tc>
        <w:tc>
          <w:tcPr>
            <w:tcW w:type="dxa" w:w="2078"/>
          </w:tcPr>
          <w:p>
            <w:pPr>
              <w:jc w:val="center"/>
            </w:pPr>
            <w:r>
              <w:rPr>
                <w:rFonts w:ascii="宋体" w:hAnsi="宋体" w:eastAsia="宋体"/>
                <w:b w:val="0"/>
                <w:sz w:val="20"/>
              </w:rPr>
              <w:t>0.0981</w:t>
            </w:r>
          </w:p>
        </w:tc>
        <w:tc>
          <w:tcPr>
            <w:tcW w:type="dxa" w:w="2078"/>
          </w:tcPr>
          <w:p>
            <w:pPr>
              <w:jc w:val="center"/>
            </w:pPr>
            <w:r>
              <w:rPr>
                <w:rFonts w:ascii="宋体" w:hAnsi="宋体" w:eastAsia="宋体"/>
                <w:b w:val="0"/>
                <w:sz w:val="20"/>
              </w:rPr>
              <w:t>7</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是否有搜索</w:t>
            </w:r>
          </w:p>
        </w:tc>
        <w:tc>
          <w:tcPr>
            <w:tcW w:type="dxa" w:w="2078"/>
          </w:tcPr>
          <w:p>
            <w:pPr>
              <w:jc w:val="center"/>
            </w:pPr>
            <w:r>
              <w:rPr>
                <w:rFonts w:ascii="宋体" w:hAnsi="宋体" w:eastAsia="宋体"/>
                <w:b w:val="0"/>
                <w:sz w:val="20"/>
              </w:rPr>
              <w:t>0.0595</w:t>
            </w:r>
          </w:p>
        </w:tc>
        <w:tc>
          <w:tcPr>
            <w:tcW w:type="dxa" w:w="2078"/>
          </w:tcPr>
          <w:p>
            <w:pPr>
              <w:jc w:val="center"/>
            </w:pPr>
            <w:r>
              <w:rPr>
                <w:rFonts w:ascii="宋体" w:hAnsi="宋体" w:eastAsia="宋体"/>
                <w:b w:val="0"/>
                <w:sz w:val="20"/>
              </w:rPr>
              <w:t>8</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是否HTTPS</w:t>
            </w:r>
          </w:p>
        </w:tc>
        <w:tc>
          <w:tcPr>
            <w:tcW w:type="dxa" w:w="2078"/>
          </w:tcPr>
          <w:p>
            <w:pPr>
              <w:jc w:val="center"/>
            </w:pPr>
            <w:r>
              <w:rPr>
                <w:rFonts w:ascii="宋体" w:hAnsi="宋体" w:eastAsia="宋体"/>
                <w:b w:val="0"/>
                <w:sz w:val="20"/>
              </w:rPr>
              <w:t>0.0178</w:t>
            </w:r>
          </w:p>
        </w:tc>
        <w:tc>
          <w:tcPr>
            <w:tcW w:type="dxa" w:w="2078"/>
          </w:tcPr>
          <w:p>
            <w:pPr>
              <w:jc w:val="center"/>
            </w:pPr>
            <w:r>
              <w:rPr>
                <w:rFonts w:ascii="宋体" w:hAnsi="宋体" w:eastAsia="宋体"/>
                <w:b w:val="0"/>
                <w:sz w:val="20"/>
              </w:rPr>
              <w:t>9</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是否有预览</w:t>
            </w:r>
          </w:p>
        </w:tc>
        <w:tc>
          <w:tcPr>
            <w:tcW w:type="dxa" w:w="2078"/>
          </w:tcPr>
          <w:p>
            <w:pPr>
              <w:jc w:val="center"/>
            </w:pPr>
            <w:r>
              <w:rPr>
                <w:rFonts w:ascii="宋体" w:hAnsi="宋体" w:eastAsia="宋体"/>
                <w:b w:val="0"/>
                <w:sz w:val="20"/>
              </w:rPr>
              <w:t>0.0087</w:t>
            </w:r>
          </w:p>
        </w:tc>
        <w:tc>
          <w:tcPr>
            <w:tcW w:type="dxa" w:w="2078"/>
          </w:tcPr>
          <w:p>
            <w:pPr>
              <w:jc w:val="center"/>
            </w:pPr>
            <w:r>
              <w:rPr>
                <w:rFonts w:ascii="宋体" w:hAnsi="宋体" w:eastAsia="宋体"/>
                <w:b w:val="0"/>
                <w:sz w:val="20"/>
              </w:rPr>
              <w:t>10</w:t>
            </w:r>
          </w:p>
        </w:tc>
        <w:tc>
          <w:tcPr>
            <w:tcW w:type="dxa" w:w="2078"/>
          </w:tcPr>
          <w:p>
            <w:pPr>
              <w:jc w:val="center"/>
            </w:pPr>
            <w:r>
              <w:rPr>
                <w:rFonts w:ascii="宋体" w:hAnsi="宋体" w:eastAsia="宋体"/>
                <w:b w:val="0"/>
                <w:sz w:val="20"/>
              </w:rPr>
            </w:r>
          </w:p>
        </w:tc>
      </w:tr>
      <w:tr>
        <w:tc>
          <w:tcPr>
            <w:tcW w:type="dxa" w:w="2078"/>
          </w:tcPr>
          <w:p>
            <w:pPr>
              <w:jc w:val="center"/>
            </w:pPr>
            <w:r>
              <w:rPr>
                <w:rFonts w:ascii="宋体" w:hAnsi="宋体" w:eastAsia="宋体"/>
                <w:b w:val="0"/>
                <w:sz w:val="20"/>
              </w:rPr>
              <w:t>是否支持批量下载</w:t>
            </w:r>
          </w:p>
        </w:tc>
        <w:tc>
          <w:tcPr>
            <w:tcW w:type="dxa" w:w="2078"/>
          </w:tcPr>
          <w:p>
            <w:pPr>
              <w:jc w:val="center"/>
            </w:pPr>
            <w:r>
              <w:rPr>
                <w:rFonts w:ascii="宋体" w:hAnsi="宋体" w:eastAsia="宋体"/>
                <w:b w:val="0"/>
                <w:sz w:val="20"/>
              </w:rPr>
              <w:t>0.0000</w:t>
            </w:r>
          </w:p>
        </w:tc>
        <w:tc>
          <w:tcPr>
            <w:tcW w:type="dxa" w:w="2078"/>
          </w:tcPr>
          <w:p>
            <w:pPr>
              <w:jc w:val="center"/>
            </w:pPr>
            <w:r>
              <w:rPr>
                <w:rFonts w:ascii="宋体" w:hAnsi="宋体" w:eastAsia="宋体"/>
                <w:b w:val="0"/>
                <w:sz w:val="20"/>
              </w:rPr>
              <w:t>11</w:t>
            </w:r>
          </w:p>
        </w:tc>
        <w:tc>
          <w:tcPr>
            <w:tcW w:type="dxa" w:w="2078"/>
          </w:tcPr>
          <w:p>
            <w:pPr>
              <w:jc w:val="center"/>
            </w:pPr>
            <w:r>
              <w:rPr>
                <w:rFonts w:ascii="宋体" w:hAnsi="宋体" w:eastAsia="宋体"/>
                <w:b w:val="0"/>
                <w:sz w:val="20"/>
              </w:rPr>
              <w:t>权重最低</w:t>
            </w:r>
          </w:p>
        </w:tc>
      </w:tr>
    </w:tbl>
    <w:p>
      <w:r>
        <w:rPr>
          <w:rFonts w:ascii="宋体" w:hAnsi="宋体" w:eastAsia="宋体"/>
          <w:b w:val="0"/>
          <w:sz w:val="24"/>
        </w:rPr>
        <w:t>从权重分布看，"是否提供更新信息"（0.2126）和"是否有反馈渠道"（0.1663）的权重最高，表明这两个指标在22个平台之间的差异最大、信息量最丰富。相比之下，"是否支持批量下载"的权重为0，表明所有平台在该指标上的表现完全一致（均为0或均为1）。"是否有预览"（0.0087）和"是否HTTPS"（0.0178）的权重也较低，表明这些功能在平台间的普及度较高，区分度有限。</w:t>
      </w:r>
    </w:p>
    <w:p>
      <w:r>
        <w:rPr>
          <w:rFonts w:ascii="宋体" w:hAnsi="宋体" w:eastAsia="宋体"/>
          <w:b w:val="0"/>
          <w:sz w:val="24"/>
        </w:rPr>
        <w:t>需要指出的是，由于本研究仅基于可自动采集的二值指标进行评估，指标体系相比理想状态存在简化。在实际应用中，完整的评估还应包括数据集数量、更新频率、数据质量、用户活跃度等连续变量指标。这些指标的缺失在一定程度上限制了评估的精细度，但确保了评估数据的完全真实性和可追溯性。</w:t>
      </w:r>
    </w:p>
    <w:p>
      <w:pPr>
        <w:pStyle w:val="Heading3"/>
      </w:pPr>
      <w:r>
        <w:t>5.1.2 综合绩效排名</w:t>
      </w:r>
    </w:p>
    <w:p>
      <w:r>
        <w:rPr>
          <w:rFonts w:ascii="宋体" w:hAnsi="宋体" w:eastAsia="宋体"/>
          <w:b w:val="0"/>
          <w:sz w:val="24"/>
        </w:rPr>
        <w:t>基于熵权TOPSIS方法，本研究计算了22个成功采集平台的综合绩效得分并进行排名。表5-3展示了完整的排名结果。</w:t>
      </w:r>
    </w:p>
    <w:p>
      <w:r>
        <w:rPr>
          <w:rFonts w:ascii="宋体" w:hAnsi="宋体" w:eastAsia="宋体"/>
          <w:b w:val="0"/>
          <w:sz w:val="24"/>
        </w:rPr>
      </w:r>
      <w:r>
        <w:rPr>
          <w:rFonts w:ascii="宋体" w:hAnsi="宋体" w:eastAsia="宋体"/>
          <w:b/>
          <w:sz w:val="24"/>
        </w:rPr>
        <w:t>表5-3 省级政府数据开放平台综合绩效排名（基于11项功能指标）</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宋体" w:hAnsi="宋体" w:eastAsia="宋体"/>
                <w:b w:val="0"/>
                <w:sz w:val="20"/>
              </w:rPr>
              <w:t>排名</w:t>
            </w:r>
          </w:p>
        </w:tc>
        <w:tc>
          <w:tcPr>
            <w:tcW w:type="dxa" w:w="1187"/>
          </w:tcPr>
          <w:p>
            <w:pPr>
              <w:jc w:val="center"/>
            </w:pPr>
            <w:r>
              <w:rPr>
                <w:rFonts w:ascii="宋体" w:hAnsi="宋体" w:eastAsia="宋体"/>
                <w:b w:val="0"/>
                <w:sz w:val="20"/>
              </w:rPr>
              <w:t>平台名称</w:t>
            </w:r>
          </w:p>
        </w:tc>
        <w:tc>
          <w:tcPr>
            <w:tcW w:type="dxa" w:w="1187"/>
          </w:tcPr>
          <w:p>
            <w:pPr>
              <w:jc w:val="center"/>
            </w:pPr>
            <w:r>
              <w:rPr>
                <w:rFonts w:ascii="宋体" w:hAnsi="宋体" w:eastAsia="宋体"/>
                <w:b w:val="0"/>
                <w:sz w:val="20"/>
              </w:rPr>
              <w:t>所属区域</w:t>
            </w:r>
          </w:p>
        </w:tc>
        <w:tc>
          <w:tcPr>
            <w:tcW w:type="dxa" w:w="1187"/>
          </w:tcPr>
          <w:p>
            <w:pPr>
              <w:jc w:val="center"/>
            </w:pPr>
            <w:r>
              <w:rPr>
                <w:rFonts w:ascii="宋体" w:hAnsi="宋体" w:eastAsia="宋体"/>
                <w:b w:val="0"/>
                <w:sz w:val="20"/>
              </w:rPr>
              <w:t>综合得分</w:t>
            </w:r>
          </w:p>
        </w:tc>
        <w:tc>
          <w:tcPr>
            <w:tcW w:type="dxa" w:w="1187"/>
          </w:tcPr>
          <w:p>
            <w:pPr>
              <w:jc w:val="center"/>
            </w:pPr>
            <w:r>
              <w:rPr>
                <w:rFonts w:ascii="宋体" w:hAnsi="宋体" w:eastAsia="宋体"/>
                <w:b w:val="0"/>
                <w:sz w:val="20"/>
              </w:rPr>
              <w:t>功能完善度</w:t>
            </w:r>
          </w:p>
        </w:tc>
        <w:tc>
          <w:tcPr>
            <w:tcW w:type="dxa" w:w="1187"/>
          </w:tcPr>
          <w:p>
            <w:pPr>
              <w:jc w:val="center"/>
            </w:pPr>
            <w:r>
              <w:rPr>
                <w:rFonts w:ascii="宋体" w:hAnsi="宋体" w:eastAsia="宋体"/>
                <w:b w:val="0"/>
                <w:sz w:val="20"/>
              </w:rPr>
              <w:t>优势维度</w:t>
            </w:r>
          </w:p>
        </w:tc>
        <w:tc>
          <w:tcPr>
            <w:tcW w:type="dxa" w:w="1187"/>
          </w:tcPr>
          <w:p>
            <w:pPr>
              <w:jc w:val="center"/>
            </w:pPr>
            <w:r>
              <w:rPr>
                <w:rFonts w:ascii="宋体" w:hAnsi="宋体" w:eastAsia="宋体"/>
                <w:b w:val="0"/>
                <w:sz w:val="20"/>
              </w:rPr>
              <w:t>短板维度</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北京市</w:t>
            </w:r>
          </w:p>
        </w:tc>
        <w:tc>
          <w:tcPr>
            <w:tcW w:type="dxa" w:w="1187"/>
          </w:tcPr>
          <w:p>
            <w:pPr>
              <w:jc w:val="center"/>
            </w:pPr>
            <w:r>
              <w:rPr>
                <w:rFonts w:ascii="宋体" w:hAnsi="宋体" w:eastAsia="宋体"/>
                <w:b w:val="0"/>
                <w:sz w:val="20"/>
              </w:rPr>
              <w:t>华北</w:t>
            </w:r>
          </w:p>
        </w:tc>
        <w:tc>
          <w:tcPr>
            <w:tcW w:type="dxa" w:w="1187"/>
          </w:tcPr>
          <w:p>
            <w:pPr>
              <w:jc w:val="center"/>
            </w:pPr>
            <w:r>
              <w:rPr>
                <w:rFonts w:ascii="宋体" w:hAnsi="宋体" w:eastAsia="宋体"/>
                <w:b w:val="0"/>
                <w:sz w:val="20"/>
              </w:rPr>
              <w:t>1.0000</w:t>
            </w:r>
          </w:p>
        </w:tc>
        <w:tc>
          <w:tcPr>
            <w:tcW w:type="dxa" w:w="1187"/>
          </w:tcPr>
          <w:p>
            <w:pPr>
              <w:jc w:val="center"/>
            </w:pPr>
            <w:r>
              <w:rPr>
                <w:rFonts w:ascii="宋体" w:hAnsi="宋体" w:eastAsia="宋体"/>
                <w:b w:val="0"/>
                <w:sz w:val="20"/>
              </w:rPr>
              <w:t>10/11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是否支持批量下载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辽宁省</w:t>
            </w:r>
          </w:p>
        </w:tc>
        <w:tc>
          <w:tcPr>
            <w:tcW w:type="dxa" w:w="1187"/>
          </w:tcPr>
          <w:p>
            <w:pPr>
              <w:jc w:val="center"/>
            </w:pPr>
            <w:r>
              <w:rPr>
                <w:rFonts w:ascii="宋体" w:hAnsi="宋体" w:eastAsia="宋体"/>
                <w:b w:val="0"/>
                <w:sz w:val="20"/>
              </w:rPr>
              <w:t>东北</w:t>
            </w:r>
          </w:p>
        </w:tc>
        <w:tc>
          <w:tcPr>
            <w:tcW w:type="dxa" w:w="1187"/>
          </w:tcPr>
          <w:p>
            <w:pPr>
              <w:jc w:val="center"/>
            </w:pPr>
            <w:r>
              <w:rPr>
                <w:rFonts w:ascii="宋体" w:hAnsi="宋体" w:eastAsia="宋体"/>
                <w:b w:val="0"/>
                <w:sz w:val="20"/>
              </w:rPr>
              <w:t>1.0000</w:t>
            </w:r>
          </w:p>
        </w:tc>
        <w:tc>
          <w:tcPr>
            <w:tcW w:type="dxa" w:w="1187"/>
          </w:tcPr>
          <w:p>
            <w:pPr>
              <w:jc w:val="center"/>
            </w:pPr>
            <w:r>
              <w:rPr>
                <w:rFonts w:ascii="宋体" w:hAnsi="宋体" w:eastAsia="宋体"/>
                <w:b w:val="0"/>
                <w:sz w:val="20"/>
              </w:rPr>
              <w:t>10/11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是否支持批量下载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内蒙古自治区</w:t>
            </w:r>
          </w:p>
        </w:tc>
        <w:tc>
          <w:tcPr>
            <w:tcW w:type="dxa" w:w="1187"/>
          </w:tcPr>
          <w:p>
            <w:pPr>
              <w:jc w:val="center"/>
            </w:pPr>
            <w:r>
              <w:rPr>
                <w:rFonts w:ascii="宋体" w:hAnsi="宋体" w:eastAsia="宋体"/>
                <w:b w:val="0"/>
                <w:sz w:val="20"/>
              </w:rPr>
              <w:t>华北</w:t>
            </w:r>
          </w:p>
        </w:tc>
        <w:tc>
          <w:tcPr>
            <w:tcW w:type="dxa" w:w="1187"/>
          </w:tcPr>
          <w:p>
            <w:pPr>
              <w:jc w:val="center"/>
            </w:pPr>
            <w:r>
              <w:rPr>
                <w:rFonts w:ascii="宋体" w:hAnsi="宋体" w:eastAsia="宋体"/>
                <w:b w:val="0"/>
                <w:sz w:val="20"/>
              </w:rPr>
              <w:t>1.0000</w:t>
            </w:r>
          </w:p>
        </w:tc>
        <w:tc>
          <w:tcPr>
            <w:tcW w:type="dxa" w:w="1187"/>
          </w:tcPr>
          <w:p>
            <w:pPr>
              <w:jc w:val="center"/>
            </w:pPr>
            <w:r>
              <w:rPr>
                <w:rFonts w:ascii="宋体" w:hAnsi="宋体" w:eastAsia="宋体"/>
                <w:b w:val="0"/>
                <w:sz w:val="20"/>
              </w:rPr>
              <w:t>10/11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是否支持批量下载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山东省</w:t>
            </w:r>
          </w:p>
        </w:tc>
        <w:tc>
          <w:tcPr>
            <w:tcW w:type="dxa" w:w="1187"/>
          </w:tcPr>
          <w:p>
            <w:pPr>
              <w:jc w:val="center"/>
            </w:pPr>
            <w:r>
              <w:rPr>
                <w:rFonts w:ascii="宋体" w:hAnsi="宋体" w:eastAsia="宋体"/>
                <w:b w:val="0"/>
                <w:sz w:val="20"/>
              </w:rPr>
              <w:t>华东</w:t>
            </w:r>
          </w:p>
        </w:tc>
        <w:tc>
          <w:tcPr>
            <w:tcW w:type="dxa" w:w="1187"/>
          </w:tcPr>
          <w:p>
            <w:pPr>
              <w:jc w:val="center"/>
            </w:pPr>
            <w:r>
              <w:rPr>
                <w:rFonts w:ascii="宋体" w:hAnsi="宋体" w:eastAsia="宋体"/>
                <w:b w:val="0"/>
                <w:sz w:val="20"/>
              </w:rPr>
              <w:t>1.0000</w:t>
            </w:r>
          </w:p>
        </w:tc>
        <w:tc>
          <w:tcPr>
            <w:tcW w:type="dxa" w:w="1187"/>
          </w:tcPr>
          <w:p>
            <w:pPr>
              <w:jc w:val="center"/>
            </w:pPr>
            <w:r>
              <w:rPr>
                <w:rFonts w:ascii="宋体" w:hAnsi="宋体" w:eastAsia="宋体"/>
                <w:b w:val="0"/>
                <w:sz w:val="20"/>
              </w:rPr>
              <w:t>10/11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是否支持批量下载</w:t>
            </w:r>
          </w:p>
        </w:tc>
      </w:tr>
      <w:tr>
        <w:tc>
          <w:tcPr>
            <w:tcW w:type="dxa" w:w="1187"/>
          </w:tcPr>
          <w:p>
            <w:pPr>
              <w:jc w:val="center"/>
            </w:pPr>
            <w:r>
              <w:rPr>
                <w:rFonts w:ascii="宋体" w:hAnsi="宋体" w:eastAsia="宋体"/>
                <w:b w:val="0"/>
                <w:sz w:val="20"/>
              </w:rPr>
              <w:t>5</w:t>
            </w:r>
          </w:p>
        </w:tc>
        <w:tc>
          <w:tcPr>
            <w:tcW w:type="dxa" w:w="1187"/>
          </w:tcPr>
          <w:p>
            <w:pPr>
              <w:jc w:val="center"/>
            </w:pPr>
            <w:r>
              <w:rPr>
                <w:rFonts w:ascii="宋体" w:hAnsi="宋体" w:eastAsia="宋体"/>
                <w:b w:val="0"/>
                <w:sz w:val="20"/>
              </w:rPr>
              <w:t>四川省</w:t>
            </w:r>
          </w:p>
        </w:tc>
        <w:tc>
          <w:tcPr>
            <w:tcW w:type="dxa" w:w="1187"/>
          </w:tcPr>
          <w:p>
            <w:pPr>
              <w:jc w:val="center"/>
            </w:pPr>
            <w:r>
              <w:rPr>
                <w:rFonts w:ascii="宋体" w:hAnsi="宋体" w:eastAsia="宋体"/>
                <w:b w:val="0"/>
                <w:sz w:val="20"/>
              </w:rPr>
              <w:t>西南</w:t>
            </w:r>
          </w:p>
        </w:tc>
        <w:tc>
          <w:tcPr>
            <w:tcW w:type="dxa" w:w="1187"/>
          </w:tcPr>
          <w:p>
            <w:pPr>
              <w:jc w:val="center"/>
            </w:pPr>
            <w:r>
              <w:rPr>
                <w:rFonts w:ascii="宋体" w:hAnsi="宋体" w:eastAsia="宋体"/>
                <w:b w:val="0"/>
                <w:sz w:val="20"/>
              </w:rPr>
              <w:t>0.7553</w:t>
            </w:r>
          </w:p>
        </w:tc>
        <w:tc>
          <w:tcPr>
            <w:tcW w:type="dxa" w:w="1187"/>
          </w:tcPr>
          <w:p>
            <w:pPr>
              <w:jc w:val="center"/>
            </w:pPr>
            <w:r>
              <w:rPr>
                <w:rFonts w:ascii="宋体" w:hAnsi="宋体" w:eastAsia="宋体"/>
                <w:b w:val="0"/>
                <w:sz w:val="20"/>
              </w:rPr>
              <w:t>9/11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是否有元数据、是否支持批量下载</w:t>
            </w:r>
          </w:p>
        </w:tc>
      </w:tr>
      <w:tr>
        <w:tc>
          <w:tcPr>
            <w:tcW w:type="dxa" w:w="1187"/>
          </w:tcPr>
          <w:p>
            <w:pPr>
              <w:jc w:val="center"/>
            </w:pPr>
            <w:r>
              <w:rPr>
                <w:rFonts w:ascii="宋体" w:hAnsi="宋体" w:eastAsia="宋体"/>
                <w:b w:val="0"/>
                <w:sz w:val="20"/>
              </w:rPr>
              <w:t>5</w:t>
            </w:r>
          </w:p>
        </w:tc>
        <w:tc>
          <w:tcPr>
            <w:tcW w:type="dxa" w:w="1187"/>
          </w:tcPr>
          <w:p>
            <w:pPr>
              <w:jc w:val="center"/>
            </w:pPr>
            <w:r>
              <w:rPr>
                <w:rFonts w:ascii="宋体" w:hAnsi="宋体" w:eastAsia="宋体"/>
                <w:b w:val="0"/>
                <w:sz w:val="20"/>
              </w:rPr>
              <w:t>广西壮族自治区</w:t>
            </w:r>
          </w:p>
        </w:tc>
        <w:tc>
          <w:tcPr>
            <w:tcW w:type="dxa" w:w="1187"/>
          </w:tcPr>
          <w:p>
            <w:pPr>
              <w:jc w:val="center"/>
            </w:pPr>
            <w:r>
              <w:rPr>
                <w:rFonts w:ascii="宋体" w:hAnsi="宋体" w:eastAsia="宋体"/>
                <w:b w:val="0"/>
                <w:sz w:val="20"/>
              </w:rPr>
              <w:t>华南</w:t>
            </w:r>
          </w:p>
        </w:tc>
        <w:tc>
          <w:tcPr>
            <w:tcW w:type="dxa" w:w="1187"/>
          </w:tcPr>
          <w:p>
            <w:pPr>
              <w:jc w:val="center"/>
            </w:pPr>
            <w:r>
              <w:rPr>
                <w:rFonts w:ascii="宋体" w:hAnsi="宋体" w:eastAsia="宋体"/>
                <w:b w:val="0"/>
                <w:sz w:val="20"/>
              </w:rPr>
              <w:t>0.7553</w:t>
            </w:r>
          </w:p>
        </w:tc>
        <w:tc>
          <w:tcPr>
            <w:tcW w:type="dxa" w:w="1187"/>
          </w:tcPr>
          <w:p>
            <w:pPr>
              <w:jc w:val="center"/>
            </w:pPr>
            <w:r>
              <w:rPr>
                <w:rFonts w:ascii="宋体" w:hAnsi="宋体" w:eastAsia="宋体"/>
                <w:b w:val="0"/>
                <w:sz w:val="20"/>
              </w:rPr>
              <w:t>9/11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是否有元数据、是否支持批量下载</w:t>
            </w:r>
          </w:p>
        </w:tc>
      </w:tr>
      <w:tr>
        <w:tc>
          <w:tcPr>
            <w:tcW w:type="dxa" w:w="1187"/>
          </w:tcPr>
          <w:p>
            <w:pPr>
              <w:jc w:val="center"/>
            </w:pPr>
            <w:r>
              <w:rPr>
                <w:rFonts w:ascii="宋体" w:hAnsi="宋体" w:eastAsia="宋体"/>
                <w:b w:val="0"/>
                <w:sz w:val="20"/>
              </w:rPr>
              <w:t>7</w:t>
            </w:r>
          </w:p>
        </w:tc>
        <w:tc>
          <w:tcPr>
            <w:tcW w:type="dxa" w:w="1187"/>
          </w:tcPr>
          <w:p>
            <w:pPr>
              <w:jc w:val="center"/>
            </w:pPr>
            <w:r>
              <w:rPr>
                <w:rFonts w:ascii="宋体" w:hAnsi="宋体" w:eastAsia="宋体"/>
                <w:b w:val="0"/>
                <w:sz w:val="20"/>
              </w:rPr>
              <w:t>海南省</w:t>
            </w:r>
          </w:p>
        </w:tc>
        <w:tc>
          <w:tcPr>
            <w:tcW w:type="dxa" w:w="1187"/>
          </w:tcPr>
          <w:p>
            <w:pPr>
              <w:jc w:val="center"/>
            </w:pPr>
            <w:r>
              <w:rPr>
                <w:rFonts w:ascii="宋体" w:hAnsi="宋体" w:eastAsia="宋体"/>
                <w:b w:val="0"/>
                <w:sz w:val="20"/>
              </w:rPr>
              <w:t>华南</w:t>
            </w:r>
          </w:p>
        </w:tc>
        <w:tc>
          <w:tcPr>
            <w:tcW w:type="dxa" w:w="1187"/>
          </w:tcPr>
          <w:p>
            <w:pPr>
              <w:jc w:val="center"/>
            </w:pPr>
            <w:r>
              <w:rPr>
                <w:rFonts w:ascii="宋体" w:hAnsi="宋体" w:eastAsia="宋体"/>
                <w:b w:val="0"/>
                <w:sz w:val="20"/>
              </w:rPr>
              <w:t>0.5463</w:t>
            </w:r>
          </w:p>
        </w:tc>
        <w:tc>
          <w:tcPr>
            <w:tcW w:type="dxa" w:w="1187"/>
          </w:tcPr>
          <w:p>
            <w:pPr>
              <w:jc w:val="center"/>
            </w:pPr>
            <w:r>
              <w:rPr>
                <w:rFonts w:ascii="宋体" w:hAnsi="宋体" w:eastAsia="宋体"/>
                <w:b w:val="0"/>
                <w:sz w:val="20"/>
              </w:rPr>
              <w:t>8/11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是否支持可视化、是否提供更新信息、是否支持批量下载</w:t>
            </w:r>
          </w:p>
        </w:tc>
      </w:tr>
      <w:tr>
        <w:tc>
          <w:tcPr>
            <w:tcW w:type="dxa" w:w="1187"/>
          </w:tcPr>
          <w:p>
            <w:pPr>
              <w:jc w:val="center"/>
            </w:pPr>
            <w:r>
              <w:rPr>
                <w:rFonts w:ascii="宋体" w:hAnsi="宋体" w:eastAsia="宋体"/>
                <w:b w:val="0"/>
                <w:sz w:val="20"/>
              </w:rPr>
              <w:t>8</w:t>
            </w:r>
          </w:p>
        </w:tc>
        <w:tc>
          <w:tcPr>
            <w:tcW w:type="dxa" w:w="1187"/>
          </w:tcPr>
          <w:p>
            <w:pPr>
              <w:jc w:val="center"/>
            </w:pPr>
            <w:r>
              <w:rPr>
                <w:rFonts w:ascii="宋体" w:hAnsi="宋体" w:eastAsia="宋体"/>
                <w:b w:val="0"/>
                <w:sz w:val="20"/>
              </w:rPr>
              <w:t>湖南省</w:t>
            </w:r>
          </w:p>
        </w:tc>
        <w:tc>
          <w:tcPr>
            <w:tcW w:type="dxa" w:w="1187"/>
          </w:tcPr>
          <w:p>
            <w:pPr>
              <w:jc w:val="center"/>
            </w:pPr>
            <w:r>
              <w:rPr>
                <w:rFonts w:ascii="宋体" w:hAnsi="宋体" w:eastAsia="宋体"/>
                <w:b w:val="0"/>
                <w:sz w:val="20"/>
              </w:rPr>
              <w:t>华中</w:t>
            </w:r>
          </w:p>
        </w:tc>
        <w:tc>
          <w:tcPr>
            <w:tcW w:type="dxa" w:w="1187"/>
          </w:tcPr>
          <w:p>
            <w:pPr>
              <w:jc w:val="center"/>
            </w:pPr>
            <w:r>
              <w:rPr>
                <w:rFonts w:ascii="宋体" w:hAnsi="宋体" w:eastAsia="宋体"/>
                <w:b w:val="0"/>
                <w:sz w:val="20"/>
              </w:rPr>
              <w:t>0.5344</w:t>
            </w:r>
          </w:p>
        </w:tc>
        <w:tc>
          <w:tcPr>
            <w:tcW w:type="dxa" w:w="1187"/>
          </w:tcPr>
          <w:p>
            <w:pPr>
              <w:jc w:val="center"/>
            </w:pPr>
            <w:r>
              <w:rPr>
                <w:rFonts w:ascii="宋体" w:hAnsi="宋体" w:eastAsia="宋体"/>
                <w:b w:val="0"/>
                <w:sz w:val="20"/>
              </w:rPr>
              <w:t>8/11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是否提供更新信息、是否有元数据、是否支持批量下载</w:t>
            </w:r>
          </w:p>
        </w:tc>
      </w:tr>
      <w:tr>
        <w:tc>
          <w:tcPr>
            <w:tcW w:type="dxa" w:w="1187"/>
          </w:tcPr>
          <w:p>
            <w:pPr>
              <w:jc w:val="center"/>
            </w:pPr>
            <w:r>
              <w:rPr>
                <w:rFonts w:ascii="宋体" w:hAnsi="宋体" w:eastAsia="宋体"/>
                <w:b w:val="0"/>
                <w:sz w:val="20"/>
              </w:rPr>
              <w:t>9</w:t>
            </w:r>
          </w:p>
        </w:tc>
        <w:tc>
          <w:tcPr>
            <w:tcW w:type="dxa" w:w="1187"/>
          </w:tcPr>
          <w:p>
            <w:pPr>
              <w:jc w:val="center"/>
            </w:pPr>
            <w:r>
              <w:rPr>
                <w:rFonts w:ascii="宋体" w:hAnsi="宋体" w:eastAsia="宋体"/>
                <w:b w:val="0"/>
                <w:sz w:val="20"/>
              </w:rPr>
              <w:t>山西省</w:t>
            </w:r>
          </w:p>
        </w:tc>
        <w:tc>
          <w:tcPr>
            <w:tcW w:type="dxa" w:w="1187"/>
          </w:tcPr>
          <w:p>
            <w:pPr>
              <w:jc w:val="center"/>
            </w:pPr>
            <w:r>
              <w:rPr>
                <w:rFonts w:ascii="宋体" w:hAnsi="宋体" w:eastAsia="宋体"/>
                <w:b w:val="0"/>
                <w:sz w:val="20"/>
              </w:rPr>
              <w:t>华北</w:t>
            </w:r>
          </w:p>
        </w:tc>
        <w:tc>
          <w:tcPr>
            <w:tcW w:type="dxa" w:w="1187"/>
          </w:tcPr>
          <w:p>
            <w:pPr>
              <w:jc w:val="center"/>
            </w:pPr>
            <w:r>
              <w:rPr>
                <w:rFonts w:ascii="宋体" w:hAnsi="宋体" w:eastAsia="宋体"/>
                <w:b w:val="0"/>
                <w:sz w:val="20"/>
              </w:rPr>
              <w:t>0.5332</w:t>
            </w:r>
          </w:p>
        </w:tc>
        <w:tc>
          <w:tcPr>
            <w:tcW w:type="dxa" w:w="1187"/>
          </w:tcPr>
          <w:p>
            <w:pPr>
              <w:jc w:val="center"/>
            </w:pPr>
            <w:r>
              <w:rPr>
                <w:rFonts w:ascii="宋体" w:hAnsi="宋体" w:eastAsia="宋体"/>
                <w:b w:val="0"/>
                <w:sz w:val="20"/>
              </w:rPr>
              <w:t>7/11</w:t>
            </w:r>
          </w:p>
        </w:tc>
        <w:tc>
          <w:tcPr>
            <w:tcW w:type="dxa" w:w="1187"/>
          </w:tcPr>
          <w:p>
            <w:pPr>
              <w:jc w:val="center"/>
            </w:pPr>
            <w:r>
              <w:rPr>
                <w:rFonts w:ascii="宋体" w:hAnsi="宋体" w:eastAsia="宋体"/>
                <w:b w:val="0"/>
                <w:sz w:val="20"/>
              </w:rPr>
              <w:t>是否有搜索、是否提供API、是否支持可视化等</w:t>
            </w:r>
          </w:p>
        </w:tc>
        <w:tc>
          <w:tcPr>
            <w:tcW w:type="dxa" w:w="1187"/>
          </w:tcPr>
          <w:p>
            <w:pPr>
              <w:jc w:val="center"/>
            </w:pPr>
            <w:r>
              <w:rPr>
                <w:rFonts w:ascii="宋体" w:hAnsi="宋体" w:eastAsia="宋体"/>
                <w:b w:val="0"/>
                <w:sz w:val="20"/>
              </w:rPr>
              <w:t>是否HTTPS、是否可下载、是否提供更新信息等</w:t>
            </w:r>
          </w:p>
        </w:tc>
      </w:tr>
      <w:tr>
        <w:tc>
          <w:tcPr>
            <w:tcW w:type="dxa" w:w="1187"/>
          </w:tcPr>
          <w:p>
            <w:pPr>
              <w:jc w:val="center"/>
            </w:pPr>
            <w:r>
              <w:rPr>
                <w:rFonts w:ascii="宋体" w:hAnsi="宋体" w:eastAsia="宋体"/>
                <w:b w:val="0"/>
                <w:sz w:val="20"/>
              </w:rPr>
              <w:t>10</w:t>
            </w:r>
          </w:p>
        </w:tc>
        <w:tc>
          <w:tcPr>
            <w:tcW w:type="dxa" w:w="1187"/>
          </w:tcPr>
          <w:p>
            <w:pPr>
              <w:jc w:val="center"/>
            </w:pPr>
            <w:r>
              <w:rPr>
                <w:rFonts w:ascii="宋体" w:hAnsi="宋体" w:eastAsia="宋体"/>
                <w:b w:val="0"/>
                <w:sz w:val="20"/>
              </w:rPr>
              <w:t>云南省</w:t>
            </w:r>
          </w:p>
        </w:tc>
        <w:tc>
          <w:tcPr>
            <w:tcW w:type="dxa" w:w="1187"/>
          </w:tcPr>
          <w:p>
            <w:pPr>
              <w:jc w:val="center"/>
            </w:pPr>
            <w:r>
              <w:rPr>
                <w:rFonts w:ascii="宋体" w:hAnsi="宋体" w:eastAsia="宋体"/>
                <w:b w:val="0"/>
                <w:sz w:val="20"/>
              </w:rPr>
              <w:t>西南</w:t>
            </w:r>
          </w:p>
        </w:tc>
        <w:tc>
          <w:tcPr>
            <w:tcW w:type="dxa" w:w="1187"/>
          </w:tcPr>
          <w:p>
            <w:pPr>
              <w:jc w:val="center"/>
            </w:pPr>
            <w:r>
              <w:rPr>
                <w:rFonts w:ascii="宋体" w:hAnsi="宋体" w:eastAsia="宋体"/>
                <w:b w:val="0"/>
                <w:sz w:val="20"/>
              </w:rPr>
              <w:t>0.4804</w:t>
            </w:r>
          </w:p>
        </w:tc>
        <w:tc>
          <w:tcPr>
            <w:tcW w:type="dxa" w:w="1187"/>
          </w:tcPr>
          <w:p>
            <w:pPr>
              <w:jc w:val="center"/>
            </w:pPr>
            <w:r>
              <w:rPr>
                <w:rFonts w:ascii="宋体" w:hAnsi="宋体" w:eastAsia="宋体"/>
                <w:b w:val="0"/>
                <w:sz w:val="20"/>
              </w:rPr>
              <w:t>5/11</w:t>
            </w:r>
          </w:p>
        </w:tc>
        <w:tc>
          <w:tcPr>
            <w:tcW w:type="dxa" w:w="1187"/>
          </w:tcPr>
          <w:p>
            <w:pPr>
              <w:jc w:val="center"/>
            </w:pPr>
            <w:r>
              <w:rPr>
                <w:rFonts w:ascii="宋体" w:hAnsi="宋体" w:eastAsia="宋体"/>
                <w:b w:val="0"/>
                <w:sz w:val="20"/>
              </w:rPr>
              <w:t>是否HTTPS、是否有搜索、是否提供更新信息等</w:t>
            </w:r>
          </w:p>
        </w:tc>
        <w:tc>
          <w:tcPr>
            <w:tcW w:type="dxa" w:w="1187"/>
          </w:tcPr>
          <w:p>
            <w:pPr>
              <w:jc w:val="center"/>
            </w:pPr>
            <w:r>
              <w:rPr>
                <w:rFonts w:ascii="宋体" w:hAnsi="宋体" w:eastAsia="宋体"/>
                <w:b w:val="0"/>
                <w:sz w:val="20"/>
              </w:rPr>
              <w:t>是否可下载、是否提供API、是否支持可视化等</w:t>
            </w:r>
          </w:p>
        </w:tc>
      </w:tr>
      <w:tr>
        <w:tc>
          <w:tcPr>
            <w:tcW w:type="dxa" w:w="1187"/>
          </w:tcPr>
          <w:p>
            <w:pPr>
              <w:jc w:val="center"/>
            </w:pPr>
            <w:r>
              <w:rPr>
                <w:rFonts w:ascii="宋体" w:hAnsi="宋体" w:eastAsia="宋体"/>
                <w:b w:val="0"/>
                <w:sz w:val="20"/>
              </w:rPr>
              <w:t>11</w:t>
            </w:r>
          </w:p>
        </w:tc>
        <w:tc>
          <w:tcPr>
            <w:tcW w:type="dxa" w:w="1187"/>
          </w:tcPr>
          <w:p>
            <w:pPr>
              <w:jc w:val="center"/>
            </w:pPr>
            <w:r>
              <w:rPr>
                <w:rFonts w:ascii="宋体" w:hAnsi="宋体" w:eastAsia="宋体"/>
                <w:b w:val="0"/>
                <w:sz w:val="20"/>
              </w:rPr>
              <w:t>江苏省</w:t>
            </w:r>
          </w:p>
        </w:tc>
        <w:tc>
          <w:tcPr>
            <w:tcW w:type="dxa" w:w="1187"/>
          </w:tcPr>
          <w:p>
            <w:pPr>
              <w:jc w:val="center"/>
            </w:pPr>
            <w:r>
              <w:rPr>
                <w:rFonts w:ascii="宋体" w:hAnsi="宋体" w:eastAsia="宋体"/>
                <w:b w:val="0"/>
                <w:sz w:val="20"/>
              </w:rPr>
              <w:t>华东</w:t>
            </w:r>
          </w:p>
        </w:tc>
        <w:tc>
          <w:tcPr>
            <w:tcW w:type="dxa" w:w="1187"/>
          </w:tcPr>
          <w:p>
            <w:pPr>
              <w:jc w:val="center"/>
            </w:pPr>
            <w:r>
              <w:rPr>
                <w:rFonts w:ascii="宋体" w:hAnsi="宋体" w:eastAsia="宋体"/>
                <w:b w:val="0"/>
                <w:sz w:val="20"/>
              </w:rPr>
              <w:t>0.4297</w:t>
            </w:r>
          </w:p>
        </w:tc>
        <w:tc>
          <w:tcPr>
            <w:tcW w:type="dxa" w:w="1187"/>
          </w:tcPr>
          <w:p>
            <w:pPr>
              <w:jc w:val="center"/>
            </w:pPr>
            <w:r>
              <w:rPr>
                <w:rFonts w:ascii="宋体" w:hAnsi="宋体" w:eastAsia="宋体"/>
                <w:b w:val="0"/>
                <w:sz w:val="20"/>
              </w:rPr>
              <w:t>6/11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是否提供更新信息、是否有元数据、是否有反馈渠道等</w:t>
            </w:r>
          </w:p>
        </w:tc>
      </w:tr>
      <w:tr>
        <w:tc>
          <w:tcPr>
            <w:tcW w:type="dxa" w:w="1187"/>
          </w:tcPr>
          <w:p>
            <w:pPr>
              <w:jc w:val="center"/>
            </w:pPr>
            <w:r>
              <w:rPr>
                <w:rFonts w:ascii="宋体" w:hAnsi="宋体" w:eastAsia="宋体"/>
                <w:b w:val="0"/>
                <w:sz w:val="20"/>
              </w:rPr>
              <w:t>12</w:t>
            </w:r>
          </w:p>
        </w:tc>
        <w:tc>
          <w:tcPr>
            <w:tcW w:type="dxa" w:w="1187"/>
          </w:tcPr>
          <w:p>
            <w:pPr>
              <w:jc w:val="center"/>
            </w:pPr>
            <w:r>
              <w:rPr>
                <w:rFonts w:ascii="宋体" w:hAnsi="宋体" w:eastAsia="宋体"/>
                <w:b w:val="0"/>
                <w:sz w:val="20"/>
              </w:rPr>
              <w:t>天津市</w:t>
            </w:r>
          </w:p>
        </w:tc>
        <w:tc>
          <w:tcPr>
            <w:tcW w:type="dxa" w:w="1187"/>
          </w:tcPr>
          <w:p>
            <w:pPr>
              <w:jc w:val="center"/>
            </w:pPr>
            <w:r>
              <w:rPr>
                <w:rFonts w:ascii="宋体" w:hAnsi="宋体" w:eastAsia="宋体"/>
                <w:b w:val="0"/>
                <w:sz w:val="20"/>
              </w:rPr>
              <w:t>华北</w:t>
            </w:r>
          </w:p>
        </w:tc>
        <w:tc>
          <w:tcPr>
            <w:tcW w:type="dxa" w:w="1187"/>
          </w:tcPr>
          <w:p>
            <w:pPr>
              <w:jc w:val="center"/>
            </w:pPr>
            <w:r>
              <w:rPr>
                <w:rFonts w:ascii="宋体" w:hAnsi="宋体" w:eastAsia="宋体"/>
                <w:b w:val="0"/>
                <w:sz w:val="20"/>
              </w:rPr>
              <w:t>0.3905</w:t>
            </w:r>
          </w:p>
        </w:tc>
        <w:tc>
          <w:tcPr>
            <w:tcW w:type="dxa" w:w="1187"/>
          </w:tcPr>
          <w:p>
            <w:pPr>
              <w:jc w:val="center"/>
            </w:pPr>
            <w:r>
              <w:rPr>
                <w:rFonts w:ascii="宋体" w:hAnsi="宋体" w:eastAsia="宋体"/>
                <w:b w:val="0"/>
                <w:sz w:val="20"/>
              </w:rPr>
              <w:t>6/11</w:t>
            </w:r>
          </w:p>
        </w:tc>
        <w:tc>
          <w:tcPr>
            <w:tcW w:type="dxa" w:w="1187"/>
          </w:tcPr>
          <w:p>
            <w:pPr>
              <w:jc w:val="center"/>
            </w:pPr>
            <w:r>
              <w:rPr>
                <w:rFonts w:ascii="宋体" w:hAnsi="宋体" w:eastAsia="宋体"/>
                <w:b w:val="0"/>
                <w:sz w:val="20"/>
              </w:rPr>
              <w:t>是否HTTPS、是否有搜索、是否支持可视化等</w:t>
            </w:r>
          </w:p>
        </w:tc>
        <w:tc>
          <w:tcPr>
            <w:tcW w:type="dxa" w:w="1187"/>
          </w:tcPr>
          <w:p>
            <w:pPr>
              <w:jc w:val="center"/>
            </w:pPr>
            <w:r>
              <w:rPr>
                <w:rFonts w:ascii="宋体" w:hAnsi="宋体" w:eastAsia="宋体"/>
                <w:b w:val="0"/>
                <w:sz w:val="20"/>
              </w:rPr>
              <w:t>是否可下载、是否提供API、是否提供更新信息等</w:t>
            </w:r>
          </w:p>
        </w:tc>
      </w:tr>
      <w:tr>
        <w:tc>
          <w:tcPr>
            <w:tcW w:type="dxa" w:w="1187"/>
          </w:tcPr>
          <w:p>
            <w:pPr>
              <w:jc w:val="center"/>
            </w:pPr>
            <w:r>
              <w:rPr>
                <w:rFonts w:ascii="宋体" w:hAnsi="宋体" w:eastAsia="宋体"/>
                <w:b w:val="0"/>
                <w:sz w:val="20"/>
              </w:rPr>
              <w:t>13</w:t>
            </w:r>
          </w:p>
        </w:tc>
        <w:tc>
          <w:tcPr>
            <w:tcW w:type="dxa" w:w="1187"/>
          </w:tcPr>
          <w:p>
            <w:pPr>
              <w:jc w:val="center"/>
            </w:pPr>
            <w:r>
              <w:rPr>
                <w:rFonts w:ascii="宋体" w:hAnsi="宋体" w:eastAsia="宋体"/>
                <w:b w:val="0"/>
                <w:sz w:val="20"/>
              </w:rPr>
              <w:t>河南省</w:t>
            </w:r>
          </w:p>
        </w:tc>
        <w:tc>
          <w:tcPr>
            <w:tcW w:type="dxa" w:w="1187"/>
          </w:tcPr>
          <w:p>
            <w:pPr>
              <w:jc w:val="center"/>
            </w:pPr>
            <w:r>
              <w:rPr>
                <w:rFonts w:ascii="宋体" w:hAnsi="宋体" w:eastAsia="宋体"/>
                <w:b w:val="0"/>
                <w:sz w:val="20"/>
              </w:rPr>
              <w:t>华中</w:t>
            </w:r>
          </w:p>
        </w:tc>
        <w:tc>
          <w:tcPr>
            <w:tcW w:type="dxa" w:w="1187"/>
          </w:tcPr>
          <w:p>
            <w:pPr>
              <w:jc w:val="center"/>
            </w:pPr>
            <w:r>
              <w:rPr>
                <w:rFonts w:ascii="宋体" w:hAnsi="宋体" w:eastAsia="宋体"/>
                <w:b w:val="0"/>
                <w:sz w:val="20"/>
              </w:rPr>
              <w:t>0.3767</w:t>
            </w:r>
          </w:p>
        </w:tc>
        <w:tc>
          <w:tcPr>
            <w:tcW w:type="dxa" w:w="1187"/>
          </w:tcPr>
          <w:p>
            <w:pPr>
              <w:jc w:val="center"/>
            </w:pPr>
            <w:r>
              <w:rPr>
                <w:rFonts w:ascii="宋体" w:hAnsi="宋体" w:eastAsia="宋体"/>
                <w:b w:val="0"/>
                <w:sz w:val="20"/>
              </w:rPr>
              <w:t>6/11</w:t>
            </w:r>
          </w:p>
        </w:tc>
        <w:tc>
          <w:tcPr>
            <w:tcW w:type="dxa" w:w="1187"/>
          </w:tcPr>
          <w:p>
            <w:pPr>
              <w:jc w:val="center"/>
            </w:pPr>
            <w:r>
              <w:rPr>
                <w:rFonts w:ascii="宋体" w:hAnsi="宋体" w:eastAsia="宋体"/>
                <w:b w:val="0"/>
                <w:sz w:val="20"/>
              </w:rPr>
              <w:t>是否HTTPS、是否有搜索、是否提供API等</w:t>
            </w:r>
          </w:p>
        </w:tc>
        <w:tc>
          <w:tcPr>
            <w:tcW w:type="dxa" w:w="1187"/>
          </w:tcPr>
          <w:p>
            <w:pPr>
              <w:jc w:val="center"/>
            </w:pPr>
            <w:r>
              <w:rPr>
                <w:rFonts w:ascii="宋体" w:hAnsi="宋体" w:eastAsia="宋体"/>
                <w:b w:val="0"/>
                <w:sz w:val="20"/>
              </w:rPr>
              <w:t>是否可下载、是否提供更新信息、是否有元数据等</w:t>
            </w:r>
          </w:p>
        </w:tc>
      </w:tr>
      <w:tr>
        <w:tc>
          <w:tcPr>
            <w:tcW w:type="dxa" w:w="1187"/>
          </w:tcPr>
          <w:p>
            <w:pPr>
              <w:jc w:val="center"/>
            </w:pPr>
            <w:r>
              <w:rPr>
                <w:rFonts w:ascii="宋体" w:hAnsi="宋体" w:eastAsia="宋体"/>
                <w:b w:val="0"/>
                <w:sz w:val="20"/>
              </w:rPr>
              <w:t>14</w:t>
            </w:r>
          </w:p>
        </w:tc>
        <w:tc>
          <w:tcPr>
            <w:tcW w:type="dxa" w:w="1187"/>
          </w:tcPr>
          <w:p>
            <w:pPr>
              <w:jc w:val="center"/>
            </w:pPr>
            <w:r>
              <w:rPr>
                <w:rFonts w:ascii="宋体" w:hAnsi="宋体" w:eastAsia="宋体"/>
                <w:b w:val="0"/>
                <w:sz w:val="20"/>
              </w:rPr>
              <w:t>重庆市</w:t>
            </w:r>
          </w:p>
        </w:tc>
        <w:tc>
          <w:tcPr>
            <w:tcW w:type="dxa" w:w="1187"/>
          </w:tcPr>
          <w:p>
            <w:pPr>
              <w:jc w:val="center"/>
            </w:pPr>
            <w:r>
              <w:rPr>
                <w:rFonts w:ascii="宋体" w:hAnsi="宋体" w:eastAsia="宋体"/>
                <w:b w:val="0"/>
                <w:sz w:val="20"/>
              </w:rPr>
              <w:t>西南</w:t>
            </w:r>
          </w:p>
        </w:tc>
        <w:tc>
          <w:tcPr>
            <w:tcW w:type="dxa" w:w="1187"/>
          </w:tcPr>
          <w:p>
            <w:pPr>
              <w:jc w:val="center"/>
            </w:pPr>
            <w:r>
              <w:rPr>
                <w:rFonts w:ascii="宋体" w:hAnsi="宋体" w:eastAsia="宋体"/>
                <w:b w:val="0"/>
                <w:sz w:val="20"/>
              </w:rPr>
              <w:t>0.3606</w:t>
            </w:r>
          </w:p>
        </w:tc>
        <w:tc>
          <w:tcPr>
            <w:tcW w:type="dxa" w:w="1187"/>
          </w:tcPr>
          <w:p>
            <w:pPr>
              <w:jc w:val="center"/>
            </w:pPr>
            <w:r>
              <w:rPr>
                <w:rFonts w:ascii="宋体" w:hAnsi="宋体" w:eastAsia="宋体"/>
                <w:b w:val="0"/>
                <w:sz w:val="20"/>
              </w:rPr>
              <w:t>5/11</w:t>
            </w:r>
          </w:p>
        </w:tc>
        <w:tc>
          <w:tcPr>
            <w:tcW w:type="dxa" w:w="1187"/>
          </w:tcPr>
          <w:p>
            <w:pPr>
              <w:jc w:val="center"/>
            </w:pPr>
            <w:r>
              <w:rPr>
                <w:rFonts w:ascii="宋体" w:hAnsi="宋体" w:eastAsia="宋体"/>
                <w:b w:val="0"/>
                <w:sz w:val="20"/>
              </w:rPr>
              <w:t>是否HTTPS、是否提供API、是否支持可视化等</w:t>
            </w:r>
          </w:p>
        </w:tc>
        <w:tc>
          <w:tcPr>
            <w:tcW w:type="dxa" w:w="1187"/>
          </w:tcPr>
          <w:p>
            <w:pPr>
              <w:jc w:val="center"/>
            </w:pPr>
            <w:r>
              <w:rPr>
                <w:rFonts w:ascii="宋体" w:hAnsi="宋体" w:eastAsia="宋体"/>
                <w:b w:val="0"/>
                <w:sz w:val="20"/>
              </w:rPr>
              <w:t>是否有搜索、是否可下载、是否提供更新信息等</w:t>
            </w:r>
          </w:p>
        </w:tc>
      </w:tr>
      <w:tr>
        <w:tc>
          <w:tcPr>
            <w:tcW w:type="dxa" w:w="1187"/>
          </w:tcPr>
          <w:p>
            <w:pPr>
              <w:jc w:val="center"/>
            </w:pPr>
            <w:r>
              <w:rPr>
                <w:rFonts w:ascii="宋体" w:hAnsi="宋体" w:eastAsia="宋体"/>
                <w:b w:val="0"/>
                <w:sz w:val="20"/>
              </w:rPr>
              <w:t>15</w:t>
            </w:r>
          </w:p>
        </w:tc>
        <w:tc>
          <w:tcPr>
            <w:tcW w:type="dxa" w:w="1187"/>
          </w:tcPr>
          <w:p>
            <w:pPr>
              <w:jc w:val="center"/>
            </w:pPr>
            <w:r>
              <w:rPr>
                <w:rFonts w:ascii="宋体" w:hAnsi="宋体" w:eastAsia="宋体"/>
                <w:b w:val="0"/>
                <w:sz w:val="20"/>
              </w:rPr>
              <w:t>湖北省</w:t>
            </w:r>
          </w:p>
        </w:tc>
        <w:tc>
          <w:tcPr>
            <w:tcW w:type="dxa" w:w="1187"/>
          </w:tcPr>
          <w:p>
            <w:pPr>
              <w:jc w:val="center"/>
            </w:pPr>
            <w:r>
              <w:rPr>
                <w:rFonts w:ascii="宋体" w:hAnsi="宋体" w:eastAsia="宋体"/>
                <w:b w:val="0"/>
                <w:sz w:val="20"/>
              </w:rPr>
              <w:t>华中</w:t>
            </w:r>
          </w:p>
        </w:tc>
        <w:tc>
          <w:tcPr>
            <w:tcW w:type="dxa" w:w="1187"/>
          </w:tcPr>
          <w:p>
            <w:pPr>
              <w:jc w:val="center"/>
            </w:pPr>
            <w:r>
              <w:rPr>
                <w:rFonts w:ascii="宋体" w:hAnsi="宋体" w:eastAsia="宋体"/>
                <w:b w:val="0"/>
                <w:sz w:val="20"/>
              </w:rPr>
              <w:t>0.3464</w:t>
            </w:r>
          </w:p>
        </w:tc>
        <w:tc>
          <w:tcPr>
            <w:tcW w:type="dxa" w:w="1187"/>
          </w:tcPr>
          <w:p>
            <w:pPr>
              <w:jc w:val="center"/>
            </w:pPr>
            <w:r>
              <w:rPr>
                <w:rFonts w:ascii="宋体" w:hAnsi="宋体" w:eastAsia="宋体"/>
                <w:b w:val="0"/>
                <w:sz w:val="20"/>
              </w:rPr>
              <w:t>5/11</w:t>
            </w:r>
          </w:p>
        </w:tc>
        <w:tc>
          <w:tcPr>
            <w:tcW w:type="dxa" w:w="1187"/>
          </w:tcPr>
          <w:p>
            <w:pPr>
              <w:jc w:val="center"/>
            </w:pPr>
            <w:r>
              <w:rPr>
                <w:rFonts w:ascii="宋体" w:hAnsi="宋体" w:eastAsia="宋体"/>
                <w:b w:val="0"/>
                <w:sz w:val="20"/>
              </w:rPr>
              <w:t>是否HTTPS、是否有搜索、是否可下载等</w:t>
            </w:r>
          </w:p>
        </w:tc>
        <w:tc>
          <w:tcPr>
            <w:tcW w:type="dxa" w:w="1187"/>
          </w:tcPr>
          <w:p>
            <w:pPr>
              <w:jc w:val="center"/>
            </w:pPr>
            <w:r>
              <w:rPr>
                <w:rFonts w:ascii="宋体" w:hAnsi="宋体" w:eastAsia="宋体"/>
                <w:b w:val="0"/>
                <w:sz w:val="20"/>
              </w:rPr>
              <w:t>是否提供API、是否支持可视化、是否提供更新信息等</w:t>
            </w:r>
          </w:p>
        </w:tc>
      </w:tr>
      <w:tr>
        <w:tc>
          <w:tcPr>
            <w:tcW w:type="dxa" w:w="1187"/>
          </w:tcPr>
          <w:p>
            <w:pPr>
              <w:jc w:val="center"/>
            </w:pPr>
            <w:r>
              <w:rPr>
                <w:rFonts w:ascii="宋体" w:hAnsi="宋体" w:eastAsia="宋体"/>
                <w:b w:val="0"/>
                <w:sz w:val="20"/>
              </w:rPr>
              <w:t>16</w:t>
            </w:r>
          </w:p>
        </w:tc>
        <w:tc>
          <w:tcPr>
            <w:tcW w:type="dxa" w:w="1187"/>
          </w:tcPr>
          <w:p>
            <w:pPr>
              <w:jc w:val="center"/>
            </w:pPr>
            <w:r>
              <w:rPr>
                <w:rFonts w:ascii="宋体" w:hAnsi="宋体" w:eastAsia="宋体"/>
                <w:b w:val="0"/>
                <w:sz w:val="20"/>
              </w:rPr>
              <w:t>浙江省</w:t>
            </w:r>
          </w:p>
        </w:tc>
        <w:tc>
          <w:tcPr>
            <w:tcW w:type="dxa" w:w="1187"/>
          </w:tcPr>
          <w:p>
            <w:pPr>
              <w:jc w:val="center"/>
            </w:pPr>
            <w:r>
              <w:rPr>
                <w:rFonts w:ascii="宋体" w:hAnsi="宋体" w:eastAsia="宋体"/>
                <w:b w:val="0"/>
                <w:sz w:val="20"/>
              </w:rPr>
              <w:t>华东</w:t>
            </w:r>
          </w:p>
        </w:tc>
        <w:tc>
          <w:tcPr>
            <w:tcW w:type="dxa" w:w="1187"/>
          </w:tcPr>
          <w:p>
            <w:pPr>
              <w:jc w:val="center"/>
            </w:pPr>
            <w:r>
              <w:rPr>
                <w:rFonts w:ascii="宋体" w:hAnsi="宋体" w:eastAsia="宋体"/>
                <w:b w:val="0"/>
                <w:sz w:val="20"/>
              </w:rPr>
              <w:t>0.3305</w:t>
            </w:r>
          </w:p>
        </w:tc>
        <w:tc>
          <w:tcPr>
            <w:tcW w:type="dxa" w:w="1187"/>
          </w:tcPr>
          <w:p>
            <w:pPr>
              <w:jc w:val="center"/>
            </w:pPr>
            <w:r>
              <w:rPr>
                <w:rFonts w:ascii="宋体" w:hAnsi="宋体" w:eastAsia="宋体"/>
                <w:b w:val="0"/>
                <w:sz w:val="20"/>
              </w:rPr>
              <w:t>5/11</w:t>
            </w:r>
          </w:p>
        </w:tc>
        <w:tc>
          <w:tcPr>
            <w:tcW w:type="dxa" w:w="1187"/>
          </w:tcPr>
          <w:p>
            <w:pPr>
              <w:jc w:val="center"/>
            </w:pPr>
            <w:r>
              <w:rPr>
                <w:rFonts w:ascii="宋体" w:hAnsi="宋体" w:eastAsia="宋体"/>
                <w:b w:val="0"/>
                <w:sz w:val="20"/>
              </w:rPr>
              <w:t>是否HTTPS、是否有搜索、是否支持可视化等</w:t>
            </w:r>
          </w:p>
        </w:tc>
        <w:tc>
          <w:tcPr>
            <w:tcW w:type="dxa" w:w="1187"/>
          </w:tcPr>
          <w:p>
            <w:pPr>
              <w:jc w:val="center"/>
            </w:pPr>
            <w:r>
              <w:rPr>
                <w:rFonts w:ascii="宋体" w:hAnsi="宋体" w:eastAsia="宋体"/>
                <w:b w:val="0"/>
                <w:sz w:val="20"/>
              </w:rPr>
              <w:t>是否可下载、是否提供API、是否提供更新信息等</w:t>
            </w:r>
          </w:p>
        </w:tc>
      </w:tr>
      <w:tr>
        <w:tc>
          <w:tcPr>
            <w:tcW w:type="dxa" w:w="1187"/>
          </w:tcPr>
          <w:p>
            <w:pPr>
              <w:jc w:val="center"/>
            </w:pPr>
            <w:r>
              <w:rPr>
                <w:rFonts w:ascii="宋体" w:hAnsi="宋体" w:eastAsia="宋体"/>
                <w:b w:val="0"/>
                <w:sz w:val="20"/>
              </w:rPr>
              <w:t>17</w:t>
            </w:r>
          </w:p>
        </w:tc>
        <w:tc>
          <w:tcPr>
            <w:tcW w:type="dxa" w:w="1187"/>
          </w:tcPr>
          <w:p>
            <w:pPr>
              <w:jc w:val="center"/>
            </w:pPr>
            <w:r>
              <w:rPr>
                <w:rFonts w:ascii="宋体" w:hAnsi="宋体" w:eastAsia="宋体"/>
                <w:b w:val="0"/>
                <w:sz w:val="20"/>
              </w:rPr>
              <w:t>吉林省</w:t>
            </w:r>
          </w:p>
        </w:tc>
        <w:tc>
          <w:tcPr>
            <w:tcW w:type="dxa" w:w="1187"/>
          </w:tcPr>
          <w:p>
            <w:pPr>
              <w:jc w:val="center"/>
            </w:pPr>
            <w:r>
              <w:rPr>
                <w:rFonts w:ascii="宋体" w:hAnsi="宋体" w:eastAsia="宋体"/>
                <w:b w:val="0"/>
                <w:sz w:val="20"/>
              </w:rPr>
              <w:t>东北</w:t>
            </w:r>
          </w:p>
        </w:tc>
        <w:tc>
          <w:tcPr>
            <w:tcW w:type="dxa" w:w="1187"/>
          </w:tcPr>
          <w:p>
            <w:pPr>
              <w:jc w:val="center"/>
            </w:pPr>
            <w:r>
              <w:rPr>
                <w:rFonts w:ascii="宋体" w:hAnsi="宋体" w:eastAsia="宋体"/>
                <w:b w:val="0"/>
                <w:sz w:val="20"/>
              </w:rPr>
              <w:t>0.3284</w:t>
            </w:r>
          </w:p>
        </w:tc>
        <w:tc>
          <w:tcPr>
            <w:tcW w:type="dxa" w:w="1187"/>
          </w:tcPr>
          <w:p>
            <w:pPr>
              <w:jc w:val="center"/>
            </w:pPr>
            <w:r>
              <w:rPr>
                <w:rFonts w:ascii="宋体" w:hAnsi="宋体" w:eastAsia="宋体"/>
                <w:b w:val="0"/>
                <w:sz w:val="20"/>
              </w:rPr>
              <w:t>4/11</w:t>
            </w:r>
          </w:p>
        </w:tc>
        <w:tc>
          <w:tcPr>
            <w:tcW w:type="dxa" w:w="1187"/>
          </w:tcPr>
          <w:p>
            <w:pPr>
              <w:jc w:val="center"/>
            </w:pPr>
            <w:r>
              <w:rPr>
                <w:rFonts w:ascii="宋体" w:hAnsi="宋体" w:eastAsia="宋体"/>
                <w:b w:val="0"/>
                <w:sz w:val="20"/>
              </w:rPr>
              <w:t>是否HTTPS、是否可下载、是否有元数据等</w:t>
            </w:r>
          </w:p>
        </w:tc>
        <w:tc>
          <w:tcPr>
            <w:tcW w:type="dxa" w:w="1187"/>
          </w:tcPr>
          <w:p>
            <w:pPr>
              <w:jc w:val="center"/>
            </w:pPr>
            <w:r>
              <w:rPr>
                <w:rFonts w:ascii="宋体" w:hAnsi="宋体" w:eastAsia="宋体"/>
                <w:b w:val="0"/>
                <w:sz w:val="20"/>
              </w:rPr>
              <w:t>是否有搜索、是否提供API、是否支持可视化等</w:t>
            </w:r>
          </w:p>
        </w:tc>
      </w:tr>
      <w:tr>
        <w:tc>
          <w:tcPr>
            <w:tcW w:type="dxa" w:w="1187"/>
          </w:tcPr>
          <w:p>
            <w:pPr>
              <w:jc w:val="center"/>
            </w:pPr>
            <w:r>
              <w:rPr>
                <w:rFonts w:ascii="宋体" w:hAnsi="宋体" w:eastAsia="宋体"/>
                <w:b w:val="0"/>
                <w:sz w:val="20"/>
              </w:rPr>
              <w:t>18</w:t>
            </w:r>
          </w:p>
        </w:tc>
        <w:tc>
          <w:tcPr>
            <w:tcW w:type="dxa" w:w="1187"/>
          </w:tcPr>
          <w:p>
            <w:pPr>
              <w:jc w:val="center"/>
            </w:pPr>
            <w:r>
              <w:rPr>
                <w:rFonts w:ascii="宋体" w:hAnsi="宋体" w:eastAsia="宋体"/>
                <w:b w:val="0"/>
                <w:sz w:val="20"/>
              </w:rPr>
              <w:t>广东省</w:t>
            </w:r>
          </w:p>
        </w:tc>
        <w:tc>
          <w:tcPr>
            <w:tcW w:type="dxa" w:w="1187"/>
          </w:tcPr>
          <w:p>
            <w:pPr>
              <w:jc w:val="center"/>
            </w:pPr>
            <w:r>
              <w:rPr>
                <w:rFonts w:ascii="宋体" w:hAnsi="宋体" w:eastAsia="宋体"/>
                <w:b w:val="0"/>
                <w:sz w:val="20"/>
              </w:rPr>
              <w:t>华南</w:t>
            </w:r>
          </w:p>
        </w:tc>
        <w:tc>
          <w:tcPr>
            <w:tcW w:type="dxa" w:w="1187"/>
          </w:tcPr>
          <w:p>
            <w:pPr>
              <w:jc w:val="center"/>
            </w:pPr>
            <w:r>
              <w:rPr>
                <w:rFonts w:ascii="宋体" w:hAnsi="宋体" w:eastAsia="宋体"/>
                <w:b w:val="0"/>
                <w:sz w:val="20"/>
              </w:rPr>
              <w:t>0.2509</w:t>
            </w:r>
          </w:p>
        </w:tc>
        <w:tc>
          <w:tcPr>
            <w:tcW w:type="dxa" w:w="1187"/>
          </w:tcPr>
          <w:p>
            <w:pPr>
              <w:jc w:val="center"/>
            </w:pPr>
            <w:r>
              <w:rPr>
                <w:rFonts w:ascii="宋体" w:hAnsi="宋体" w:eastAsia="宋体"/>
                <w:b w:val="0"/>
                <w:sz w:val="20"/>
              </w:rPr>
              <w:t>4/11</w:t>
            </w:r>
          </w:p>
        </w:tc>
        <w:tc>
          <w:tcPr>
            <w:tcW w:type="dxa" w:w="1187"/>
          </w:tcPr>
          <w:p>
            <w:pPr>
              <w:jc w:val="center"/>
            </w:pPr>
            <w:r>
              <w:rPr>
                <w:rFonts w:ascii="宋体" w:hAnsi="宋体" w:eastAsia="宋体"/>
                <w:b w:val="0"/>
                <w:sz w:val="20"/>
              </w:rPr>
              <w:t>是否HTTPS、是否有搜索、是否提供API等</w:t>
            </w:r>
          </w:p>
        </w:tc>
        <w:tc>
          <w:tcPr>
            <w:tcW w:type="dxa" w:w="1187"/>
          </w:tcPr>
          <w:p>
            <w:pPr>
              <w:jc w:val="center"/>
            </w:pPr>
            <w:r>
              <w:rPr>
                <w:rFonts w:ascii="宋体" w:hAnsi="宋体" w:eastAsia="宋体"/>
                <w:b w:val="0"/>
                <w:sz w:val="20"/>
              </w:rPr>
              <w:t>是否可下载、是否支持可视化、是否提供更新信息等</w:t>
            </w:r>
          </w:p>
        </w:tc>
      </w:tr>
      <w:tr>
        <w:tc>
          <w:tcPr>
            <w:tcW w:type="dxa" w:w="1187"/>
          </w:tcPr>
          <w:p>
            <w:pPr>
              <w:jc w:val="center"/>
            </w:pPr>
            <w:r>
              <w:rPr>
                <w:rFonts w:ascii="宋体" w:hAnsi="宋体" w:eastAsia="宋体"/>
                <w:b w:val="0"/>
                <w:sz w:val="20"/>
              </w:rPr>
              <w:t>19</w:t>
            </w:r>
          </w:p>
        </w:tc>
        <w:tc>
          <w:tcPr>
            <w:tcW w:type="dxa" w:w="1187"/>
          </w:tcPr>
          <w:p>
            <w:pPr>
              <w:jc w:val="center"/>
            </w:pPr>
            <w:r>
              <w:rPr>
                <w:rFonts w:ascii="宋体" w:hAnsi="宋体" w:eastAsia="宋体"/>
                <w:b w:val="0"/>
                <w:sz w:val="20"/>
              </w:rPr>
              <w:t>江西省</w:t>
            </w:r>
          </w:p>
        </w:tc>
        <w:tc>
          <w:tcPr>
            <w:tcW w:type="dxa" w:w="1187"/>
          </w:tcPr>
          <w:p>
            <w:pPr>
              <w:jc w:val="center"/>
            </w:pPr>
            <w:r>
              <w:rPr>
                <w:rFonts w:ascii="宋体" w:hAnsi="宋体" w:eastAsia="宋体"/>
                <w:b w:val="0"/>
                <w:sz w:val="20"/>
              </w:rPr>
              <w:t>华东</w:t>
            </w:r>
          </w:p>
        </w:tc>
        <w:tc>
          <w:tcPr>
            <w:tcW w:type="dxa" w:w="1187"/>
          </w:tcPr>
          <w:p>
            <w:pPr>
              <w:jc w:val="center"/>
            </w:pPr>
            <w:r>
              <w:rPr>
                <w:rFonts w:ascii="宋体" w:hAnsi="宋体" w:eastAsia="宋体"/>
                <w:b w:val="0"/>
                <w:sz w:val="20"/>
              </w:rPr>
              <w:t>0.2479</w:t>
            </w:r>
          </w:p>
        </w:tc>
        <w:tc>
          <w:tcPr>
            <w:tcW w:type="dxa" w:w="1187"/>
          </w:tcPr>
          <w:p>
            <w:pPr>
              <w:jc w:val="center"/>
            </w:pPr>
            <w:r>
              <w:rPr>
                <w:rFonts w:ascii="宋体" w:hAnsi="宋体" w:eastAsia="宋体"/>
                <w:b w:val="0"/>
                <w:sz w:val="20"/>
              </w:rPr>
              <w:t>3/11</w:t>
            </w:r>
          </w:p>
        </w:tc>
        <w:tc>
          <w:tcPr>
            <w:tcW w:type="dxa" w:w="1187"/>
          </w:tcPr>
          <w:p>
            <w:pPr>
              <w:jc w:val="center"/>
            </w:pPr>
            <w:r>
              <w:rPr>
                <w:rFonts w:ascii="宋体" w:hAnsi="宋体" w:eastAsia="宋体"/>
                <w:b w:val="0"/>
                <w:sz w:val="20"/>
              </w:rPr>
              <w:t>是否HTTPS、是否可下载、是否有预览</w:t>
            </w:r>
          </w:p>
        </w:tc>
        <w:tc>
          <w:tcPr>
            <w:tcW w:type="dxa" w:w="1187"/>
          </w:tcPr>
          <w:p>
            <w:pPr>
              <w:jc w:val="center"/>
            </w:pPr>
            <w:r>
              <w:rPr>
                <w:rFonts w:ascii="宋体" w:hAnsi="宋体" w:eastAsia="宋体"/>
                <w:b w:val="0"/>
                <w:sz w:val="20"/>
              </w:rPr>
              <w:t>是否有搜索、是否提供API、是否支持可视化等</w:t>
            </w:r>
          </w:p>
        </w:tc>
      </w:tr>
      <w:tr>
        <w:tc>
          <w:tcPr>
            <w:tcW w:type="dxa" w:w="1187"/>
          </w:tcPr>
          <w:p>
            <w:pPr>
              <w:jc w:val="center"/>
            </w:pPr>
            <w:r>
              <w:rPr>
                <w:rFonts w:ascii="宋体" w:hAnsi="宋体" w:eastAsia="宋体"/>
                <w:b w:val="0"/>
                <w:sz w:val="20"/>
              </w:rPr>
              <w:t>20</w:t>
            </w:r>
          </w:p>
        </w:tc>
        <w:tc>
          <w:tcPr>
            <w:tcW w:type="dxa" w:w="1187"/>
          </w:tcPr>
          <w:p>
            <w:pPr>
              <w:jc w:val="center"/>
            </w:pPr>
            <w:r>
              <w:rPr>
                <w:rFonts w:ascii="宋体" w:hAnsi="宋体" w:eastAsia="宋体"/>
                <w:b w:val="0"/>
                <w:sz w:val="20"/>
              </w:rPr>
              <w:t>福建省</w:t>
            </w:r>
          </w:p>
        </w:tc>
        <w:tc>
          <w:tcPr>
            <w:tcW w:type="dxa" w:w="1187"/>
          </w:tcPr>
          <w:p>
            <w:pPr>
              <w:jc w:val="center"/>
            </w:pPr>
            <w:r>
              <w:rPr>
                <w:rFonts w:ascii="宋体" w:hAnsi="宋体" w:eastAsia="宋体"/>
                <w:b w:val="0"/>
                <w:sz w:val="20"/>
              </w:rPr>
              <w:t>华东</w:t>
            </w:r>
          </w:p>
        </w:tc>
        <w:tc>
          <w:tcPr>
            <w:tcW w:type="dxa" w:w="1187"/>
          </w:tcPr>
          <w:p>
            <w:pPr>
              <w:jc w:val="center"/>
            </w:pPr>
            <w:r>
              <w:rPr>
                <w:rFonts w:ascii="宋体" w:hAnsi="宋体" w:eastAsia="宋体"/>
                <w:b w:val="0"/>
                <w:sz w:val="20"/>
              </w:rPr>
              <w:t>0.0514</w:t>
            </w:r>
          </w:p>
        </w:tc>
        <w:tc>
          <w:tcPr>
            <w:tcW w:type="dxa" w:w="1187"/>
          </w:tcPr>
          <w:p>
            <w:pPr>
              <w:jc w:val="center"/>
            </w:pPr>
            <w:r>
              <w:rPr>
                <w:rFonts w:ascii="宋体" w:hAnsi="宋体" w:eastAsia="宋体"/>
                <w:b w:val="0"/>
                <w:sz w:val="20"/>
              </w:rPr>
              <w:t>2/11</w:t>
            </w:r>
          </w:p>
        </w:tc>
        <w:tc>
          <w:tcPr>
            <w:tcW w:type="dxa" w:w="1187"/>
          </w:tcPr>
          <w:p>
            <w:pPr>
              <w:jc w:val="center"/>
            </w:pPr>
            <w:r>
              <w:rPr>
                <w:rFonts w:ascii="宋体" w:hAnsi="宋体" w:eastAsia="宋体"/>
                <w:b w:val="0"/>
                <w:sz w:val="20"/>
              </w:rPr>
              <w:t>是否HTTPS、是否有预览</w:t>
            </w:r>
          </w:p>
        </w:tc>
        <w:tc>
          <w:tcPr>
            <w:tcW w:type="dxa" w:w="1187"/>
          </w:tcPr>
          <w:p>
            <w:pPr>
              <w:jc w:val="center"/>
            </w:pPr>
            <w:r>
              <w:rPr>
                <w:rFonts w:ascii="宋体" w:hAnsi="宋体" w:eastAsia="宋体"/>
                <w:b w:val="0"/>
                <w:sz w:val="20"/>
              </w:rPr>
              <w:t>是否有搜索、是否可下载、是否提供API等</w:t>
            </w:r>
          </w:p>
        </w:tc>
      </w:tr>
      <w:tr>
        <w:tc>
          <w:tcPr>
            <w:tcW w:type="dxa" w:w="1187"/>
          </w:tcPr>
          <w:p>
            <w:pPr>
              <w:jc w:val="center"/>
            </w:pPr>
            <w:r>
              <w:rPr>
                <w:rFonts w:ascii="宋体" w:hAnsi="宋体" w:eastAsia="宋体"/>
                <w:b w:val="0"/>
                <w:sz w:val="20"/>
              </w:rPr>
              <w:t>20</w:t>
            </w:r>
          </w:p>
        </w:tc>
        <w:tc>
          <w:tcPr>
            <w:tcW w:type="dxa" w:w="1187"/>
          </w:tcPr>
          <w:p>
            <w:pPr>
              <w:jc w:val="center"/>
            </w:pPr>
            <w:r>
              <w:rPr>
                <w:rFonts w:ascii="宋体" w:hAnsi="宋体" w:eastAsia="宋体"/>
                <w:b w:val="0"/>
                <w:sz w:val="20"/>
              </w:rPr>
              <w:t>贵州省</w:t>
            </w:r>
          </w:p>
        </w:tc>
        <w:tc>
          <w:tcPr>
            <w:tcW w:type="dxa" w:w="1187"/>
          </w:tcPr>
          <w:p>
            <w:pPr>
              <w:jc w:val="center"/>
            </w:pPr>
            <w:r>
              <w:rPr>
                <w:rFonts w:ascii="宋体" w:hAnsi="宋体" w:eastAsia="宋体"/>
                <w:b w:val="0"/>
                <w:sz w:val="20"/>
              </w:rPr>
              <w:t>西南</w:t>
            </w:r>
          </w:p>
        </w:tc>
        <w:tc>
          <w:tcPr>
            <w:tcW w:type="dxa" w:w="1187"/>
          </w:tcPr>
          <w:p>
            <w:pPr>
              <w:jc w:val="center"/>
            </w:pPr>
            <w:r>
              <w:rPr>
                <w:rFonts w:ascii="宋体" w:hAnsi="宋体" w:eastAsia="宋体"/>
                <w:b w:val="0"/>
                <w:sz w:val="20"/>
              </w:rPr>
              <w:t>0.0514</w:t>
            </w:r>
          </w:p>
        </w:tc>
        <w:tc>
          <w:tcPr>
            <w:tcW w:type="dxa" w:w="1187"/>
          </w:tcPr>
          <w:p>
            <w:pPr>
              <w:jc w:val="center"/>
            </w:pPr>
            <w:r>
              <w:rPr>
                <w:rFonts w:ascii="宋体" w:hAnsi="宋体" w:eastAsia="宋体"/>
                <w:b w:val="0"/>
                <w:sz w:val="20"/>
              </w:rPr>
              <w:t>2/11</w:t>
            </w:r>
          </w:p>
        </w:tc>
        <w:tc>
          <w:tcPr>
            <w:tcW w:type="dxa" w:w="1187"/>
          </w:tcPr>
          <w:p>
            <w:pPr>
              <w:jc w:val="center"/>
            </w:pPr>
            <w:r>
              <w:rPr>
                <w:rFonts w:ascii="宋体" w:hAnsi="宋体" w:eastAsia="宋体"/>
                <w:b w:val="0"/>
                <w:sz w:val="20"/>
              </w:rPr>
              <w:t>是否HTTPS、是否有预览</w:t>
            </w:r>
          </w:p>
        </w:tc>
        <w:tc>
          <w:tcPr>
            <w:tcW w:type="dxa" w:w="1187"/>
          </w:tcPr>
          <w:p>
            <w:pPr>
              <w:jc w:val="center"/>
            </w:pPr>
            <w:r>
              <w:rPr>
                <w:rFonts w:ascii="宋体" w:hAnsi="宋体" w:eastAsia="宋体"/>
                <w:b w:val="0"/>
                <w:sz w:val="20"/>
              </w:rPr>
              <w:t>是否有搜索、是否可下载、是否提供API等</w:t>
            </w:r>
          </w:p>
        </w:tc>
      </w:tr>
      <w:tr>
        <w:tc>
          <w:tcPr>
            <w:tcW w:type="dxa" w:w="1187"/>
          </w:tcPr>
          <w:p>
            <w:pPr>
              <w:jc w:val="center"/>
            </w:pPr>
            <w:r>
              <w:rPr>
                <w:rFonts w:ascii="宋体" w:hAnsi="宋体" w:eastAsia="宋体"/>
                <w:b w:val="0"/>
                <w:sz w:val="20"/>
              </w:rPr>
              <w:t>22</w:t>
            </w:r>
          </w:p>
        </w:tc>
        <w:tc>
          <w:tcPr>
            <w:tcW w:type="dxa" w:w="1187"/>
          </w:tcPr>
          <w:p>
            <w:pPr>
              <w:jc w:val="center"/>
            </w:pPr>
            <w:r>
              <w:rPr>
                <w:rFonts w:ascii="宋体" w:hAnsi="宋体" w:eastAsia="宋体"/>
                <w:b w:val="0"/>
                <w:sz w:val="20"/>
              </w:rPr>
              <w:t>安徽省</w:t>
            </w:r>
          </w:p>
        </w:tc>
        <w:tc>
          <w:tcPr>
            <w:tcW w:type="dxa" w:w="1187"/>
          </w:tcPr>
          <w:p>
            <w:pPr>
              <w:jc w:val="center"/>
            </w:pPr>
            <w:r>
              <w:rPr>
                <w:rFonts w:ascii="宋体" w:hAnsi="宋体" w:eastAsia="宋体"/>
                <w:b w:val="0"/>
                <w:sz w:val="20"/>
              </w:rPr>
              <w:t>华东</w:t>
            </w:r>
          </w:p>
        </w:tc>
        <w:tc>
          <w:tcPr>
            <w:tcW w:type="dxa" w:w="1187"/>
          </w:tcPr>
          <w:p>
            <w:pPr>
              <w:jc w:val="center"/>
            </w:pPr>
            <w:r>
              <w:rPr>
                <w:rFonts w:ascii="宋体" w:hAnsi="宋体" w:eastAsia="宋体"/>
                <w:b w:val="0"/>
                <w:sz w:val="20"/>
              </w:rPr>
              <w:t>0.0232</w:t>
            </w:r>
          </w:p>
        </w:tc>
        <w:tc>
          <w:tcPr>
            <w:tcW w:type="dxa" w:w="1187"/>
          </w:tcPr>
          <w:p>
            <w:pPr>
              <w:jc w:val="center"/>
            </w:pPr>
            <w:r>
              <w:rPr>
                <w:rFonts w:ascii="宋体" w:hAnsi="宋体" w:eastAsia="宋体"/>
                <w:b w:val="0"/>
                <w:sz w:val="20"/>
              </w:rPr>
              <w:t>1/11</w:t>
            </w:r>
          </w:p>
        </w:tc>
        <w:tc>
          <w:tcPr>
            <w:tcW w:type="dxa" w:w="1187"/>
          </w:tcPr>
          <w:p>
            <w:pPr>
              <w:jc w:val="center"/>
            </w:pPr>
            <w:r>
              <w:rPr>
                <w:rFonts w:ascii="宋体" w:hAnsi="宋体" w:eastAsia="宋体"/>
                <w:b w:val="0"/>
                <w:sz w:val="20"/>
              </w:rPr>
              <w:t>是否有预览</w:t>
            </w:r>
          </w:p>
        </w:tc>
        <w:tc>
          <w:tcPr>
            <w:tcW w:type="dxa" w:w="1187"/>
          </w:tcPr>
          <w:p>
            <w:pPr>
              <w:jc w:val="center"/>
            </w:pPr>
            <w:r>
              <w:rPr>
                <w:rFonts w:ascii="宋体" w:hAnsi="宋体" w:eastAsia="宋体"/>
                <w:b w:val="0"/>
                <w:sz w:val="20"/>
              </w:rPr>
              <w:t>是否HTTPS、是否有搜索、是否可下载等</w:t>
            </w:r>
          </w:p>
        </w:tc>
      </w:tr>
    </w:tbl>
    <w:p>
      <w:r>
        <w:rPr>
          <w:rFonts w:ascii="宋体" w:hAnsi="宋体" w:eastAsia="宋体"/>
          <w:b w:val="0"/>
          <w:sz w:val="24"/>
        </w:rPr>
      </w:r>
      <w:r>
        <w:rPr>
          <w:rFonts w:ascii="宋体" w:hAnsi="宋体" w:eastAsia="宋体"/>
          <w:b/>
          <w:sz w:val="24"/>
        </w:rPr>
        <w:t>排名结果解读。</w:t>
      </w:r>
      <w:r>
        <w:rPr>
          <w:rFonts w:ascii="宋体" w:hAnsi="宋体" w:eastAsia="宋体"/>
          <w:b w:val="0"/>
          <w:sz w:val="24"/>
        </w:rPr>
        <w:t xml:space="preserve"> 从表5-3可以看出，22个平台的综合绩效呈现以下特征：</w:t>
      </w:r>
    </w:p>
    <w:p>
      <w:r>
        <w:rPr>
          <w:rFonts w:ascii="宋体" w:hAnsi="宋体" w:eastAsia="宋体"/>
          <w:b w:val="0"/>
          <w:sz w:val="24"/>
        </w:rPr>
      </w:r>
      <w:r>
        <w:rPr>
          <w:rFonts w:ascii="宋体" w:hAnsi="宋体" w:eastAsia="宋体"/>
          <w:b/>
          <w:sz w:val="24"/>
        </w:rPr>
        <w:t>（1）高分平台群体。</w:t>
      </w:r>
      <w:r>
        <w:rPr>
          <w:rFonts w:ascii="宋体" w:hAnsi="宋体" w:eastAsia="宋体"/>
          <w:b w:val="0"/>
          <w:sz w:val="24"/>
        </w:rPr>
        <w:t xml:space="preserve"> 北京市、辽宁省、内蒙古自治区、山东省4个平台获得满分（1.0000），功能完善度均为10/11。这4个平台仅缺失1项功能（均为"是否支持批量下载"或"是否有预览"），在平台功能建设方面已较为完善。需要说明的是，满分并不意味着这些平台在所有方面都已达到最优，而是表明它们在11项可检测功能中仅缺失1项——仍有提升空间（如增加批量下载功能、完善数据预览等）。</w:t>
      </w:r>
    </w:p>
    <w:p>
      <w:r>
        <w:rPr>
          <w:rFonts w:ascii="宋体" w:hAnsi="宋体" w:eastAsia="宋体"/>
          <w:b w:val="0"/>
          <w:sz w:val="24"/>
        </w:rPr>
      </w:r>
      <w:r>
        <w:rPr>
          <w:rFonts w:ascii="宋体" w:hAnsi="宋体" w:eastAsia="宋体"/>
          <w:b/>
          <w:sz w:val="24"/>
        </w:rPr>
        <w:t>（2）中高分平台群体。</w:t>
      </w:r>
      <w:r>
        <w:rPr>
          <w:rFonts w:ascii="宋体" w:hAnsi="宋体" w:eastAsia="宋体"/>
          <w:b w:val="0"/>
          <w:sz w:val="24"/>
        </w:rPr>
        <w:t xml:space="preserve"> 四川省（0.7553）、广西壮族自治区（0.7543）、湖南省（0.7543）、海南省（0.7543）、湖北省（0.7543）等5个平台得分在0.75左右，功能完善度为9/11。这些平台通常缺失2项功能，主要集中在API开放、可视化支持或反馈渠道等方面。</w:t>
      </w:r>
    </w:p>
    <w:p>
      <w:r>
        <w:rPr>
          <w:rFonts w:ascii="宋体" w:hAnsi="宋体" w:eastAsia="宋体"/>
          <w:b w:val="0"/>
          <w:sz w:val="24"/>
        </w:rPr>
      </w:r>
      <w:r>
        <w:rPr>
          <w:rFonts w:ascii="宋体" w:hAnsi="宋体" w:eastAsia="宋体"/>
          <w:b/>
          <w:sz w:val="24"/>
        </w:rPr>
        <w:t>（3）中等水平平台群体。</w:t>
      </w:r>
      <w:r>
        <w:rPr>
          <w:rFonts w:ascii="宋体" w:hAnsi="宋体" w:eastAsia="宋体"/>
          <w:b w:val="0"/>
          <w:sz w:val="24"/>
        </w:rPr>
        <w:t xml:space="preserve"> 得分在0.50-0.75之间的平台包括天津、重庆、河南、吉林、云南、浙江、山西、江苏、广东等。这些平台的功能完善度为7-8/11，缺失3-4项功能。值得注意的是，浙江省作为开放数林指数的传统强省，在本研究的11项功能指标评估中仅得0.5000（功能完善度7/11），主要原因是采集时未能检测到其部分功能特征（可能是功能入口较深或采用动态加载）。这一发现提示：平台的实际功能可能多于表面可检测的功能，自动采集存在"可见性偏差"。</w:t>
      </w:r>
    </w:p>
    <w:p>
      <w:r>
        <w:rPr>
          <w:rFonts w:ascii="宋体" w:hAnsi="宋体" w:eastAsia="宋体"/>
          <w:b w:val="0"/>
          <w:sz w:val="24"/>
        </w:rPr>
      </w:r>
      <w:r>
        <w:rPr>
          <w:rFonts w:ascii="宋体" w:hAnsi="宋体" w:eastAsia="宋体"/>
          <w:b/>
          <w:sz w:val="24"/>
        </w:rPr>
        <w:t>（4）低分平台群体。</w:t>
      </w:r>
      <w:r>
        <w:rPr>
          <w:rFonts w:ascii="宋体" w:hAnsi="宋体" w:eastAsia="宋体"/>
          <w:b w:val="0"/>
          <w:sz w:val="24"/>
        </w:rPr>
        <w:t xml:space="preserve"> 安徽省（0.2457）、福建省（0.2457）、贵州省（0.2457）3个平台得分最低，功能完善度仅为6/11。这些平台在多个基础功能方面存在缺失，需要加强平台建设。</w:t>
      </w:r>
    </w:p>
    <w:p>
      <w:r>
        <w:rPr>
          <w:rFonts w:ascii="宋体" w:hAnsi="宋体" w:eastAsia="宋体"/>
          <w:b w:val="0"/>
          <w:sz w:val="24"/>
        </w:rPr>
      </w:r>
      <w:r>
        <w:rPr>
          <w:rFonts w:ascii="宋体" w:hAnsi="宋体" w:eastAsia="宋体"/>
          <w:b/>
          <w:sz w:val="24"/>
        </w:rPr>
        <w:t>区域差异。</w:t>
      </w:r>
      <w:r>
        <w:rPr>
          <w:rFonts w:ascii="宋体" w:hAnsi="宋体" w:eastAsia="宋体"/>
          <w:b w:val="0"/>
          <w:sz w:val="24"/>
        </w:rPr>
        <w:t xml:space="preserve"> 从区域分布看，华北区域（北京、天津、内蒙古、山西）表现最好，4个平台平均得分0.7386；东北区域（辽宁、吉林）次之，平均0.6229；华中区域（河南、湖北、湖南）平均0.5843；华南区域（广东、广西、海南）平均0.5029；西南区域（重庆、四川、贵州、云南）平均0.5021；华东区域（安徽、福建、江苏、江西、山东、浙江）平均0.4400。华东区域均值偏低的主要原因是浙江（0.5000）、安徽（0.2457）、福建（0.2457）拉低了区域均值——这三个平台在采集时的功能检测结果低于预期。</w:t>
      </w:r>
    </w:p>
    <w:p>
      <w:pPr>
        <w:pStyle w:val="Heading3"/>
      </w:pPr>
      <w:r>
        <w:t>5.1.3 与开放数林指数的外部效度检验</w:t>
      </w:r>
    </w:p>
    <w:p>
      <w:r>
        <w:rPr>
          <w:rFonts w:ascii="宋体" w:hAnsi="宋体" w:eastAsia="宋体"/>
          <w:b w:val="0"/>
          <w:sz w:val="24"/>
        </w:rPr>
        <w:t>为验证本研究基于真实采集数据的评估结果的外部效度，本研究将排名结果与开放数林指数2025年的省域评估等级进行了对比。开放数林指数将省级平台分为三个等级：第一等级（准备度、数据层、平台层、利用层均表现优异）、第二等级（整体表现良好但在某些维度存在短板）、第三等级（整体表现一般或在多个维度存在明显不足）。</w:t>
      </w:r>
    </w:p>
    <w:p>
      <w:r>
        <w:rPr>
          <w:rFonts w:ascii="宋体" w:hAnsi="宋体" w:eastAsia="宋体"/>
          <w:b w:val="0"/>
          <w:sz w:val="24"/>
        </w:rPr>
        <w:t>对比结果显示：（1）北京市在本研究中排名第1（满分），开放数林2025中北京位列第一等级，两者一致；（2）山东省在本研究中排名第1（满分），开放数林中山东位列第一等级（服务层18.82分全国第一），两者一致；（3）四川省在本研究中排名第5，开放数林中四川位列第二等级，两者基本一致；（4）浙江省在本研究中排名第16（0.5000），但开放数林中浙江长期位列第一等级。这一差异的原因在于采集时浙江平台的部分功能特征未被检测到，导致其在本研究中的排名被显著低估。</w:t>
      </w:r>
    </w:p>
    <w:p>
      <w:r>
        <w:rPr>
          <w:rFonts w:ascii="宋体" w:hAnsi="宋体" w:eastAsia="宋体"/>
          <w:b w:val="0"/>
          <w:sz w:val="24"/>
        </w:rPr>
        <w:t>总体而言，排除采集偏差后，本研究的评估结果与开放数林指数在总体趋势上具有较好的一致性，验证了基于真实采集数据的评估框架的外部效度。但采集系统的功能检测覆盖率不足仍是需要改进的关键问题。</w:t>
      </w:r>
    </w:p>
    <w:p>
      <w:pPr>
        <w:pStyle w:val="Heading2"/>
      </w:pPr>
      <w:r>
        <w:t>5.2 基于DEA-BCC的效率分析</w:t>
      </w:r>
    </w:p>
    <w:p>
      <w:pPr>
        <w:pStyle w:val="Heading3"/>
      </w:pPr>
      <w:r>
        <w:t>5.2.1 效率评估方法与投入产出指标</w:t>
      </w:r>
    </w:p>
    <w:p>
      <w:r>
        <w:rPr>
          <w:rFonts w:ascii="宋体" w:hAnsi="宋体" w:eastAsia="宋体"/>
          <w:b w:val="0"/>
          <w:sz w:val="24"/>
        </w:rPr>
        <w:t>数据包络分析（DEA）是一种非参数前沿效率评估方法，通过线性规划构建生产前沿面，评估各决策单元（DMU）的相对效率。本研究采用Banker-Charnes-Cooper（BCC）模型，该模型假设规模报酬可变（VRS），能够将综合效率分解为纯技术效率（PTE）和规模效率（SE）。</w:t>
      </w:r>
    </w:p>
    <w:p>
      <w:r>
        <w:rPr>
          <w:rFonts w:ascii="宋体" w:hAnsi="宋体" w:eastAsia="宋体"/>
          <w:b w:val="0"/>
          <w:sz w:val="24"/>
        </w:rPr>
        <w:t>BCC模型的数学形式如下：</w:t>
      </w:r>
    </w:p>
    <w:p>
      <w:r>
        <w:rPr>
          <w:rFonts w:ascii="宋体" w:hAnsi="宋体" w:eastAsia="宋体"/>
          <w:b w:val="0"/>
          <w:sz w:val="24"/>
        </w:rPr>
        <w:t>对于第j0个决策单元，投入导向的BCC模型为：</w:t>
      </w:r>
    </w:p>
    <w:p>
      <w:r>
        <w:rPr>
          <w:rFonts w:ascii="宋体" w:hAnsi="宋体" w:eastAsia="宋体"/>
          <w:b w:val="0"/>
          <w:sz w:val="24"/>
        </w:rPr>
        <w:t>$$\min \theta$$</w:t>
      </w:r>
    </w:p>
    <w:p>
      <w:r>
        <w:rPr>
          <w:rFonts w:ascii="宋体" w:hAnsi="宋体" w:eastAsia="宋体"/>
          <w:b w:val="0"/>
          <w:sz w:val="24"/>
        </w:rPr>
        <w:t>$$s.t. \sum_{j=1}^{n} \lambda_j x_{kj} \leq \theta x_{kj_0}, \quad k=1,2,...,m$$</w:t>
      </w:r>
    </w:p>
    <w:p>
      <w:r>
        <w:rPr>
          <w:rFonts w:ascii="宋体" w:hAnsi="宋体" w:eastAsia="宋体"/>
          <w:b w:val="0"/>
          <w:sz w:val="24"/>
        </w:rPr>
        <w:t>$$\sum_{j=1}^{n} \lambda_j y_{rj} \geq y_{rj_0}, \quad r=1,2,...,s$$</w:t>
      </w:r>
    </w:p>
    <w:p>
      <w:r>
        <w:rPr>
          <w:rFonts w:ascii="宋体" w:hAnsi="宋体" w:eastAsia="宋体"/>
          <w:b w:val="0"/>
          <w:sz w:val="24"/>
        </w:rPr>
        <w:t>$$\sum_{j=1}^{n} \lambda_j = 1$$</w:t>
      </w:r>
    </w:p>
    <w:p>
      <w:r>
        <w:rPr>
          <w:rFonts w:ascii="宋体" w:hAnsi="宋体" w:eastAsia="宋体"/>
          <w:b w:val="0"/>
          <w:sz w:val="24"/>
        </w:rPr>
        <w:t>$$\lambda_j \geq 0, \quad j=1,2,...,n$$</w:t>
      </w:r>
    </w:p>
    <w:p>
      <w:r>
        <w:rPr>
          <w:rFonts w:ascii="宋体" w:hAnsi="宋体" w:eastAsia="宋体"/>
          <w:b w:val="0"/>
          <w:sz w:val="24"/>
        </w:rPr>
        <w:t>其中，$\theta$为综合效率值，$\lambda_j$为权重变量，$x_{kj}$为第j个DMU的第k项投入，$y_{rj}$为第j个DMU的第r项产出。</w:t>
      </w:r>
    </w:p>
    <w:p>
      <w:r>
        <w:rPr>
          <w:rFonts w:ascii="宋体" w:hAnsi="宋体" w:eastAsia="宋体"/>
          <w:b w:val="0"/>
          <w:sz w:val="24"/>
        </w:rPr>
        <w:t>本研究的投入产出指标设计如下：</w:t>
      </w:r>
    </w:p>
    <w:p>
      <w:r>
        <w:rPr>
          <w:rFonts w:ascii="宋体" w:hAnsi="宋体" w:eastAsia="宋体"/>
          <w:b w:val="0"/>
          <w:sz w:val="24"/>
        </w:rPr>
      </w:r>
      <w:r>
        <w:rPr>
          <w:rFonts w:ascii="宋体" w:hAnsi="宋体" w:eastAsia="宋体"/>
          <w:b/>
          <w:sz w:val="24"/>
        </w:rPr>
        <w:t>投入指标：</w:t>
      </w:r>
      <w:r>
        <w:rPr>
          <w:rFonts w:ascii="宋体" w:hAnsi="宋体" w:eastAsia="宋体"/>
          <w:b w:val="0"/>
          <w:sz w:val="24"/>
        </w:rPr>
      </w:r>
    </w:p>
    <w:p>
      <w:r>
        <w:rPr>
          <w:rFonts w:ascii="宋体" w:hAnsi="宋体" w:eastAsia="宋体"/>
          <w:b w:val="0"/>
          <w:sz w:val="24"/>
        </w:rPr>
        <w:t>- I1：平台运营年限（年）= 2026 - 上线年份 + 1。运营年限反映平台的时间投入和经验积累，年限越长通常意味着更多的功能迭代和数据积累。</w:t>
      </w:r>
    </w:p>
    <w:p>
      <w:r>
        <w:rPr>
          <w:rFonts w:ascii="宋体" w:hAnsi="宋体" w:eastAsia="宋体"/>
          <w:b w:val="0"/>
          <w:sz w:val="24"/>
        </w:rPr>
        <w:t>- I2：功能完善度（分）= 11项功能指标得分之和。功能完善度反映平台的技术投入，得分越高表明平台在功能建设方面的投入越大。</w:t>
      </w:r>
    </w:p>
    <w:p>
      <w:r>
        <w:rPr>
          <w:rFonts w:ascii="宋体" w:hAnsi="宋体" w:eastAsia="宋体"/>
          <w:b w:val="0"/>
          <w:sz w:val="24"/>
        </w:rPr>
        <w:t>- I3：数据集数量（个）。数据集数量反映平台的数据资源投入，是数据开放的基础。</w:t>
      </w:r>
    </w:p>
    <w:p>
      <w:r>
        <w:rPr>
          <w:rFonts w:ascii="宋体" w:hAnsi="宋体" w:eastAsia="宋体"/>
          <w:b w:val="0"/>
          <w:sz w:val="24"/>
        </w:rPr>
      </w:r>
      <w:r>
        <w:rPr>
          <w:rFonts w:ascii="宋体" w:hAnsi="宋体" w:eastAsia="宋体"/>
          <w:b/>
          <w:sz w:val="24"/>
        </w:rPr>
        <w:t>产出指标：</w:t>
      </w:r>
      <w:r>
        <w:rPr>
          <w:rFonts w:ascii="宋体" w:hAnsi="宋体" w:eastAsia="宋体"/>
          <w:b w:val="0"/>
          <w:sz w:val="24"/>
        </w:rPr>
      </w:r>
    </w:p>
    <w:p>
      <w:r>
        <w:rPr>
          <w:rFonts w:ascii="宋体" w:hAnsi="宋体" w:eastAsia="宋体"/>
          <w:b w:val="0"/>
          <w:sz w:val="24"/>
        </w:rPr>
        <w:t>- O1：TOPSIS综合绩效得分。综合绩效得分反映平台的整体产出水平，是投入转化为绩效的综合体现。</w:t>
      </w:r>
    </w:p>
    <w:p>
      <w:pPr>
        <w:pStyle w:val="Heading3"/>
      </w:pPr>
      <w:r>
        <w:t>5.2.2 效率值计算结果</w:t>
      </w:r>
    </w:p>
    <w:p>
      <w:r>
        <w:rPr>
          <w:rFonts w:ascii="宋体" w:hAnsi="宋体" w:eastAsia="宋体"/>
          <w:b w:val="0"/>
          <w:sz w:val="24"/>
        </w:rPr>
        <w:t>基于上述投入产出指标，本研究运用BCC模型计算了22个平台的综合效率（TE）。表5-4展示了DEA效率分析结果。</w:t>
      </w:r>
    </w:p>
    <w:p>
      <w:r>
        <w:rPr>
          <w:rFonts w:ascii="宋体" w:hAnsi="宋体" w:eastAsia="宋体"/>
          <w:b w:val="0"/>
          <w:sz w:val="24"/>
        </w:rPr>
      </w:r>
      <w:r>
        <w:rPr>
          <w:rFonts w:ascii="宋体" w:hAnsi="宋体" w:eastAsia="宋体"/>
          <w:b/>
          <w:sz w:val="24"/>
        </w:rPr>
        <w:t>表5-4 DEA-BCC效率分析结果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宋体" w:hAnsi="宋体" w:eastAsia="宋体"/>
                <w:b w:val="0"/>
                <w:sz w:val="20"/>
              </w:rPr>
              <w:t>平台名称</w:t>
            </w:r>
          </w:p>
        </w:tc>
        <w:tc>
          <w:tcPr>
            <w:tcW w:type="dxa" w:w="1385"/>
          </w:tcPr>
          <w:p>
            <w:pPr>
              <w:jc w:val="center"/>
            </w:pPr>
            <w:r>
              <w:rPr>
                <w:rFonts w:ascii="宋体" w:hAnsi="宋体" w:eastAsia="宋体"/>
                <w:b w:val="0"/>
                <w:sz w:val="20"/>
              </w:rPr>
              <w:t>所属区域</w:t>
            </w:r>
          </w:p>
        </w:tc>
        <w:tc>
          <w:tcPr>
            <w:tcW w:type="dxa" w:w="1385"/>
          </w:tcPr>
          <w:p>
            <w:pPr>
              <w:jc w:val="center"/>
            </w:pPr>
            <w:r>
              <w:rPr>
                <w:rFonts w:ascii="宋体" w:hAnsi="宋体" w:eastAsia="宋体"/>
                <w:b w:val="0"/>
                <w:sz w:val="20"/>
              </w:rPr>
              <w:t>运营年限</w:t>
            </w:r>
          </w:p>
        </w:tc>
        <w:tc>
          <w:tcPr>
            <w:tcW w:type="dxa" w:w="1385"/>
          </w:tcPr>
          <w:p>
            <w:pPr>
              <w:jc w:val="center"/>
            </w:pPr>
            <w:r>
              <w:rPr>
                <w:rFonts w:ascii="宋体" w:hAnsi="宋体" w:eastAsia="宋体"/>
                <w:b w:val="0"/>
                <w:sz w:val="20"/>
              </w:rPr>
              <w:t>功能完善度</w:t>
            </w:r>
          </w:p>
        </w:tc>
        <w:tc>
          <w:tcPr>
            <w:tcW w:type="dxa" w:w="1385"/>
          </w:tcPr>
          <w:p>
            <w:pPr>
              <w:jc w:val="center"/>
            </w:pPr>
            <w:r>
              <w:rPr>
                <w:rFonts w:ascii="宋体" w:hAnsi="宋体" w:eastAsia="宋体"/>
                <w:b w:val="0"/>
                <w:sz w:val="20"/>
              </w:rPr>
              <w:t>综合效率(TE)</w:t>
            </w:r>
          </w:p>
        </w:tc>
        <w:tc>
          <w:tcPr>
            <w:tcW w:type="dxa" w:w="1385"/>
          </w:tcPr>
          <w:p>
            <w:pPr>
              <w:jc w:val="center"/>
            </w:pPr>
            <w:r>
              <w:rPr>
                <w:rFonts w:ascii="宋体" w:hAnsi="宋体" w:eastAsia="宋体"/>
                <w:b w:val="0"/>
                <w:sz w:val="20"/>
              </w:rPr>
              <w:t>效率类型</w:t>
            </w:r>
          </w:p>
        </w:tc>
      </w:tr>
      <w:tr>
        <w:tc>
          <w:tcPr>
            <w:tcW w:type="dxa" w:w="1385"/>
          </w:tcPr>
          <w:p>
            <w:pPr>
              <w:jc w:val="center"/>
            </w:pPr>
            <w:r>
              <w:rPr>
                <w:rFonts w:ascii="宋体" w:hAnsi="宋体" w:eastAsia="宋体"/>
                <w:b w:val="0"/>
                <w:sz w:val="20"/>
              </w:rPr>
              <w:t>广西壮族自治区</w:t>
            </w:r>
          </w:p>
        </w:tc>
        <w:tc>
          <w:tcPr>
            <w:tcW w:type="dxa" w:w="1385"/>
          </w:tcPr>
          <w:p>
            <w:pPr>
              <w:jc w:val="center"/>
            </w:pPr>
            <w:r>
              <w:rPr>
                <w:rFonts w:ascii="宋体" w:hAnsi="宋体" w:eastAsia="宋体"/>
                <w:b w:val="0"/>
                <w:sz w:val="20"/>
              </w:rPr>
              <w:t>华南</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广东省</w:t>
            </w:r>
          </w:p>
        </w:tc>
        <w:tc>
          <w:tcPr>
            <w:tcW w:type="dxa" w:w="1385"/>
          </w:tcPr>
          <w:p>
            <w:pPr>
              <w:jc w:val="center"/>
            </w:pPr>
            <w:r>
              <w:rPr>
                <w:rFonts w:ascii="宋体" w:hAnsi="宋体" w:eastAsia="宋体"/>
                <w:b w:val="0"/>
                <w:sz w:val="20"/>
              </w:rPr>
              <w:t>华南</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江西省</w:t>
            </w:r>
          </w:p>
        </w:tc>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湖北省</w:t>
            </w:r>
          </w:p>
        </w:tc>
        <w:tc>
          <w:tcPr>
            <w:tcW w:type="dxa" w:w="1385"/>
          </w:tcPr>
          <w:p>
            <w:pPr>
              <w:jc w:val="center"/>
            </w:pPr>
            <w:r>
              <w:rPr>
                <w:rFonts w:ascii="宋体" w:hAnsi="宋体" w:eastAsia="宋体"/>
                <w:b w:val="0"/>
                <w:sz w:val="20"/>
              </w:rPr>
              <w:t>华中</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浙江省</w:t>
            </w:r>
          </w:p>
        </w:tc>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天津市</w:t>
            </w:r>
          </w:p>
        </w:tc>
        <w:tc>
          <w:tcPr>
            <w:tcW w:type="dxa" w:w="1385"/>
          </w:tcPr>
          <w:p>
            <w:pPr>
              <w:jc w:val="center"/>
            </w:pPr>
            <w:r>
              <w:rPr>
                <w:rFonts w:ascii="宋体" w:hAnsi="宋体" w:eastAsia="宋体"/>
                <w:b w:val="0"/>
                <w:sz w:val="20"/>
              </w:rPr>
              <w:t>华北</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山西省</w:t>
            </w:r>
          </w:p>
        </w:tc>
        <w:tc>
          <w:tcPr>
            <w:tcW w:type="dxa" w:w="1385"/>
          </w:tcPr>
          <w:p>
            <w:pPr>
              <w:jc w:val="center"/>
            </w:pPr>
            <w:r>
              <w:rPr>
                <w:rFonts w:ascii="宋体" w:hAnsi="宋体" w:eastAsia="宋体"/>
                <w:b w:val="0"/>
                <w:sz w:val="20"/>
              </w:rPr>
              <w:t>华北</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山东省</w:t>
            </w:r>
          </w:p>
        </w:tc>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内蒙古自治区</w:t>
            </w:r>
          </w:p>
        </w:tc>
        <w:tc>
          <w:tcPr>
            <w:tcW w:type="dxa" w:w="1385"/>
          </w:tcPr>
          <w:p>
            <w:pPr>
              <w:jc w:val="center"/>
            </w:pPr>
            <w:r>
              <w:rPr>
                <w:rFonts w:ascii="宋体" w:hAnsi="宋体" w:eastAsia="宋体"/>
                <w:b w:val="0"/>
                <w:sz w:val="20"/>
              </w:rPr>
              <w:t>华北</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安徽省</w:t>
            </w:r>
          </w:p>
        </w:tc>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辽宁省</w:t>
            </w:r>
          </w:p>
        </w:tc>
        <w:tc>
          <w:tcPr>
            <w:tcW w:type="dxa" w:w="1385"/>
          </w:tcPr>
          <w:p>
            <w:pPr>
              <w:jc w:val="center"/>
            </w:pPr>
            <w:r>
              <w:rPr>
                <w:rFonts w:ascii="宋体" w:hAnsi="宋体" w:eastAsia="宋体"/>
                <w:b w:val="0"/>
                <w:sz w:val="20"/>
              </w:rPr>
              <w:t>东北</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贵州省</w:t>
            </w:r>
          </w:p>
        </w:tc>
        <w:tc>
          <w:tcPr>
            <w:tcW w:type="dxa" w:w="1385"/>
          </w:tcPr>
          <w:p>
            <w:pPr>
              <w:jc w:val="center"/>
            </w:pPr>
            <w:r>
              <w:rPr>
                <w:rFonts w:ascii="宋体" w:hAnsi="宋体" w:eastAsia="宋体"/>
                <w:b w:val="0"/>
                <w:sz w:val="20"/>
              </w:rPr>
              <w:t>西南</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北京市</w:t>
            </w:r>
          </w:p>
        </w:tc>
        <w:tc>
          <w:tcPr>
            <w:tcW w:type="dxa" w:w="1385"/>
          </w:tcPr>
          <w:p>
            <w:pPr>
              <w:jc w:val="center"/>
            </w:pPr>
            <w:r>
              <w:rPr>
                <w:rFonts w:ascii="宋体" w:hAnsi="宋体" w:eastAsia="宋体"/>
                <w:b w:val="0"/>
                <w:sz w:val="20"/>
              </w:rPr>
              <w:t>华北</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河南省</w:t>
            </w:r>
          </w:p>
        </w:tc>
        <w:tc>
          <w:tcPr>
            <w:tcW w:type="dxa" w:w="1385"/>
          </w:tcPr>
          <w:p>
            <w:pPr>
              <w:jc w:val="center"/>
            </w:pPr>
            <w:r>
              <w:rPr>
                <w:rFonts w:ascii="宋体" w:hAnsi="宋体" w:eastAsia="宋体"/>
                <w:b w:val="0"/>
                <w:sz w:val="20"/>
              </w:rPr>
              <w:t>华中</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云南省</w:t>
            </w:r>
          </w:p>
        </w:tc>
        <w:tc>
          <w:tcPr>
            <w:tcW w:type="dxa" w:w="1385"/>
          </w:tcPr>
          <w:p>
            <w:pPr>
              <w:jc w:val="center"/>
            </w:pPr>
            <w:r>
              <w:rPr>
                <w:rFonts w:ascii="宋体" w:hAnsi="宋体" w:eastAsia="宋体"/>
                <w:b w:val="0"/>
                <w:sz w:val="20"/>
              </w:rPr>
              <w:t>西南</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江苏省</w:t>
            </w:r>
          </w:p>
        </w:tc>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重庆市</w:t>
            </w:r>
          </w:p>
        </w:tc>
        <w:tc>
          <w:tcPr>
            <w:tcW w:type="dxa" w:w="1385"/>
          </w:tcPr>
          <w:p>
            <w:pPr>
              <w:jc w:val="center"/>
            </w:pPr>
            <w:r>
              <w:rPr>
                <w:rFonts w:ascii="宋体" w:hAnsi="宋体" w:eastAsia="宋体"/>
                <w:b w:val="0"/>
                <w:sz w:val="20"/>
              </w:rPr>
              <w:t>西南</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吉林省</w:t>
            </w:r>
          </w:p>
        </w:tc>
        <w:tc>
          <w:tcPr>
            <w:tcW w:type="dxa" w:w="1385"/>
          </w:tcPr>
          <w:p>
            <w:pPr>
              <w:jc w:val="center"/>
            </w:pPr>
            <w:r>
              <w:rPr>
                <w:rFonts w:ascii="宋体" w:hAnsi="宋体" w:eastAsia="宋体"/>
                <w:b w:val="0"/>
                <w:sz w:val="20"/>
              </w:rPr>
              <w:t>东北</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福建省</w:t>
            </w:r>
          </w:p>
        </w:tc>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海南省</w:t>
            </w:r>
          </w:p>
        </w:tc>
        <w:tc>
          <w:tcPr>
            <w:tcW w:type="dxa" w:w="1385"/>
          </w:tcPr>
          <w:p>
            <w:pPr>
              <w:jc w:val="center"/>
            </w:pPr>
            <w:r>
              <w:rPr>
                <w:rFonts w:ascii="宋体" w:hAnsi="宋体" w:eastAsia="宋体"/>
                <w:b w:val="0"/>
                <w:sz w:val="20"/>
              </w:rPr>
              <w:t>华南</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湖南省</w:t>
            </w:r>
          </w:p>
        </w:tc>
        <w:tc>
          <w:tcPr>
            <w:tcW w:type="dxa" w:w="1385"/>
          </w:tcPr>
          <w:p>
            <w:pPr>
              <w:jc w:val="center"/>
            </w:pPr>
            <w:r>
              <w:rPr>
                <w:rFonts w:ascii="宋体" w:hAnsi="宋体" w:eastAsia="宋体"/>
                <w:b w:val="0"/>
                <w:sz w:val="20"/>
              </w:rPr>
              <w:t>华中</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1.0000</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四川省</w:t>
            </w:r>
          </w:p>
        </w:tc>
        <w:tc>
          <w:tcPr>
            <w:tcW w:type="dxa" w:w="1385"/>
          </w:tcPr>
          <w:p>
            <w:pPr>
              <w:jc w:val="center"/>
            </w:pPr>
            <w:r>
              <w:rPr>
                <w:rFonts w:ascii="宋体" w:hAnsi="宋体" w:eastAsia="宋体"/>
                <w:b w:val="0"/>
                <w:sz w:val="20"/>
              </w:rPr>
              <w:t>西南</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0.8495</w:t>
            </w:r>
          </w:p>
        </w:tc>
        <w:tc>
          <w:tcPr>
            <w:tcW w:type="dxa" w:w="1385"/>
          </w:tcPr>
          <w:p>
            <w:pPr>
              <w:jc w:val="center"/>
            </w:pPr>
            <w:r>
              <w:rPr>
                <w:rFonts w:ascii="宋体" w:hAnsi="宋体" w:eastAsia="宋体"/>
                <w:b w:val="0"/>
                <w:sz w:val="20"/>
              </w:rPr>
              <w:t>非有效</w:t>
            </w:r>
          </w:p>
        </w:tc>
      </w:tr>
    </w:tbl>
    <w:p>
      <w:r>
        <w:rPr>
          <w:rFonts w:ascii="宋体" w:hAnsi="宋体" w:eastAsia="宋体"/>
          <w:b w:val="0"/>
          <w:sz w:val="24"/>
        </w:rPr>
      </w:r>
      <w:r>
        <w:rPr>
          <w:rFonts w:ascii="宋体" w:hAnsi="宋体" w:eastAsia="宋体"/>
          <w:b/>
          <w:sz w:val="24"/>
        </w:rPr>
        <w:t>效率结果分析。</w:t>
      </w:r>
      <w:r>
        <w:rPr>
          <w:rFonts w:ascii="宋体" w:hAnsi="宋体" w:eastAsia="宋体"/>
          <w:b w:val="0"/>
          <w:sz w:val="24"/>
        </w:rPr>
        <w:t xml:space="preserve"> 从表5-4可以看出，22个平台中21个达到DEA有效（效率值≥0.999），仅贵州省平台的效率值为0.8502，存在约15%的效率提升空间。平均综合效率为0.9932，整体效率水平极高。</w:t>
      </w:r>
    </w:p>
    <w:p>
      <w:r>
        <w:rPr>
          <w:rFonts w:ascii="宋体" w:hAnsi="宋体" w:eastAsia="宋体"/>
          <w:b w:val="0"/>
          <w:sz w:val="24"/>
        </w:rPr>
        <w:t>DEA有效平台占比过高（95.5%）是一个需要审慎解读的现象。造成这一现象的可能原因包括：（1）样本规模较小（n=22），在投入产出指标维度（3投入×1产出）相对较多的情况下，容易出现多数平台位于生产前沿面上的情况；（2）投入指标之间的相关性较高——功能完善度与运营年限、数据集数量之间存在正向关联，导致生产前沿面"膨胀"；（3）产出指标单一——仅用TOPSIS综合得分作为产出，未能充分捕捉平台产出的多维度特征。</w:t>
      </w:r>
    </w:p>
    <w:p>
      <w:r>
        <w:rPr>
          <w:rFonts w:ascii="宋体" w:hAnsi="宋体" w:eastAsia="宋体"/>
          <w:b w:val="0"/>
          <w:sz w:val="24"/>
        </w:rPr>
        <w:t>尽管存在上述局限，DEA分析仍提供了有价值的洞察。贵州省平台效率偏低的原因在于：其功能完善度仅为6分（22个平台中最低），但运营年限已达8年（2018年上线），表明该平台在较长运营时间内未能有效提升功能建设，投入产出转化效率不高。</w:t>
      </w:r>
    </w:p>
    <w:p>
      <w:pPr>
        <w:pStyle w:val="Heading3"/>
      </w:pPr>
      <w:r>
        <w:t>5.2.3 效率与绩效的关系</w:t>
      </w:r>
    </w:p>
    <w:p>
      <w:r>
        <w:rPr>
          <w:rFonts w:ascii="宋体" w:hAnsi="宋体" w:eastAsia="宋体"/>
          <w:b w:val="0"/>
          <w:sz w:val="24"/>
        </w:rPr>
        <w:t>将DEA效率值与TOPSIS综合绩效得分进行关联分析，计算二者的Spearman秩相关系数。结果显示：Spearman相关系数为0.42（p=0.052），未达到统计显著水平（p&gt;0.05）。这一结果表明，在本研究的数据条件下，效率与绩效之间不存在显著的线性相关关系。</w:t>
      </w:r>
    </w:p>
    <w:p>
      <w:r>
        <w:rPr>
          <w:rFonts w:ascii="宋体" w:hAnsi="宋体" w:eastAsia="宋体"/>
          <w:b w:val="0"/>
          <w:sz w:val="24"/>
        </w:rPr>
        <w:t>这一发现与预期存在差异。理论上，效率较高的平台应该具有更好的绩效表现。造成效率-绩效关系不显著的可能原因包括：（1）DEA效率值的区分度不足（21/22平台有效），导致相关系数估计的方差较大；（2）绩效评估基于功能特征指标，而效率评估基于投入产出关系，二者的理论内涵不同；（3）样本量较小（n=22），统计检验的功效不足。</w:t>
      </w:r>
    </w:p>
    <w:p>
      <w:r>
        <w:rPr>
          <w:rFonts w:ascii="宋体" w:hAnsi="宋体" w:eastAsia="宋体"/>
          <w:b w:val="0"/>
          <w:sz w:val="24"/>
        </w:rPr>
        <w:t>尽管如此，效率分析仍然具有独立的解释价值。DEA有效平台意味着其投入产出配置在当前技术水平下已达到相对最优状态，进一步的绩效提升需要依靠技术创新或投入增加，而非简单的资源配置优化。而非DEA有效平台则存在明确的改进方向——通过调整投入结构（如增加功能建设投入、优化数据集管理）来提升效率。</w:t>
      </w:r>
    </w:p>
    <w:p>
      <w:pPr>
        <w:pStyle w:val="Heading2"/>
      </w:pPr>
      <w:r>
        <w:t>5.3 区域差异与平台类型分析</w:t>
      </w:r>
    </w:p>
    <w:p>
      <w:pPr>
        <w:pStyle w:val="Heading3"/>
      </w:pPr>
      <w:r>
        <w:t>5.3.1 七大区域绩效比较</w:t>
      </w:r>
    </w:p>
    <w:p>
      <w:r>
        <w:rPr>
          <w:rFonts w:ascii="宋体" w:hAnsi="宋体" w:eastAsia="宋体"/>
          <w:b w:val="0"/>
          <w:sz w:val="24"/>
        </w:rPr>
        <w:t>将22个平台按所属区域分组，计算各区域的综合绩效均值，结果如表5-5所示。</w:t>
      </w:r>
    </w:p>
    <w:p>
      <w:r>
        <w:rPr>
          <w:rFonts w:ascii="宋体" w:hAnsi="宋体" w:eastAsia="宋体"/>
          <w:b w:val="0"/>
          <w:sz w:val="24"/>
        </w:rPr>
      </w:r>
      <w:r>
        <w:rPr>
          <w:rFonts w:ascii="宋体" w:hAnsi="宋体" w:eastAsia="宋体"/>
          <w:b/>
          <w:sz w:val="24"/>
        </w:rPr>
        <w:t>表5-5 七大区域综合绩效均值对比</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宋体" w:hAnsi="宋体" w:eastAsia="宋体"/>
                <w:b w:val="0"/>
                <w:sz w:val="20"/>
              </w:rPr>
              <w:t>区域</w:t>
            </w:r>
          </w:p>
        </w:tc>
        <w:tc>
          <w:tcPr>
            <w:tcW w:type="dxa" w:w="1385"/>
          </w:tcPr>
          <w:p>
            <w:pPr>
              <w:jc w:val="center"/>
            </w:pPr>
            <w:r>
              <w:rPr>
                <w:rFonts w:ascii="宋体" w:hAnsi="宋体" w:eastAsia="宋体"/>
                <w:b w:val="0"/>
                <w:sz w:val="20"/>
              </w:rPr>
              <w:t>样本数</w:t>
            </w:r>
          </w:p>
        </w:tc>
        <w:tc>
          <w:tcPr>
            <w:tcW w:type="dxa" w:w="1385"/>
          </w:tcPr>
          <w:p>
            <w:pPr>
              <w:jc w:val="center"/>
            </w:pPr>
            <w:r>
              <w:rPr>
                <w:rFonts w:ascii="宋体" w:hAnsi="宋体" w:eastAsia="宋体"/>
                <w:b w:val="0"/>
                <w:sz w:val="20"/>
              </w:rPr>
              <w:t>均值</w:t>
            </w:r>
          </w:p>
        </w:tc>
        <w:tc>
          <w:tcPr>
            <w:tcW w:type="dxa" w:w="1385"/>
          </w:tcPr>
          <w:p>
            <w:pPr>
              <w:jc w:val="center"/>
            </w:pPr>
            <w:r>
              <w:rPr>
                <w:rFonts w:ascii="宋体" w:hAnsi="宋体" w:eastAsia="宋体"/>
                <w:b w:val="0"/>
                <w:sz w:val="20"/>
              </w:rPr>
              <w:t>标准差</w:t>
            </w:r>
          </w:p>
        </w:tc>
        <w:tc>
          <w:tcPr>
            <w:tcW w:type="dxa" w:w="1385"/>
          </w:tcPr>
          <w:p>
            <w:pPr>
              <w:jc w:val="center"/>
            </w:pPr>
            <w:r>
              <w:rPr>
                <w:rFonts w:ascii="宋体" w:hAnsi="宋体" w:eastAsia="宋体"/>
                <w:b w:val="0"/>
                <w:sz w:val="20"/>
              </w:rPr>
              <w:t>最小值</w:t>
            </w:r>
          </w:p>
        </w:tc>
        <w:tc>
          <w:tcPr>
            <w:tcW w:type="dxa" w:w="1385"/>
          </w:tcPr>
          <w:p>
            <w:pPr>
              <w:jc w:val="center"/>
            </w:pPr>
            <w:r>
              <w:rPr>
                <w:rFonts w:ascii="宋体" w:hAnsi="宋体" w:eastAsia="宋体"/>
                <w:b w:val="0"/>
                <w:sz w:val="20"/>
              </w:rPr>
              <w:t>最大值</w:t>
            </w:r>
          </w:p>
        </w:tc>
      </w:tr>
      <w:tr>
        <w:tc>
          <w:tcPr>
            <w:tcW w:type="dxa" w:w="1385"/>
          </w:tcPr>
          <w:p>
            <w:pPr>
              <w:jc w:val="center"/>
            </w:pPr>
            <w:r>
              <w:rPr>
                <w:rFonts w:ascii="宋体" w:hAnsi="宋体" w:eastAsia="宋体"/>
                <w:b w:val="0"/>
                <w:sz w:val="20"/>
              </w:rPr>
              <w:t>华北</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0.7309</w:t>
            </w:r>
          </w:p>
        </w:tc>
        <w:tc>
          <w:tcPr>
            <w:tcW w:type="dxa" w:w="1385"/>
          </w:tcPr>
          <w:p>
            <w:pPr>
              <w:jc w:val="center"/>
            </w:pPr>
            <w:r>
              <w:rPr>
                <w:rFonts w:ascii="宋体" w:hAnsi="宋体" w:eastAsia="宋体"/>
                <w:b w:val="0"/>
                <w:sz w:val="20"/>
              </w:rPr>
              <w:t>0.3161</w:t>
            </w:r>
          </w:p>
        </w:tc>
        <w:tc>
          <w:tcPr>
            <w:tcW w:type="dxa" w:w="1385"/>
          </w:tcPr>
          <w:p>
            <w:pPr>
              <w:jc w:val="center"/>
            </w:pPr>
            <w:r>
              <w:rPr>
                <w:rFonts w:ascii="宋体" w:hAnsi="宋体" w:eastAsia="宋体"/>
                <w:b w:val="0"/>
                <w:sz w:val="20"/>
              </w:rPr>
              <w:t>0.3905</w:t>
            </w:r>
          </w:p>
        </w:tc>
        <w:tc>
          <w:tcPr>
            <w:tcW w:type="dxa" w:w="1385"/>
          </w:tcPr>
          <w:p>
            <w:pPr>
              <w:jc w:val="center"/>
            </w:pPr>
            <w:r>
              <w:rPr>
                <w:rFonts w:ascii="宋体" w:hAnsi="宋体" w:eastAsia="宋体"/>
                <w:b w:val="0"/>
                <w:sz w:val="20"/>
              </w:rPr>
              <w:t>1.0000</w:t>
            </w:r>
          </w:p>
        </w:tc>
      </w:tr>
      <w:tr>
        <w:tc>
          <w:tcPr>
            <w:tcW w:type="dxa" w:w="1385"/>
          </w:tcPr>
          <w:p>
            <w:pPr>
              <w:jc w:val="center"/>
            </w:pPr>
            <w:r>
              <w:rPr>
                <w:rFonts w:ascii="宋体" w:hAnsi="宋体" w:eastAsia="宋体"/>
                <w:b w:val="0"/>
                <w:sz w:val="20"/>
              </w:rPr>
              <w:t>东北</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0.6642</w:t>
            </w:r>
          </w:p>
        </w:tc>
        <w:tc>
          <w:tcPr>
            <w:tcW w:type="dxa" w:w="1385"/>
          </w:tcPr>
          <w:p>
            <w:pPr>
              <w:jc w:val="center"/>
            </w:pPr>
            <w:r>
              <w:rPr>
                <w:rFonts w:ascii="宋体" w:hAnsi="宋体" w:eastAsia="宋体"/>
                <w:b w:val="0"/>
                <w:sz w:val="20"/>
              </w:rPr>
              <w:t>0.4749</w:t>
            </w:r>
          </w:p>
        </w:tc>
        <w:tc>
          <w:tcPr>
            <w:tcW w:type="dxa" w:w="1385"/>
          </w:tcPr>
          <w:p>
            <w:pPr>
              <w:jc w:val="center"/>
            </w:pPr>
            <w:r>
              <w:rPr>
                <w:rFonts w:ascii="宋体" w:hAnsi="宋体" w:eastAsia="宋体"/>
                <w:b w:val="0"/>
                <w:sz w:val="20"/>
              </w:rPr>
              <w:t>0.3284</w:t>
            </w:r>
          </w:p>
        </w:tc>
        <w:tc>
          <w:tcPr>
            <w:tcW w:type="dxa" w:w="1385"/>
          </w:tcPr>
          <w:p>
            <w:pPr>
              <w:jc w:val="center"/>
            </w:pPr>
            <w:r>
              <w:rPr>
                <w:rFonts w:ascii="宋体" w:hAnsi="宋体" w:eastAsia="宋体"/>
                <w:b w:val="0"/>
                <w:sz w:val="20"/>
              </w:rPr>
              <w:t>1.0000</w:t>
            </w:r>
          </w:p>
        </w:tc>
      </w:tr>
      <w:tr>
        <w:tc>
          <w:tcPr>
            <w:tcW w:type="dxa" w:w="1385"/>
          </w:tcPr>
          <w:p>
            <w:pPr>
              <w:jc w:val="center"/>
            </w:pPr>
            <w:r>
              <w:rPr>
                <w:rFonts w:ascii="宋体" w:hAnsi="宋体" w:eastAsia="宋体"/>
                <w:b w:val="0"/>
                <w:sz w:val="20"/>
              </w:rPr>
              <w:t>华南</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0.5175</w:t>
            </w:r>
          </w:p>
        </w:tc>
        <w:tc>
          <w:tcPr>
            <w:tcW w:type="dxa" w:w="1385"/>
          </w:tcPr>
          <w:p>
            <w:pPr>
              <w:jc w:val="center"/>
            </w:pPr>
            <w:r>
              <w:rPr>
                <w:rFonts w:ascii="宋体" w:hAnsi="宋体" w:eastAsia="宋体"/>
                <w:b w:val="0"/>
                <w:sz w:val="20"/>
              </w:rPr>
              <w:t>0.2534</w:t>
            </w:r>
          </w:p>
        </w:tc>
        <w:tc>
          <w:tcPr>
            <w:tcW w:type="dxa" w:w="1385"/>
          </w:tcPr>
          <w:p>
            <w:pPr>
              <w:jc w:val="center"/>
            </w:pPr>
            <w:r>
              <w:rPr>
                <w:rFonts w:ascii="宋体" w:hAnsi="宋体" w:eastAsia="宋体"/>
                <w:b w:val="0"/>
                <w:sz w:val="20"/>
              </w:rPr>
              <w:t>0.2509</w:t>
            </w:r>
          </w:p>
        </w:tc>
        <w:tc>
          <w:tcPr>
            <w:tcW w:type="dxa" w:w="1385"/>
          </w:tcPr>
          <w:p>
            <w:pPr>
              <w:jc w:val="center"/>
            </w:pPr>
            <w:r>
              <w:rPr>
                <w:rFonts w:ascii="宋体" w:hAnsi="宋体" w:eastAsia="宋体"/>
                <w:b w:val="0"/>
                <w:sz w:val="20"/>
              </w:rPr>
              <w:t>0.7553</w:t>
            </w:r>
          </w:p>
        </w:tc>
      </w:tr>
      <w:tr>
        <w:tc>
          <w:tcPr>
            <w:tcW w:type="dxa" w:w="1385"/>
          </w:tcPr>
          <w:p>
            <w:pPr>
              <w:jc w:val="center"/>
            </w:pPr>
            <w:r>
              <w:rPr>
                <w:rFonts w:ascii="宋体" w:hAnsi="宋体" w:eastAsia="宋体"/>
                <w:b w:val="0"/>
                <w:sz w:val="20"/>
              </w:rPr>
              <w:t>华中</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0.4192</w:t>
            </w:r>
          </w:p>
        </w:tc>
        <w:tc>
          <w:tcPr>
            <w:tcW w:type="dxa" w:w="1385"/>
          </w:tcPr>
          <w:p>
            <w:pPr>
              <w:jc w:val="center"/>
            </w:pPr>
            <w:r>
              <w:rPr>
                <w:rFonts w:ascii="宋体" w:hAnsi="宋体" w:eastAsia="宋体"/>
                <w:b w:val="0"/>
                <w:sz w:val="20"/>
              </w:rPr>
              <w:t>0.1009</w:t>
            </w:r>
          </w:p>
        </w:tc>
        <w:tc>
          <w:tcPr>
            <w:tcW w:type="dxa" w:w="1385"/>
          </w:tcPr>
          <w:p>
            <w:pPr>
              <w:jc w:val="center"/>
            </w:pPr>
            <w:r>
              <w:rPr>
                <w:rFonts w:ascii="宋体" w:hAnsi="宋体" w:eastAsia="宋体"/>
                <w:b w:val="0"/>
                <w:sz w:val="20"/>
              </w:rPr>
              <w:t>0.3464</w:t>
            </w:r>
          </w:p>
        </w:tc>
        <w:tc>
          <w:tcPr>
            <w:tcW w:type="dxa" w:w="1385"/>
          </w:tcPr>
          <w:p>
            <w:pPr>
              <w:jc w:val="center"/>
            </w:pPr>
            <w:r>
              <w:rPr>
                <w:rFonts w:ascii="宋体" w:hAnsi="宋体" w:eastAsia="宋体"/>
                <w:b w:val="0"/>
                <w:sz w:val="20"/>
              </w:rPr>
              <w:t>0.5344</w:t>
            </w:r>
          </w:p>
        </w:tc>
      </w:tr>
      <w:tr>
        <w:tc>
          <w:tcPr>
            <w:tcW w:type="dxa" w:w="1385"/>
          </w:tcPr>
          <w:p>
            <w:pPr>
              <w:jc w:val="center"/>
            </w:pPr>
            <w:r>
              <w:rPr>
                <w:rFonts w:ascii="宋体" w:hAnsi="宋体" w:eastAsia="宋体"/>
                <w:b w:val="0"/>
                <w:sz w:val="20"/>
              </w:rPr>
              <w:t>西南</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0.4119</w:t>
            </w:r>
          </w:p>
        </w:tc>
        <w:tc>
          <w:tcPr>
            <w:tcW w:type="dxa" w:w="1385"/>
          </w:tcPr>
          <w:p>
            <w:pPr>
              <w:jc w:val="center"/>
            </w:pPr>
            <w:r>
              <w:rPr>
                <w:rFonts w:ascii="宋体" w:hAnsi="宋体" w:eastAsia="宋体"/>
                <w:b w:val="0"/>
                <w:sz w:val="20"/>
              </w:rPr>
              <w:t>0.2917</w:t>
            </w:r>
          </w:p>
        </w:tc>
        <w:tc>
          <w:tcPr>
            <w:tcW w:type="dxa" w:w="1385"/>
          </w:tcPr>
          <w:p>
            <w:pPr>
              <w:jc w:val="center"/>
            </w:pPr>
            <w:r>
              <w:rPr>
                <w:rFonts w:ascii="宋体" w:hAnsi="宋体" w:eastAsia="宋体"/>
                <w:b w:val="0"/>
                <w:sz w:val="20"/>
              </w:rPr>
              <w:t>0.0514</w:t>
            </w:r>
          </w:p>
        </w:tc>
        <w:tc>
          <w:tcPr>
            <w:tcW w:type="dxa" w:w="1385"/>
          </w:tcPr>
          <w:p>
            <w:pPr>
              <w:jc w:val="center"/>
            </w:pPr>
            <w:r>
              <w:rPr>
                <w:rFonts w:ascii="宋体" w:hAnsi="宋体" w:eastAsia="宋体"/>
                <w:b w:val="0"/>
                <w:sz w:val="20"/>
              </w:rPr>
              <w:t>0.7553</w:t>
            </w:r>
          </w:p>
        </w:tc>
      </w:tr>
      <w:tr>
        <w:tc>
          <w:tcPr>
            <w:tcW w:type="dxa" w:w="1385"/>
          </w:tcPr>
          <w:p>
            <w:pPr>
              <w:jc w:val="center"/>
            </w:pPr>
            <w:r>
              <w:rPr>
                <w:rFonts w:ascii="宋体" w:hAnsi="宋体" w:eastAsia="宋体"/>
                <w:b w:val="0"/>
                <w:sz w:val="20"/>
              </w:rPr>
              <w:t>华东</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0.3471</w:t>
            </w:r>
          </w:p>
        </w:tc>
        <w:tc>
          <w:tcPr>
            <w:tcW w:type="dxa" w:w="1385"/>
          </w:tcPr>
          <w:p>
            <w:pPr>
              <w:jc w:val="center"/>
            </w:pPr>
            <w:r>
              <w:rPr>
                <w:rFonts w:ascii="宋体" w:hAnsi="宋体" w:eastAsia="宋体"/>
                <w:b w:val="0"/>
                <w:sz w:val="20"/>
              </w:rPr>
              <w:t>0.3565</w:t>
            </w:r>
          </w:p>
        </w:tc>
        <w:tc>
          <w:tcPr>
            <w:tcW w:type="dxa" w:w="1385"/>
          </w:tcPr>
          <w:p>
            <w:pPr>
              <w:jc w:val="center"/>
            </w:pPr>
            <w:r>
              <w:rPr>
                <w:rFonts w:ascii="宋体" w:hAnsi="宋体" w:eastAsia="宋体"/>
                <w:b w:val="0"/>
                <w:sz w:val="20"/>
              </w:rPr>
              <w:t>0.0232</w:t>
            </w:r>
          </w:p>
        </w:tc>
        <w:tc>
          <w:tcPr>
            <w:tcW w:type="dxa" w:w="1385"/>
          </w:tcPr>
          <w:p>
            <w:pPr>
              <w:jc w:val="center"/>
            </w:pPr>
            <w:r>
              <w:rPr>
                <w:rFonts w:ascii="宋体" w:hAnsi="宋体" w:eastAsia="宋体"/>
                <w:b w:val="0"/>
                <w:sz w:val="20"/>
              </w:rPr>
              <w:t>1.0000</w:t>
            </w:r>
          </w:p>
        </w:tc>
      </w:tr>
    </w:tbl>
    <w:p>
      <w:r>
        <w:rPr>
          <w:rFonts w:ascii="宋体" w:hAnsi="宋体" w:eastAsia="宋体"/>
          <w:b w:val="0"/>
          <w:sz w:val="24"/>
        </w:rPr>
        <w:t>从区域均值看，华北区域以0.7386的均值排名第一，主要得益于北京、内蒙古、山东三个满分平台的拉动。东北区域以0.6229排名第二，辽宁满分但吉林中等。华中区域以0.5843排名第三，三个平台（河南、湖北、湖南）得分较为接近。华南、西南区域均值在0.50左右，处于中等水平。华东区域均值最低（0.4400），这与浙江、安徽、福建的采集偏差有关。</w:t>
      </w:r>
    </w:p>
    <w:p>
      <w:r>
        <w:rPr>
          <w:rFonts w:ascii="宋体" w:hAnsi="宋体" w:eastAsia="宋体"/>
          <w:b w:val="0"/>
          <w:sz w:val="24"/>
        </w:rPr>
        <w:t>需要特别关注的是西北区域的缺失。22个样本中无一来自西北区域（陕西、宁夏、新疆均采集失败），这意味着本研究无法对西北区域平台的绩效水平进行评估。西北区域的数据缺失不仅是技术问题，也可能反映了该区域平台在基础设施建设方面的滞后——平台服务器稳定性不足导致外部访问困难。</w:t>
      </w:r>
    </w:p>
    <w:p>
      <w:pPr>
        <w:pStyle w:val="Heading3"/>
      </w:pPr>
      <w:r>
        <w:t>5.3.2 平台类型学分析</w:t>
      </w:r>
    </w:p>
    <w:p>
      <w:r>
        <w:rPr>
          <w:rFonts w:ascii="宋体" w:hAnsi="宋体" w:eastAsia="宋体"/>
          <w:b w:val="0"/>
          <w:sz w:val="24"/>
        </w:rPr>
        <w:t>基于综合绩效得分和功能完善度，本研究将22个平台分为三种类型：</w:t>
      </w:r>
    </w:p>
    <w:p>
      <w:r>
        <w:rPr>
          <w:rFonts w:ascii="宋体" w:hAnsi="宋体" w:eastAsia="宋体"/>
          <w:b w:val="0"/>
          <w:sz w:val="24"/>
        </w:rPr>
      </w:r>
      <w:r>
        <w:rPr>
          <w:rFonts w:ascii="宋体" w:hAnsi="宋体" w:eastAsia="宋体"/>
          <w:b/>
          <w:sz w:val="24"/>
        </w:rPr>
        <w:t>类型一：功能完善型（功能完善度≥9）。</w:t>
      </w:r>
      <w:r>
        <w:rPr>
          <w:rFonts w:ascii="宋体" w:hAnsi="宋体" w:eastAsia="宋体"/>
          <w:b w:val="0"/>
          <w:sz w:val="24"/>
        </w:rPr>
        <w:t xml:space="preserve"> 包括北京、辽宁、内蒙古、山东、四川、广西、湖南、海南、湖北9个平台。这些平台在11项功能指标中仅缺失0-2项，平台功能建设较为完善。其中，北京、辽宁、内蒙古、山东4个平台获得满分，是功能完善型的标杆。</w:t>
      </w:r>
    </w:p>
    <w:p>
      <w:r>
        <w:rPr>
          <w:rFonts w:ascii="宋体" w:hAnsi="宋体" w:eastAsia="宋体"/>
          <w:b w:val="0"/>
          <w:sz w:val="24"/>
        </w:rPr>
      </w:r>
      <w:r>
        <w:rPr>
          <w:rFonts w:ascii="宋体" w:hAnsi="宋体" w:eastAsia="宋体"/>
          <w:b/>
          <w:sz w:val="24"/>
        </w:rPr>
        <w:t>类型二：功能中等型（功能完善度6-8）。</w:t>
      </w:r>
      <w:r>
        <w:rPr>
          <w:rFonts w:ascii="宋体" w:hAnsi="宋体" w:eastAsia="宋体"/>
          <w:b w:val="0"/>
          <w:sz w:val="24"/>
        </w:rPr>
        <w:t xml:space="preserve"> 包括天津、重庆、河南、吉林、云南、浙江、山西、江苏、广东9个平台。这些平台缺失3-5项功能，在部分基础功能方面存在短板。例如，广东省平台仅检测到4项功能，可能原因是其平台采用特殊的架构设计，部分功能未被采集系统识别。</w:t>
      </w:r>
    </w:p>
    <w:p>
      <w:r>
        <w:rPr>
          <w:rFonts w:ascii="宋体" w:hAnsi="宋体" w:eastAsia="宋体"/>
          <w:b w:val="0"/>
          <w:sz w:val="24"/>
        </w:rPr>
      </w:r>
      <w:r>
        <w:rPr>
          <w:rFonts w:ascii="宋体" w:hAnsi="宋体" w:eastAsia="宋体"/>
          <w:b/>
          <w:sz w:val="24"/>
        </w:rPr>
        <w:t>类型三：功能基础型（功能完善度≤6）。</w:t>
      </w:r>
      <w:r>
        <w:rPr>
          <w:rFonts w:ascii="宋体" w:hAnsi="宋体" w:eastAsia="宋体"/>
          <w:b w:val="0"/>
          <w:sz w:val="24"/>
        </w:rPr>
        <w:t xml:space="preserve"> 包括安徽、福建、贵州3个平台。这些平台缺失5项以上功能，在平台服务、数据质量、利用效果等多个维度存在明显不足，需要全面加强平台建设。</w:t>
      </w:r>
    </w:p>
    <w:p>
      <w:r>
        <w:rPr>
          <w:rFonts w:ascii="宋体" w:hAnsi="宋体" w:eastAsia="宋体"/>
          <w:b w:val="0"/>
          <w:sz w:val="24"/>
        </w:rPr>
        <w:t>三种类型的平台数量分布为9:9:4，呈现"两头小、中间大"的橄榄型结构。这一分布表明，我国省级政府数据开放平台的功能建设整体处于中等水平，既不存在大面积的功能缺失，也缺乏大面积的全面领先。</w:t>
      </w:r>
    </w:p>
    <w:p>
      <w:pPr>
        <w:pStyle w:val="Heading2"/>
      </w:pPr>
      <w:r>
        <w:t>5.4 本章小结</w:t>
      </w:r>
    </w:p>
    <w:p>
      <w:r>
        <w:rPr>
          <w:rFonts w:ascii="宋体" w:hAnsi="宋体" w:eastAsia="宋体"/>
          <w:b w:val="0"/>
          <w:sz w:val="24"/>
        </w:rPr>
        <w:t>本章基于22个省级平台的真实采集数据，运用熵权TOPSIS和DEA-BCC两种方法进行了绩效评估和效率分析。主要发现如下：</w:t>
      </w:r>
    </w:p>
    <w:p>
      <w:r>
        <w:rPr>
          <w:rFonts w:ascii="宋体" w:hAnsi="宋体" w:eastAsia="宋体"/>
          <w:b w:val="0"/>
          <w:sz w:val="24"/>
        </w:rPr>
        <w:t>第一，基于11项功能特征指标的TOPSIS评估显示，22个平台的综合绩效呈现明显的分层特征。4个平台（北京、辽宁、内蒙古、山东）获得满分，功能完善度达到10/11；9个平台处于中等偏上水平；3个平台（安徽、福建、贵州）功能完善度较低，需要重点改进。</w:t>
      </w:r>
    </w:p>
    <w:p>
      <w:r>
        <w:rPr>
          <w:rFonts w:ascii="宋体" w:hAnsi="宋体" w:eastAsia="宋体"/>
          <w:b w:val="0"/>
          <w:sz w:val="24"/>
        </w:rPr>
        <w:t>第二，区域差异显著。华北区域均值最高（0.7386），华东区域均值最低（0.4400）。但华东区域的低均值主要受采集偏差影响（浙江等平台的功能未被完整检测），不代表该区域平台的真实水平较低。</w:t>
      </w:r>
    </w:p>
    <w:p>
      <w:r>
        <w:rPr>
          <w:rFonts w:ascii="宋体" w:hAnsi="宋体" w:eastAsia="宋体"/>
          <w:b w:val="0"/>
          <w:sz w:val="24"/>
        </w:rPr>
        <w:t>第三，DEA效率分析显示21/22个平台达到DEA有效，平均效率0.9932。效率值的区分度不足限制了效率分析的解释力，但这一结果本身说明大多数平台的投入产出配置在当前条件下已相对合理。</w:t>
      </w:r>
    </w:p>
    <w:p>
      <w:r>
        <w:rPr>
          <w:rFonts w:ascii="宋体" w:hAnsi="宋体" w:eastAsia="宋体"/>
          <w:b w:val="0"/>
          <w:sz w:val="24"/>
        </w:rPr>
        <w:t>第四，外部效度检验表明，本研究的评估结果与开放数林指数在总体趋势上具有较好的一致性（北京、山东等平台在两个体系中均位列前茅），验证了基于真实采集数据的评估框架的有效性。但采集系统的功能检测覆盖率不足导致部分平台（如浙江）的排名被低估，这是后续需要改进的关键问题。</w:t>
      </w:r>
    </w:p>
    <w:p>
      <w:pPr>
        <w:pStyle w:val="Heading1"/>
      </w:pPr>
      <w:r>
        <w:t>第六章 影响因素与组态分析</w:t>
      </w:r>
    </w:p>
    <w:p>
      <w:pPr>
        <w:pStyle w:val="Heading1"/>
      </w:pPr>
      <w:r>
        <w:t>第六章 影响因素与组态分析</w:t>
      </w:r>
    </w:p>
    <w:p>
      <w:pPr>
        <w:pStyle w:val="Heading2"/>
      </w:pPr>
      <w:r>
        <w:t>6.1 DEMATEL影响因素关联分析</w:t>
      </w:r>
    </w:p>
    <w:p>
      <w:pPr>
        <w:pStyle w:val="Heading3"/>
      </w:pPr>
      <w:r>
        <w:t>6.1.1 DEMATEL方法原理</w:t>
      </w:r>
    </w:p>
    <w:p>
      <w:r>
        <w:rPr>
          <w:rFonts w:ascii="宋体" w:hAnsi="宋体" w:eastAsia="宋体"/>
          <w:b w:val="0"/>
          <w:sz w:val="24"/>
        </w:rPr>
        <w:t>决策试验与评价实验室法（Decision-making Trial and Evaluation Laboratory，DEMATEL）是一种基于图论和矩阵运算的结构化分析方法，通过分析系统中各要素之间的直接影响关系，识别要素的中心度和原因度，从而厘清复杂系统中要素的因果层次结构。</w:t>
      </w:r>
    </w:p>
    <w:p>
      <w:r>
        <w:rPr>
          <w:rFonts w:ascii="宋体" w:hAnsi="宋体" w:eastAsia="宋体"/>
          <w:b w:val="0"/>
          <w:sz w:val="24"/>
        </w:rPr>
        <w:t>DEMATEL方法的分析步骤包括：（1）构建直接影响矩阵——基于专家判断或理论推导确定要素间的直接影响强度；（2）归一化直接影响矩阵；（3）计算综合影响矩阵；（4）计算各要素的影响度、被影响度、中心度和原因度；（5）绘制因果图。</w:t>
      </w:r>
    </w:p>
    <w:p>
      <w:r>
        <w:rPr>
          <w:rFonts w:ascii="宋体" w:hAnsi="宋体" w:eastAsia="宋体"/>
          <w:b w:val="0"/>
          <w:sz w:val="24"/>
        </w:rPr>
        <w:t>本研究将政府数据开放平台绩效的四个维度（供给保障C1、平台服务C2、数据质量C3、利用效果C4）作为DEMATEL的分析要素。直接影响矩阵基于理论推导构建，反映了四个维度之间的逻辑影响关系：</w:t>
      </w:r>
    </w:p>
    <w:p>
      <w:r>
        <w:rPr>
          <w:rFonts w:ascii="宋体" w:hAnsi="宋体" w:eastAsia="宋体"/>
          <w:b w:val="0"/>
          <w:sz w:val="24"/>
        </w:rPr>
        <w:t>- C1（供给保障）影响C2（平台服务）：数据资源的供给为平台服务提供了内容和对象，没有数据供给，平台服务无从谈起。</w:t>
      </w:r>
    </w:p>
    <w:p>
      <w:r>
        <w:rPr>
          <w:rFonts w:ascii="宋体" w:hAnsi="宋体" w:eastAsia="宋体"/>
          <w:b w:val="0"/>
          <w:sz w:val="24"/>
        </w:rPr>
        <w:t>- C1（供给保障）影响C3（数据质量）：数据供给的规模和质量基础决定了数据质量管控的空间和必要性。</w:t>
      </w:r>
    </w:p>
    <w:p>
      <w:r>
        <w:rPr>
          <w:rFonts w:ascii="宋体" w:hAnsi="宋体" w:eastAsia="宋体"/>
          <w:b w:val="0"/>
          <w:sz w:val="24"/>
        </w:rPr>
        <w:t>- C1（供给保障）影响C4（利用效果）：数据是利用效果的前提条件，"巧妇难为无米之炊"。</w:t>
      </w:r>
    </w:p>
    <w:p>
      <w:r>
        <w:rPr>
          <w:rFonts w:ascii="宋体" w:hAnsi="宋体" w:eastAsia="宋体"/>
          <w:b w:val="0"/>
          <w:sz w:val="24"/>
        </w:rPr>
        <w:t>- C2（平台服务）影响C3（数据质量）：平台提供的元数据标注、质量检测、用户反馈等功能直接影响数据质量的提升。</w:t>
      </w:r>
    </w:p>
    <w:p>
      <w:r>
        <w:rPr>
          <w:rFonts w:ascii="宋体" w:hAnsi="宋体" w:eastAsia="宋体"/>
          <w:b w:val="0"/>
          <w:sz w:val="24"/>
        </w:rPr>
        <w:t>- C2（平台服务）影响C4（利用效果）：平台的搜索、下载、API、可视化等服务降低了数据利用的技术门槛。</w:t>
      </w:r>
    </w:p>
    <w:p>
      <w:r>
        <w:rPr>
          <w:rFonts w:ascii="宋体" w:hAnsi="宋体" w:eastAsia="宋体"/>
          <w:b w:val="0"/>
          <w:sz w:val="24"/>
        </w:rPr>
        <w:t>- C3（数据质量）影响C4（利用效果）：高质量的数据是利用效果的基础，低质量数据即使开放也难以被有效利用。</w:t>
      </w:r>
    </w:p>
    <w:p>
      <w:r>
        <w:rPr>
          <w:rFonts w:ascii="宋体" w:hAnsi="宋体" w:eastAsia="宋体"/>
          <w:b w:val="0"/>
          <w:sz w:val="24"/>
        </w:rPr>
        <w:t>表6-1展示了直接影响矩阵。</w:t>
      </w:r>
    </w:p>
    <w:p>
      <w:r>
        <w:rPr>
          <w:rFonts w:ascii="宋体" w:hAnsi="宋体" w:eastAsia="宋体"/>
          <w:b w:val="0"/>
          <w:sz w:val="24"/>
        </w:rPr>
      </w:r>
      <w:r>
        <w:rPr>
          <w:rFonts w:ascii="宋体" w:hAnsi="宋体" w:eastAsia="宋体"/>
          <w:b/>
          <w:sz w:val="24"/>
        </w:rPr>
        <w:t>表6-1 DEMATEL直接影响矩阵</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val="0"/>
                <w:sz w:val="20"/>
              </w:rPr>
              <w:t>影响因素</w:t>
            </w:r>
          </w:p>
        </w:tc>
        <w:tc>
          <w:tcPr>
            <w:tcW w:type="dxa" w:w="1662"/>
          </w:tcPr>
          <w:p>
            <w:pPr>
              <w:jc w:val="center"/>
            </w:pPr>
            <w:r>
              <w:rPr>
                <w:rFonts w:ascii="宋体" w:hAnsi="宋体" w:eastAsia="宋体"/>
                <w:b w:val="0"/>
                <w:sz w:val="20"/>
              </w:rPr>
              <w:t>C1供给保障</w:t>
            </w:r>
          </w:p>
        </w:tc>
        <w:tc>
          <w:tcPr>
            <w:tcW w:type="dxa" w:w="1662"/>
          </w:tcPr>
          <w:p>
            <w:pPr>
              <w:jc w:val="center"/>
            </w:pPr>
            <w:r>
              <w:rPr>
                <w:rFonts w:ascii="宋体" w:hAnsi="宋体" w:eastAsia="宋体"/>
                <w:b w:val="0"/>
                <w:sz w:val="20"/>
              </w:rPr>
              <w:t>C2平台服务</w:t>
            </w:r>
          </w:p>
        </w:tc>
        <w:tc>
          <w:tcPr>
            <w:tcW w:type="dxa" w:w="1662"/>
          </w:tcPr>
          <w:p>
            <w:pPr>
              <w:jc w:val="center"/>
            </w:pPr>
            <w:r>
              <w:rPr>
                <w:rFonts w:ascii="宋体" w:hAnsi="宋体" w:eastAsia="宋体"/>
                <w:b w:val="0"/>
                <w:sz w:val="20"/>
              </w:rPr>
              <w:t>C3数据质量</w:t>
            </w:r>
          </w:p>
        </w:tc>
        <w:tc>
          <w:tcPr>
            <w:tcW w:type="dxa" w:w="1662"/>
          </w:tcPr>
          <w:p>
            <w:pPr>
              <w:jc w:val="center"/>
            </w:pPr>
            <w:r>
              <w:rPr>
                <w:rFonts w:ascii="宋体" w:hAnsi="宋体" w:eastAsia="宋体"/>
                <w:b w:val="0"/>
                <w:sz w:val="20"/>
              </w:rPr>
              <w:t>C4利用效果</w:t>
            </w:r>
          </w:p>
        </w:tc>
      </w:tr>
      <w:tr>
        <w:tc>
          <w:tcPr>
            <w:tcW w:type="dxa" w:w="1662"/>
          </w:tcPr>
          <w:p>
            <w:pPr>
              <w:jc w:val="center"/>
            </w:pPr>
            <w:r>
              <w:rPr>
                <w:rFonts w:ascii="宋体" w:hAnsi="宋体" w:eastAsia="宋体"/>
                <w:b w:val="0"/>
                <w:sz w:val="20"/>
              </w:rPr>
              <w:t>供给保障(C1)</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0.70</w:t>
            </w:r>
          </w:p>
        </w:tc>
        <w:tc>
          <w:tcPr>
            <w:tcW w:type="dxa" w:w="1662"/>
          </w:tcPr>
          <w:p>
            <w:pPr>
              <w:jc w:val="center"/>
            </w:pPr>
            <w:r>
              <w:rPr>
                <w:rFonts w:ascii="宋体" w:hAnsi="宋体" w:eastAsia="宋体"/>
                <w:b w:val="0"/>
                <w:sz w:val="20"/>
              </w:rPr>
              <w:t>0.50</w:t>
            </w:r>
          </w:p>
        </w:tc>
        <w:tc>
          <w:tcPr>
            <w:tcW w:type="dxa" w:w="1662"/>
          </w:tcPr>
          <w:p>
            <w:pPr>
              <w:jc w:val="center"/>
            </w:pPr>
            <w:r>
              <w:rPr>
                <w:rFonts w:ascii="宋体" w:hAnsi="宋体" w:eastAsia="宋体"/>
                <w:b w:val="0"/>
                <w:sz w:val="20"/>
              </w:rPr>
              <w:t>0.60</w:t>
            </w:r>
          </w:p>
        </w:tc>
      </w:tr>
      <w:tr>
        <w:tc>
          <w:tcPr>
            <w:tcW w:type="dxa" w:w="1662"/>
          </w:tcPr>
          <w:p>
            <w:pPr>
              <w:jc w:val="center"/>
            </w:pPr>
            <w:r>
              <w:rPr>
                <w:rFonts w:ascii="宋体" w:hAnsi="宋体" w:eastAsia="宋体"/>
                <w:b w:val="0"/>
                <w:sz w:val="20"/>
              </w:rPr>
              <w:t>平台服务(C2)</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0.40</w:t>
            </w:r>
          </w:p>
        </w:tc>
        <w:tc>
          <w:tcPr>
            <w:tcW w:type="dxa" w:w="1662"/>
          </w:tcPr>
          <w:p>
            <w:pPr>
              <w:jc w:val="center"/>
            </w:pPr>
            <w:r>
              <w:rPr>
                <w:rFonts w:ascii="宋体" w:hAnsi="宋体" w:eastAsia="宋体"/>
                <w:b w:val="0"/>
                <w:sz w:val="20"/>
              </w:rPr>
              <w:t>0.70</w:t>
            </w:r>
          </w:p>
        </w:tc>
      </w:tr>
      <w:tr>
        <w:tc>
          <w:tcPr>
            <w:tcW w:type="dxa" w:w="1662"/>
          </w:tcPr>
          <w:p>
            <w:pPr>
              <w:jc w:val="center"/>
            </w:pPr>
            <w:r>
              <w:rPr>
                <w:rFonts w:ascii="宋体" w:hAnsi="宋体" w:eastAsia="宋体"/>
                <w:b w:val="0"/>
                <w:sz w:val="20"/>
              </w:rPr>
              <w:t>数据质量(C3)</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0.20</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0.60</w:t>
            </w:r>
          </w:p>
        </w:tc>
      </w:tr>
      <w:tr>
        <w:tc>
          <w:tcPr>
            <w:tcW w:type="dxa" w:w="1662"/>
          </w:tcPr>
          <w:p>
            <w:pPr>
              <w:jc w:val="center"/>
            </w:pPr>
            <w:r>
              <w:rPr>
                <w:rFonts w:ascii="宋体" w:hAnsi="宋体" w:eastAsia="宋体"/>
                <w:b w:val="0"/>
                <w:sz w:val="20"/>
              </w:rPr>
              <w:t>利用效果(C4)</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0.00</w:t>
            </w:r>
          </w:p>
        </w:tc>
        <w:tc>
          <w:tcPr>
            <w:tcW w:type="dxa" w:w="1662"/>
          </w:tcPr>
          <w:p>
            <w:pPr>
              <w:jc w:val="center"/>
            </w:pPr>
            <w:r>
              <w:rPr>
                <w:rFonts w:ascii="宋体" w:hAnsi="宋体" w:eastAsia="宋体"/>
                <w:b w:val="0"/>
                <w:sz w:val="20"/>
              </w:rPr>
              <w:t>0.00</w:t>
            </w:r>
          </w:p>
        </w:tc>
      </w:tr>
    </w:tbl>
    <w:p>
      <w:pPr>
        <w:pStyle w:val="Heading3"/>
      </w:pPr>
      <w:r>
        <w:t>6.1.2 综合影响矩阵与因果分析</w:t>
      </w:r>
    </w:p>
    <w:p>
      <w:r>
        <w:rPr>
          <w:rFonts w:ascii="宋体" w:hAnsi="宋体" w:eastAsia="宋体"/>
          <w:b w:val="0"/>
          <w:sz w:val="24"/>
        </w:rPr>
        <w:t>基于直接影响矩阵，本研究计算了综合影响矩阵（表6-2）。综合影响矩阵反映了要素之间的直接和间接影响的总和。</w:t>
      </w:r>
    </w:p>
    <w:p>
      <w:r>
        <w:rPr>
          <w:rFonts w:ascii="宋体" w:hAnsi="宋体" w:eastAsia="宋体"/>
          <w:b w:val="0"/>
          <w:sz w:val="24"/>
        </w:rPr>
      </w:r>
      <w:r>
        <w:rPr>
          <w:rFonts w:ascii="宋体" w:hAnsi="宋体" w:eastAsia="宋体"/>
          <w:b/>
          <w:sz w:val="24"/>
        </w:rPr>
        <w:t>表6-2 DEMATEL综合影响矩阵</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val="0"/>
                <w:sz w:val="20"/>
              </w:rPr>
              <w:t>影响因素</w:t>
            </w:r>
          </w:p>
        </w:tc>
        <w:tc>
          <w:tcPr>
            <w:tcW w:type="dxa" w:w="1662"/>
          </w:tcPr>
          <w:p>
            <w:pPr>
              <w:jc w:val="center"/>
            </w:pPr>
            <w:r>
              <w:rPr>
                <w:rFonts w:ascii="宋体" w:hAnsi="宋体" w:eastAsia="宋体"/>
                <w:b w:val="0"/>
                <w:sz w:val="20"/>
              </w:rPr>
              <w:t>C1供给保障</w:t>
            </w:r>
          </w:p>
        </w:tc>
        <w:tc>
          <w:tcPr>
            <w:tcW w:type="dxa" w:w="1662"/>
          </w:tcPr>
          <w:p>
            <w:pPr>
              <w:jc w:val="center"/>
            </w:pPr>
            <w:r>
              <w:rPr>
                <w:rFonts w:ascii="宋体" w:hAnsi="宋体" w:eastAsia="宋体"/>
                <w:b w:val="0"/>
                <w:sz w:val="20"/>
              </w:rPr>
              <w:t>C2平台服务</w:t>
            </w:r>
          </w:p>
        </w:tc>
        <w:tc>
          <w:tcPr>
            <w:tcW w:type="dxa" w:w="1662"/>
          </w:tcPr>
          <w:p>
            <w:pPr>
              <w:jc w:val="center"/>
            </w:pPr>
            <w:r>
              <w:rPr>
                <w:rFonts w:ascii="宋体" w:hAnsi="宋体" w:eastAsia="宋体"/>
                <w:b w:val="0"/>
                <w:sz w:val="20"/>
              </w:rPr>
              <w:t>C3数据质量</w:t>
            </w:r>
          </w:p>
        </w:tc>
        <w:tc>
          <w:tcPr>
            <w:tcW w:type="dxa" w:w="1662"/>
          </w:tcPr>
          <w:p>
            <w:pPr>
              <w:jc w:val="center"/>
            </w:pPr>
            <w:r>
              <w:rPr>
                <w:rFonts w:ascii="宋体" w:hAnsi="宋体" w:eastAsia="宋体"/>
                <w:b w:val="0"/>
                <w:sz w:val="20"/>
              </w:rPr>
              <w:t>C4利用效果</w:t>
            </w:r>
          </w:p>
        </w:tc>
      </w:tr>
      <w:tr>
        <w:tc>
          <w:tcPr>
            <w:tcW w:type="dxa" w:w="1662"/>
          </w:tcPr>
          <w:p>
            <w:pPr>
              <w:jc w:val="center"/>
            </w:pPr>
            <w:r>
              <w:rPr>
                <w:rFonts w:ascii="宋体" w:hAnsi="宋体" w:eastAsia="宋体"/>
                <w:b w:val="0"/>
                <w:sz w:val="20"/>
              </w:rPr>
              <w:t>供给保障(C1)</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1.4390</w:t>
            </w:r>
          </w:p>
        </w:tc>
        <w:tc>
          <w:tcPr>
            <w:tcW w:type="dxa" w:w="1662"/>
          </w:tcPr>
          <w:p>
            <w:pPr>
              <w:jc w:val="center"/>
            </w:pPr>
            <w:r>
              <w:rPr>
                <w:rFonts w:ascii="宋体" w:hAnsi="宋体" w:eastAsia="宋体"/>
                <w:b w:val="0"/>
                <w:sz w:val="20"/>
              </w:rPr>
              <w:t>1.5366</w:t>
            </w:r>
          </w:p>
        </w:tc>
        <w:tc>
          <w:tcPr>
            <w:tcW w:type="dxa" w:w="1662"/>
          </w:tcPr>
          <w:p>
            <w:pPr>
              <w:jc w:val="center"/>
            </w:pPr>
            <w:r>
              <w:rPr>
                <w:rFonts w:ascii="宋体" w:hAnsi="宋体" w:eastAsia="宋体"/>
                <w:b w:val="0"/>
                <w:sz w:val="20"/>
              </w:rPr>
              <w:t>3.6132</w:t>
            </w:r>
          </w:p>
        </w:tc>
      </w:tr>
      <w:tr>
        <w:tc>
          <w:tcPr>
            <w:tcW w:type="dxa" w:w="1662"/>
          </w:tcPr>
          <w:p>
            <w:pPr>
              <w:jc w:val="center"/>
            </w:pPr>
            <w:r>
              <w:rPr>
                <w:rFonts w:ascii="宋体" w:hAnsi="宋体" w:eastAsia="宋体"/>
                <w:b w:val="0"/>
                <w:sz w:val="20"/>
              </w:rPr>
              <w:t>平台服务(C2)</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0.1951</w:t>
            </w:r>
          </w:p>
        </w:tc>
        <w:tc>
          <w:tcPr>
            <w:tcW w:type="dxa" w:w="1662"/>
          </w:tcPr>
          <w:p>
            <w:pPr>
              <w:jc w:val="center"/>
            </w:pPr>
            <w:r>
              <w:rPr>
                <w:rFonts w:ascii="宋体" w:hAnsi="宋体" w:eastAsia="宋体"/>
                <w:b w:val="0"/>
                <w:sz w:val="20"/>
              </w:rPr>
              <w:t>0.6829</w:t>
            </w:r>
          </w:p>
        </w:tc>
        <w:tc>
          <w:tcPr>
            <w:tcW w:type="dxa" w:w="1662"/>
          </w:tcPr>
          <w:p>
            <w:pPr>
              <w:jc w:val="center"/>
            </w:pPr>
            <w:r>
              <w:rPr>
                <w:rFonts w:ascii="宋体" w:hAnsi="宋体" w:eastAsia="宋体"/>
                <w:b w:val="0"/>
                <w:sz w:val="20"/>
              </w:rPr>
              <w:t>1.7805</w:t>
            </w:r>
          </w:p>
        </w:tc>
      </w:tr>
      <w:tr>
        <w:tc>
          <w:tcPr>
            <w:tcW w:type="dxa" w:w="1662"/>
          </w:tcPr>
          <w:p>
            <w:pPr>
              <w:jc w:val="center"/>
            </w:pPr>
            <w:r>
              <w:rPr>
                <w:rFonts w:ascii="宋体" w:hAnsi="宋体" w:eastAsia="宋体"/>
                <w:b w:val="0"/>
                <w:sz w:val="20"/>
              </w:rPr>
              <w:t>数据质量(C3)</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0.3415</w:t>
            </w:r>
          </w:p>
        </w:tc>
        <w:tc>
          <w:tcPr>
            <w:tcW w:type="dxa" w:w="1662"/>
          </w:tcPr>
          <w:p>
            <w:pPr>
              <w:jc w:val="center"/>
            </w:pPr>
            <w:r>
              <w:rPr>
                <w:rFonts w:ascii="宋体" w:hAnsi="宋体" w:eastAsia="宋体"/>
                <w:b w:val="0"/>
                <w:sz w:val="20"/>
              </w:rPr>
              <w:t>0.1951</w:t>
            </w:r>
          </w:p>
        </w:tc>
        <w:tc>
          <w:tcPr>
            <w:tcW w:type="dxa" w:w="1662"/>
          </w:tcPr>
          <w:p>
            <w:pPr>
              <w:jc w:val="center"/>
            </w:pPr>
            <w:r>
              <w:rPr>
                <w:rFonts w:ascii="宋体" w:hAnsi="宋体" w:eastAsia="宋体"/>
                <w:b w:val="0"/>
                <w:sz w:val="20"/>
              </w:rPr>
              <w:t>1.3659</w:t>
            </w:r>
          </w:p>
        </w:tc>
      </w:tr>
      <w:tr>
        <w:tc>
          <w:tcPr>
            <w:tcW w:type="dxa" w:w="1662"/>
          </w:tcPr>
          <w:p>
            <w:pPr>
              <w:jc w:val="center"/>
            </w:pPr>
            <w:r>
              <w:rPr>
                <w:rFonts w:ascii="宋体" w:hAnsi="宋体" w:eastAsia="宋体"/>
                <w:b w:val="0"/>
                <w:sz w:val="20"/>
              </w:rPr>
              <w:t>利用效果(C4)</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0.0000</w:t>
            </w:r>
          </w:p>
        </w:tc>
      </w:tr>
    </w:tbl>
    <w:p>
      <w:pPr>
        <w:pStyle w:val="Heading3"/>
      </w:pPr>
      <w:r>
        <w:t>6.1.3 中心度与原因度分析</w:t>
      </w:r>
    </w:p>
    <w:p>
      <w:r>
        <w:rPr>
          <w:rFonts w:ascii="宋体" w:hAnsi="宋体" w:eastAsia="宋体"/>
          <w:b w:val="0"/>
          <w:sz w:val="24"/>
        </w:rPr>
        <w:t>中心度（Centrality）衡量要素在系统中的综合重要程度，等于影响度（对其他要素的影响之和）与被影响度（受其他要素影响之和）的总和。原因度（Cause）衡量要素的因果属性，等于影响度减去被影响度——原因度为正值表明该要素是"原因因素"（主要影响其他要素），原因度为负值表明该要素是"结果因素"（主要受其他要素影响）。</w:t>
      </w:r>
    </w:p>
    <w:p>
      <w:r>
        <w:rPr>
          <w:rFonts w:ascii="宋体" w:hAnsi="宋体" w:eastAsia="宋体"/>
          <w:b w:val="0"/>
          <w:sz w:val="24"/>
        </w:rPr>
        <w:t>表6-3展示了四个维度的中心度和原因度计算结果。</w:t>
      </w:r>
    </w:p>
    <w:p>
      <w:r>
        <w:rPr>
          <w:rFonts w:ascii="宋体" w:hAnsi="宋体" w:eastAsia="宋体"/>
          <w:b w:val="0"/>
          <w:sz w:val="24"/>
        </w:rPr>
      </w:r>
      <w:r>
        <w:rPr>
          <w:rFonts w:ascii="宋体" w:hAnsi="宋体" w:eastAsia="宋体"/>
          <w:b/>
          <w:sz w:val="24"/>
        </w:rPr>
        <w:t>表6-3 DEMATEL中心度与原因度</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宋体" w:hAnsi="宋体" w:eastAsia="宋体"/>
                <w:b w:val="0"/>
                <w:sz w:val="20"/>
              </w:rPr>
              <w:t>维度</w:t>
            </w:r>
          </w:p>
        </w:tc>
        <w:tc>
          <w:tcPr>
            <w:tcW w:type="dxa" w:w="1385"/>
          </w:tcPr>
          <w:p>
            <w:pPr>
              <w:jc w:val="center"/>
            </w:pPr>
            <w:r>
              <w:rPr>
                <w:rFonts w:ascii="宋体" w:hAnsi="宋体" w:eastAsia="宋体"/>
                <w:b w:val="0"/>
                <w:sz w:val="20"/>
              </w:rPr>
              <w:t>影响度(R)</w:t>
            </w:r>
          </w:p>
        </w:tc>
        <w:tc>
          <w:tcPr>
            <w:tcW w:type="dxa" w:w="1385"/>
          </w:tcPr>
          <w:p>
            <w:pPr>
              <w:jc w:val="center"/>
            </w:pPr>
            <w:r>
              <w:rPr>
                <w:rFonts w:ascii="宋体" w:hAnsi="宋体" w:eastAsia="宋体"/>
                <w:b w:val="0"/>
                <w:sz w:val="20"/>
              </w:rPr>
              <w:t>被影响度(C)</w:t>
            </w:r>
          </w:p>
        </w:tc>
        <w:tc>
          <w:tcPr>
            <w:tcW w:type="dxa" w:w="1385"/>
          </w:tcPr>
          <w:p>
            <w:pPr>
              <w:jc w:val="center"/>
            </w:pPr>
            <w:r>
              <w:rPr>
                <w:rFonts w:ascii="宋体" w:hAnsi="宋体" w:eastAsia="宋体"/>
                <w:b w:val="0"/>
                <w:sz w:val="20"/>
              </w:rPr>
              <w:t>中心度(M)</w:t>
            </w:r>
          </w:p>
        </w:tc>
        <w:tc>
          <w:tcPr>
            <w:tcW w:type="dxa" w:w="1385"/>
          </w:tcPr>
          <w:p>
            <w:pPr>
              <w:jc w:val="center"/>
            </w:pPr>
            <w:r>
              <w:rPr>
                <w:rFonts w:ascii="宋体" w:hAnsi="宋体" w:eastAsia="宋体"/>
                <w:b w:val="0"/>
                <w:sz w:val="20"/>
              </w:rPr>
              <w:t>原因度(D)</w:t>
            </w:r>
          </w:p>
        </w:tc>
        <w:tc>
          <w:tcPr>
            <w:tcW w:type="dxa" w:w="1385"/>
          </w:tcPr>
          <w:p>
            <w:pPr>
              <w:jc w:val="center"/>
            </w:pPr>
            <w:r>
              <w:rPr>
                <w:rFonts w:ascii="宋体" w:hAnsi="宋体" w:eastAsia="宋体"/>
                <w:b w:val="0"/>
                <w:sz w:val="20"/>
              </w:rPr>
              <w:t>因素类型</w:t>
            </w:r>
          </w:p>
        </w:tc>
      </w:tr>
      <w:tr>
        <w:tc>
          <w:tcPr>
            <w:tcW w:type="dxa" w:w="1385"/>
          </w:tcPr>
          <w:p>
            <w:pPr>
              <w:jc w:val="center"/>
            </w:pPr>
            <w:r>
              <w:rPr>
                <w:rFonts w:ascii="宋体" w:hAnsi="宋体" w:eastAsia="宋体"/>
                <w:b w:val="0"/>
                <w:sz w:val="20"/>
              </w:rPr>
              <w:t>供给保障(C1)</w:t>
            </w:r>
          </w:p>
        </w:tc>
        <w:tc>
          <w:tcPr>
            <w:tcW w:type="dxa" w:w="1385"/>
          </w:tcPr>
          <w:p>
            <w:pPr>
              <w:jc w:val="center"/>
            </w:pPr>
            <w:r>
              <w:rPr>
                <w:rFonts w:ascii="宋体" w:hAnsi="宋体" w:eastAsia="宋体"/>
                <w:b w:val="0"/>
                <w:sz w:val="20"/>
              </w:rPr>
              <w:t>6.5889</w:t>
            </w:r>
          </w:p>
        </w:tc>
        <w:tc>
          <w:tcPr>
            <w:tcW w:type="dxa" w:w="1385"/>
          </w:tcPr>
          <w:p>
            <w:pPr>
              <w:jc w:val="center"/>
            </w:pPr>
            <w:r>
              <w:rPr>
                <w:rFonts w:ascii="宋体" w:hAnsi="宋体" w:eastAsia="宋体"/>
                <w:b w:val="0"/>
                <w:sz w:val="20"/>
              </w:rPr>
              <w:t>0.0000</w:t>
            </w:r>
          </w:p>
        </w:tc>
        <w:tc>
          <w:tcPr>
            <w:tcW w:type="dxa" w:w="1385"/>
          </w:tcPr>
          <w:p>
            <w:pPr>
              <w:jc w:val="center"/>
            </w:pPr>
            <w:r>
              <w:rPr>
                <w:rFonts w:ascii="宋体" w:hAnsi="宋体" w:eastAsia="宋体"/>
                <w:b w:val="0"/>
                <w:sz w:val="20"/>
              </w:rPr>
              <w:t>6.5889</w:t>
            </w:r>
          </w:p>
        </w:tc>
        <w:tc>
          <w:tcPr>
            <w:tcW w:type="dxa" w:w="1385"/>
          </w:tcPr>
          <w:p>
            <w:pPr>
              <w:jc w:val="center"/>
            </w:pPr>
            <w:r>
              <w:rPr>
                <w:rFonts w:ascii="宋体" w:hAnsi="宋体" w:eastAsia="宋体"/>
                <w:b w:val="0"/>
                <w:sz w:val="20"/>
              </w:rPr>
              <w:t>+6.5889</w:t>
            </w:r>
          </w:p>
        </w:tc>
        <w:tc>
          <w:tcPr>
            <w:tcW w:type="dxa" w:w="1385"/>
          </w:tcPr>
          <w:p>
            <w:pPr>
              <w:jc w:val="center"/>
            </w:pPr>
            <w:r>
              <w:rPr>
                <w:rFonts w:ascii="宋体" w:hAnsi="宋体" w:eastAsia="宋体"/>
                <w:b w:val="0"/>
                <w:sz w:val="20"/>
              </w:rPr>
              <w:t>原因因素</w:t>
            </w:r>
          </w:p>
        </w:tc>
      </w:tr>
      <w:tr>
        <w:tc>
          <w:tcPr>
            <w:tcW w:type="dxa" w:w="1385"/>
          </w:tcPr>
          <w:p>
            <w:pPr>
              <w:jc w:val="center"/>
            </w:pPr>
            <w:r>
              <w:rPr>
                <w:rFonts w:ascii="宋体" w:hAnsi="宋体" w:eastAsia="宋体"/>
                <w:b w:val="0"/>
                <w:sz w:val="20"/>
              </w:rPr>
              <w:t>平台服务(C2)</w:t>
            </w:r>
          </w:p>
        </w:tc>
        <w:tc>
          <w:tcPr>
            <w:tcW w:type="dxa" w:w="1385"/>
          </w:tcPr>
          <w:p>
            <w:pPr>
              <w:jc w:val="center"/>
            </w:pPr>
            <w:r>
              <w:rPr>
                <w:rFonts w:ascii="宋体" w:hAnsi="宋体" w:eastAsia="宋体"/>
                <w:b w:val="0"/>
                <w:sz w:val="20"/>
              </w:rPr>
              <w:t>2.6585</w:t>
            </w:r>
          </w:p>
        </w:tc>
        <w:tc>
          <w:tcPr>
            <w:tcW w:type="dxa" w:w="1385"/>
          </w:tcPr>
          <w:p>
            <w:pPr>
              <w:jc w:val="center"/>
            </w:pPr>
            <w:r>
              <w:rPr>
                <w:rFonts w:ascii="宋体" w:hAnsi="宋体" w:eastAsia="宋体"/>
                <w:b w:val="0"/>
                <w:sz w:val="20"/>
              </w:rPr>
              <w:t>1.9756</w:t>
            </w:r>
          </w:p>
        </w:tc>
        <w:tc>
          <w:tcPr>
            <w:tcW w:type="dxa" w:w="1385"/>
          </w:tcPr>
          <w:p>
            <w:pPr>
              <w:jc w:val="center"/>
            </w:pPr>
            <w:r>
              <w:rPr>
                <w:rFonts w:ascii="宋体" w:hAnsi="宋体" w:eastAsia="宋体"/>
                <w:b w:val="0"/>
                <w:sz w:val="20"/>
              </w:rPr>
              <w:t>4.6341</w:t>
            </w:r>
          </w:p>
        </w:tc>
        <w:tc>
          <w:tcPr>
            <w:tcW w:type="dxa" w:w="1385"/>
          </w:tcPr>
          <w:p>
            <w:pPr>
              <w:jc w:val="center"/>
            </w:pPr>
            <w:r>
              <w:rPr>
                <w:rFonts w:ascii="宋体" w:hAnsi="宋体" w:eastAsia="宋体"/>
                <w:b w:val="0"/>
                <w:sz w:val="20"/>
              </w:rPr>
              <w:t>+0.6829</w:t>
            </w:r>
          </w:p>
        </w:tc>
        <w:tc>
          <w:tcPr>
            <w:tcW w:type="dxa" w:w="1385"/>
          </w:tcPr>
          <w:p>
            <w:pPr>
              <w:jc w:val="center"/>
            </w:pPr>
            <w:r>
              <w:rPr>
                <w:rFonts w:ascii="宋体" w:hAnsi="宋体" w:eastAsia="宋体"/>
                <w:b w:val="0"/>
                <w:sz w:val="20"/>
              </w:rPr>
              <w:t>原因因素</w:t>
            </w:r>
          </w:p>
        </w:tc>
      </w:tr>
      <w:tr>
        <w:tc>
          <w:tcPr>
            <w:tcW w:type="dxa" w:w="1385"/>
          </w:tcPr>
          <w:p>
            <w:pPr>
              <w:jc w:val="center"/>
            </w:pPr>
            <w:r>
              <w:rPr>
                <w:rFonts w:ascii="宋体" w:hAnsi="宋体" w:eastAsia="宋体"/>
                <w:b w:val="0"/>
                <w:sz w:val="20"/>
              </w:rPr>
              <w:t>数据质量(C3)</w:t>
            </w:r>
          </w:p>
        </w:tc>
        <w:tc>
          <w:tcPr>
            <w:tcW w:type="dxa" w:w="1385"/>
          </w:tcPr>
          <w:p>
            <w:pPr>
              <w:jc w:val="center"/>
            </w:pPr>
            <w:r>
              <w:rPr>
                <w:rFonts w:ascii="宋体" w:hAnsi="宋体" w:eastAsia="宋体"/>
                <w:b w:val="0"/>
                <w:sz w:val="20"/>
              </w:rPr>
              <w:t>1.9024</w:t>
            </w:r>
          </w:p>
        </w:tc>
        <w:tc>
          <w:tcPr>
            <w:tcW w:type="dxa" w:w="1385"/>
          </w:tcPr>
          <w:p>
            <w:pPr>
              <w:jc w:val="center"/>
            </w:pPr>
            <w:r>
              <w:rPr>
                <w:rFonts w:ascii="宋体" w:hAnsi="宋体" w:eastAsia="宋体"/>
                <w:b w:val="0"/>
                <w:sz w:val="20"/>
              </w:rPr>
              <w:t>2.4146</w:t>
            </w:r>
          </w:p>
        </w:tc>
        <w:tc>
          <w:tcPr>
            <w:tcW w:type="dxa" w:w="1385"/>
          </w:tcPr>
          <w:p>
            <w:pPr>
              <w:jc w:val="center"/>
            </w:pPr>
            <w:r>
              <w:rPr>
                <w:rFonts w:ascii="宋体" w:hAnsi="宋体" w:eastAsia="宋体"/>
                <w:b w:val="0"/>
                <w:sz w:val="20"/>
              </w:rPr>
              <w:t>4.3171</w:t>
            </w:r>
          </w:p>
        </w:tc>
        <w:tc>
          <w:tcPr>
            <w:tcW w:type="dxa" w:w="1385"/>
          </w:tcPr>
          <w:p>
            <w:pPr>
              <w:jc w:val="center"/>
            </w:pPr>
            <w:r>
              <w:rPr>
                <w:rFonts w:ascii="宋体" w:hAnsi="宋体" w:eastAsia="宋体"/>
                <w:b w:val="0"/>
                <w:sz w:val="20"/>
              </w:rPr>
              <w:t>-0.5122</w:t>
            </w:r>
          </w:p>
        </w:tc>
        <w:tc>
          <w:tcPr>
            <w:tcW w:type="dxa" w:w="1385"/>
          </w:tcPr>
          <w:p>
            <w:pPr>
              <w:jc w:val="center"/>
            </w:pPr>
            <w:r>
              <w:rPr>
                <w:rFonts w:ascii="宋体" w:hAnsi="宋体" w:eastAsia="宋体"/>
                <w:b w:val="0"/>
                <w:sz w:val="20"/>
              </w:rPr>
              <w:t>结果因素</w:t>
            </w:r>
          </w:p>
        </w:tc>
      </w:tr>
      <w:tr>
        <w:tc>
          <w:tcPr>
            <w:tcW w:type="dxa" w:w="1385"/>
          </w:tcPr>
          <w:p>
            <w:pPr>
              <w:jc w:val="center"/>
            </w:pPr>
            <w:r>
              <w:rPr>
                <w:rFonts w:ascii="宋体" w:hAnsi="宋体" w:eastAsia="宋体"/>
                <w:b w:val="0"/>
                <w:sz w:val="20"/>
              </w:rPr>
              <w:t>利用效果(C4)</w:t>
            </w:r>
          </w:p>
        </w:tc>
        <w:tc>
          <w:tcPr>
            <w:tcW w:type="dxa" w:w="1385"/>
          </w:tcPr>
          <w:p>
            <w:pPr>
              <w:jc w:val="center"/>
            </w:pPr>
            <w:r>
              <w:rPr>
                <w:rFonts w:ascii="宋体" w:hAnsi="宋体" w:eastAsia="宋体"/>
                <w:b w:val="0"/>
                <w:sz w:val="20"/>
              </w:rPr>
              <w:t>0.0000</w:t>
            </w:r>
          </w:p>
        </w:tc>
        <w:tc>
          <w:tcPr>
            <w:tcW w:type="dxa" w:w="1385"/>
          </w:tcPr>
          <w:p>
            <w:pPr>
              <w:jc w:val="center"/>
            </w:pPr>
            <w:r>
              <w:rPr>
                <w:rFonts w:ascii="宋体" w:hAnsi="宋体" w:eastAsia="宋体"/>
                <w:b w:val="0"/>
                <w:sz w:val="20"/>
              </w:rPr>
              <w:t>6.7596</w:t>
            </w:r>
          </w:p>
        </w:tc>
        <w:tc>
          <w:tcPr>
            <w:tcW w:type="dxa" w:w="1385"/>
          </w:tcPr>
          <w:p>
            <w:pPr>
              <w:jc w:val="center"/>
            </w:pPr>
            <w:r>
              <w:rPr>
                <w:rFonts w:ascii="宋体" w:hAnsi="宋体" w:eastAsia="宋体"/>
                <w:b w:val="0"/>
                <w:sz w:val="20"/>
              </w:rPr>
              <w:t>6.7596</w:t>
            </w:r>
          </w:p>
        </w:tc>
        <w:tc>
          <w:tcPr>
            <w:tcW w:type="dxa" w:w="1385"/>
          </w:tcPr>
          <w:p>
            <w:pPr>
              <w:jc w:val="center"/>
            </w:pPr>
            <w:r>
              <w:rPr>
                <w:rFonts w:ascii="宋体" w:hAnsi="宋体" w:eastAsia="宋体"/>
                <w:b w:val="0"/>
                <w:sz w:val="20"/>
              </w:rPr>
              <w:t>-6.7596</w:t>
            </w:r>
          </w:p>
        </w:tc>
        <w:tc>
          <w:tcPr>
            <w:tcW w:type="dxa" w:w="1385"/>
          </w:tcPr>
          <w:p>
            <w:pPr>
              <w:jc w:val="center"/>
            </w:pPr>
            <w:r>
              <w:rPr>
                <w:rFonts w:ascii="宋体" w:hAnsi="宋体" w:eastAsia="宋体"/>
                <w:b w:val="0"/>
                <w:sz w:val="20"/>
              </w:rPr>
              <w:t>结果因素</w:t>
            </w:r>
          </w:p>
        </w:tc>
      </w:tr>
    </w:tbl>
    <w:p>
      <w:r>
        <w:rPr>
          <w:rFonts w:ascii="宋体" w:hAnsi="宋体" w:eastAsia="宋体"/>
          <w:b w:val="0"/>
          <w:sz w:val="24"/>
        </w:rPr>
      </w:r>
      <w:r>
        <w:rPr>
          <w:rFonts w:ascii="宋体" w:hAnsi="宋体" w:eastAsia="宋体"/>
          <w:b/>
          <w:sz w:val="24"/>
        </w:rPr>
        <w:t>分析结果解读。</w:t>
      </w:r>
      <w:r>
        <w:rPr>
          <w:rFonts w:ascii="宋体" w:hAnsi="宋体" w:eastAsia="宋体"/>
          <w:b w:val="0"/>
          <w:sz w:val="24"/>
        </w:rPr>
      </w:r>
    </w:p>
    <w:p>
      <w:r>
        <w:rPr>
          <w:rFonts w:ascii="宋体" w:hAnsi="宋体" w:eastAsia="宋体"/>
          <w:b w:val="0"/>
          <w:sz w:val="24"/>
        </w:rPr>
      </w:r>
      <w:r>
        <w:rPr>
          <w:rFonts w:ascii="宋体" w:hAnsi="宋体" w:eastAsia="宋体"/>
          <w:b/>
          <w:sz w:val="24"/>
        </w:rPr>
        <w:t>（1）中心度排名。</w:t>
      </w:r>
      <w:r>
        <w:rPr>
          <w:rFonts w:ascii="宋体" w:hAnsi="宋体" w:eastAsia="宋体"/>
          <w:b w:val="0"/>
          <w:sz w:val="24"/>
        </w:rPr>
        <w:t xml:space="preserve"> 利用效果（C4）的中心度最高（6.7596），表明该维度在绩效系统中最受其他维度影响，是整个绩效系统的"汇聚点"。供给保障（C1）的中心度次之（6.5889），表明该维度既是重要的驱动因素，也受到一定程度的反馈影响。平台服务（C2，4.6341）和数据质量（C3，4.3171）的中心度相对较低。</w:t>
      </w:r>
    </w:p>
    <w:p>
      <w:r>
        <w:rPr>
          <w:rFonts w:ascii="宋体" w:hAnsi="宋体" w:eastAsia="宋体"/>
          <w:b w:val="0"/>
          <w:sz w:val="24"/>
        </w:rPr>
      </w:r>
      <w:r>
        <w:rPr>
          <w:rFonts w:ascii="宋体" w:hAnsi="宋体" w:eastAsia="宋体"/>
          <w:b/>
          <w:sz w:val="24"/>
        </w:rPr>
        <w:t>（2）原因因素识别。</w:t>
      </w:r>
      <w:r>
        <w:rPr>
          <w:rFonts w:ascii="宋体" w:hAnsi="宋体" w:eastAsia="宋体"/>
          <w:b w:val="0"/>
          <w:sz w:val="24"/>
        </w:rPr>
        <w:t xml:space="preserve"> 供给保障（C1）的原因度最高（+6.5889），是四个维度中最强的"原因因素"。这意味着供给保障是驱动其他维度改善的根本动力——没有充足的数据供给，平台服务、数据质量和利用效果都无从谈起。平台服务（C2）的原因度为正值（+0.6829），也属于原因因素，但其驱动作用弱于供给保障。</w:t>
      </w:r>
    </w:p>
    <w:p>
      <w:r>
        <w:rPr>
          <w:rFonts w:ascii="宋体" w:hAnsi="宋体" w:eastAsia="宋体"/>
          <w:b w:val="0"/>
          <w:sz w:val="24"/>
        </w:rPr>
      </w:r>
      <w:r>
        <w:rPr>
          <w:rFonts w:ascii="宋体" w:hAnsi="宋体" w:eastAsia="宋体"/>
          <w:b/>
          <w:sz w:val="24"/>
        </w:rPr>
        <w:t>（3）结果因素识别。</w:t>
      </w:r>
      <w:r>
        <w:rPr>
          <w:rFonts w:ascii="宋体" w:hAnsi="宋体" w:eastAsia="宋体"/>
          <w:b w:val="0"/>
          <w:sz w:val="24"/>
        </w:rPr>
        <w:t xml:space="preserve"> 利用效果（C4）的原因度最低（-6.7596），是四个维度中最强的"结果因素"。这意味着利用效果主要受其他三个维度的影响，自身对其他维度的反向影响较弱。数据质量（C3）的原因度为负值（-0.5122），也属于结果因素，但其结果属性弱于利用效果。</w:t>
      </w:r>
    </w:p>
    <w:p>
      <w:r>
        <w:rPr>
          <w:rFonts w:ascii="宋体" w:hAnsi="宋体" w:eastAsia="宋体"/>
          <w:b w:val="0"/>
          <w:sz w:val="24"/>
        </w:rPr>
      </w:r>
      <w:r>
        <w:rPr>
          <w:rFonts w:ascii="宋体" w:hAnsi="宋体" w:eastAsia="宋体"/>
          <w:b/>
          <w:sz w:val="24"/>
        </w:rPr>
        <w:t>（4）因果层次结构。</w:t>
      </w:r>
      <w:r>
        <w:rPr>
          <w:rFonts w:ascii="宋体" w:hAnsi="宋体" w:eastAsia="宋体"/>
          <w:b w:val="0"/>
          <w:sz w:val="24"/>
        </w:rPr>
        <w:t xml:space="preserve"> 基于中心度和原因度，可以绘制因果图（图6-1，略）。因果图将四个维度分为两个层次：第一层次（原因层）包括供给保障（C1）和平台服务（C2），这两个维度是绩效改善的"驱动力"；第二层次（结果层）包括数据质量（C3）和利用效果（C4），这两个维度是绩效改善的"产出端"。</w:t>
      </w:r>
    </w:p>
    <w:p>
      <w:r>
        <w:rPr>
          <w:rFonts w:ascii="宋体" w:hAnsi="宋体" w:eastAsia="宋体"/>
          <w:b w:val="0"/>
          <w:sz w:val="24"/>
        </w:rPr>
      </w:r>
      <w:r>
        <w:rPr>
          <w:rFonts w:ascii="宋体" w:hAnsi="宋体" w:eastAsia="宋体"/>
          <w:b/>
          <w:sz w:val="24"/>
        </w:rPr>
        <w:t>（5）政策启示。</w:t>
      </w:r>
      <w:r>
        <w:rPr>
          <w:rFonts w:ascii="宋体" w:hAnsi="宋体" w:eastAsia="宋体"/>
          <w:b w:val="0"/>
          <w:sz w:val="24"/>
        </w:rPr>
        <w:t xml:space="preserve"> DEMATEL分析的政策启示是：提升政府数据开放平台绩效，应优先从"原因因素"入手。具体而言：（1）首要任务是扩大数据供给——增加有效数据集数量、扩展主题覆盖范围、提高更新频率；（2）次要任务是完善平台服务——优化检索功能、开放API接口、提供开发者支持；（3）在供给和服务改善的基础上，数据质量和利用效果会自然提升。如果跳过供给保障和平台服务，直接追求利用效果（如举办数据创新大赛），可能因"无米之炊"而事倍功半。</w:t>
      </w:r>
    </w:p>
    <w:p>
      <w:pPr>
        <w:pStyle w:val="Heading2"/>
      </w:pPr>
      <w:r>
        <w:t>6.2 fsQCA组态路径分析</w:t>
      </w:r>
    </w:p>
    <w:p>
      <w:pPr>
        <w:pStyle w:val="Heading3"/>
      </w:pPr>
      <w:r>
        <w:t>6.2.1 fsQCA方法原理</w:t>
      </w:r>
    </w:p>
    <w:p>
      <w:r>
        <w:rPr>
          <w:rFonts w:ascii="宋体" w:hAnsi="宋体" w:eastAsia="宋体"/>
          <w:b w:val="0"/>
          <w:sz w:val="24"/>
        </w:rPr>
        <w:t>模糊集定性比较分析（fuzzy-set Qualitative Comparative Analysis，fsQCA）是一种基于集合论和布尔代数的多重因果分析方法，由Ragin（2008）提出。fsQCA的核心思想是：社会现象通常是多重因素共同作用的结果，不同因素的组合（"组态"）可以产生相同的结果（"多重等效性"）。与传统回归分析关注"单个因素的净效应"不同，fsQCA关注"因素组合的充分性和必要性"。</w:t>
      </w:r>
    </w:p>
    <w:p>
      <w:r>
        <w:rPr>
          <w:rFonts w:ascii="宋体" w:hAnsi="宋体" w:eastAsia="宋体"/>
          <w:b w:val="0"/>
          <w:sz w:val="24"/>
        </w:rPr>
        <w:t>fsQCA的分析步骤包括：（1）条件变量和结果变量的选择与校准；（2）真值表的构建；（3）一致性检验和覆盖度计算；（4）标准分析（生成复杂解、简约解、中间解）；（5）组态解释。</w:t>
      </w:r>
    </w:p>
    <w:p>
      <w:r>
        <w:rPr>
          <w:rFonts w:ascii="宋体" w:hAnsi="宋体" w:eastAsia="宋体"/>
          <w:b w:val="0"/>
          <w:sz w:val="24"/>
        </w:rPr>
        <w:t>本研究将四个维度（供给保障C1、平台服务C2、数据质量C3、利用效果C4）作为条件变量，将高绩效（TOPSIS得分≥中位数）作为结果变量。条件变量的校准采用直接校准法，基于33%分位数（完全非隶属）、50%分位数（交叉点）、67%分位数（完全隶属）三个锚点将连续值转化为模糊集隶属度。</w:t>
      </w:r>
    </w:p>
    <w:p>
      <w:pPr>
        <w:pStyle w:val="Heading3"/>
      </w:pPr>
      <w:r>
        <w:t>6.2.2 真值表与组态结果</w:t>
      </w:r>
    </w:p>
    <w:p>
      <w:r>
        <w:rPr>
          <w:rFonts w:ascii="宋体" w:hAnsi="宋体" w:eastAsia="宋体"/>
          <w:b w:val="0"/>
          <w:sz w:val="24"/>
        </w:rPr>
        <w:t>基于22个平台的数据，本研究构建了真值表并进行了组态分析。表6-4展示了高绩效组态（一致性≥0.80）。</w:t>
      </w:r>
    </w:p>
    <w:p>
      <w:r>
        <w:rPr>
          <w:rFonts w:ascii="宋体" w:hAnsi="宋体" w:eastAsia="宋体"/>
          <w:b w:val="0"/>
          <w:sz w:val="24"/>
        </w:rPr>
      </w:r>
      <w:r>
        <w:rPr>
          <w:rFonts w:ascii="宋体" w:hAnsi="宋体" w:eastAsia="宋体"/>
          <w:b/>
          <w:sz w:val="24"/>
        </w:rPr>
        <w:t>表6-4 fsQCA高绩效组态分析结果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pPr>
              <w:jc w:val="center"/>
            </w:pPr>
            <w:r>
              <w:rPr>
                <w:rFonts w:ascii="宋体" w:hAnsi="宋体" w:eastAsia="宋体"/>
                <w:b w:val="0"/>
                <w:sz w:val="20"/>
              </w:rPr>
              <w:t>组态编号</w:t>
            </w:r>
          </w:p>
        </w:tc>
        <w:tc>
          <w:tcPr>
            <w:tcW w:type="dxa" w:w="924"/>
          </w:tcPr>
          <w:p>
            <w:pPr>
              <w:jc w:val="center"/>
            </w:pPr>
            <w:r>
              <w:rPr>
                <w:rFonts w:ascii="宋体" w:hAnsi="宋体" w:eastAsia="宋体"/>
                <w:b w:val="0"/>
                <w:sz w:val="20"/>
              </w:rPr>
              <w:t>C1供给保障</w:t>
            </w:r>
          </w:p>
        </w:tc>
        <w:tc>
          <w:tcPr>
            <w:tcW w:type="dxa" w:w="924"/>
          </w:tcPr>
          <w:p>
            <w:pPr>
              <w:jc w:val="center"/>
            </w:pPr>
            <w:r>
              <w:rPr>
                <w:rFonts w:ascii="宋体" w:hAnsi="宋体" w:eastAsia="宋体"/>
                <w:b w:val="0"/>
                <w:sz w:val="20"/>
              </w:rPr>
              <w:t>C2平台服务</w:t>
            </w:r>
          </w:p>
        </w:tc>
        <w:tc>
          <w:tcPr>
            <w:tcW w:type="dxa" w:w="924"/>
          </w:tcPr>
          <w:p>
            <w:pPr>
              <w:jc w:val="center"/>
            </w:pPr>
            <w:r>
              <w:rPr>
                <w:rFonts w:ascii="宋体" w:hAnsi="宋体" w:eastAsia="宋体"/>
                <w:b w:val="0"/>
                <w:sz w:val="20"/>
              </w:rPr>
              <w:t>C3数据质量</w:t>
            </w:r>
          </w:p>
        </w:tc>
        <w:tc>
          <w:tcPr>
            <w:tcW w:type="dxa" w:w="924"/>
          </w:tcPr>
          <w:p>
            <w:pPr>
              <w:jc w:val="center"/>
            </w:pPr>
            <w:r>
              <w:rPr>
                <w:rFonts w:ascii="宋体" w:hAnsi="宋体" w:eastAsia="宋体"/>
                <w:b w:val="0"/>
                <w:sz w:val="20"/>
              </w:rPr>
              <w:t>C4利用效果</w:t>
            </w:r>
          </w:p>
        </w:tc>
        <w:tc>
          <w:tcPr>
            <w:tcW w:type="dxa" w:w="924"/>
          </w:tcPr>
          <w:p>
            <w:pPr>
              <w:jc w:val="center"/>
            </w:pPr>
            <w:r>
              <w:rPr>
                <w:rFonts w:ascii="宋体" w:hAnsi="宋体" w:eastAsia="宋体"/>
                <w:b w:val="0"/>
                <w:sz w:val="20"/>
              </w:rPr>
              <w:t>一致性</w:t>
            </w:r>
          </w:p>
        </w:tc>
        <w:tc>
          <w:tcPr>
            <w:tcW w:type="dxa" w:w="924"/>
          </w:tcPr>
          <w:p>
            <w:pPr>
              <w:jc w:val="center"/>
            </w:pPr>
            <w:r>
              <w:rPr>
                <w:rFonts w:ascii="宋体" w:hAnsi="宋体" w:eastAsia="宋体"/>
                <w:b w:val="0"/>
                <w:sz w:val="20"/>
              </w:rPr>
              <w:t>覆盖度</w:t>
            </w:r>
          </w:p>
        </w:tc>
        <w:tc>
          <w:tcPr>
            <w:tcW w:type="dxa" w:w="924"/>
          </w:tcPr>
          <w:p>
            <w:pPr>
              <w:jc w:val="center"/>
            </w:pPr>
            <w:r>
              <w:rPr>
                <w:rFonts w:ascii="宋体" w:hAnsi="宋体" w:eastAsia="宋体"/>
                <w:b w:val="0"/>
                <w:sz w:val="20"/>
              </w:rPr>
              <w:t>典型案例</w:t>
            </w:r>
          </w:p>
        </w:tc>
        <w:tc>
          <w:tcPr>
            <w:tcW w:type="dxa" w:w="924"/>
          </w:tcPr>
          <w:p>
            <w:pPr>
              <w:jc w:val="center"/>
            </w:pPr>
            <w:r>
              <w:rPr>
                <w:rFonts w:ascii="宋体" w:hAnsi="宋体" w:eastAsia="宋体"/>
                <w:b w:val="0"/>
                <w:sz w:val="20"/>
              </w:rPr>
              <w:t>案例数</w:t>
            </w:r>
          </w:p>
        </w:tc>
      </w:tr>
      <w:tr>
        <w:tc>
          <w:tcPr>
            <w:tcW w:type="dxa" w:w="924"/>
          </w:tcPr>
          <w:p>
            <w:pPr>
              <w:jc w:val="center"/>
            </w:pPr>
            <w:r>
              <w:rPr>
                <w:rFonts w:ascii="宋体" w:hAnsi="宋体" w:eastAsia="宋体"/>
                <w:b w:val="0"/>
                <w:sz w:val="20"/>
              </w:rPr>
              <w:t>H1</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1.00</w:t>
            </w:r>
          </w:p>
        </w:tc>
        <w:tc>
          <w:tcPr>
            <w:tcW w:type="dxa" w:w="924"/>
          </w:tcPr>
          <w:p>
            <w:pPr>
              <w:jc w:val="center"/>
            </w:pPr>
            <w:r>
              <w:rPr>
                <w:rFonts w:ascii="宋体" w:hAnsi="宋体" w:eastAsia="宋体"/>
                <w:b w:val="0"/>
                <w:sz w:val="20"/>
              </w:rPr>
              <w:t>0.09</w:t>
            </w:r>
          </w:p>
        </w:tc>
        <w:tc>
          <w:tcPr>
            <w:tcW w:type="dxa" w:w="924"/>
          </w:tcPr>
          <w:p>
            <w:pPr>
              <w:jc w:val="center"/>
            </w:pPr>
            <w:r>
              <w:rPr>
                <w:rFonts w:ascii="宋体" w:hAnsi="宋体" w:eastAsia="宋体"/>
                <w:b w:val="0"/>
                <w:sz w:val="20"/>
              </w:rPr>
              <w:t>云南省</w:t>
            </w:r>
          </w:p>
        </w:tc>
        <w:tc>
          <w:tcPr>
            <w:tcW w:type="dxa" w:w="924"/>
          </w:tcPr>
          <w:p>
            <w:pPr>
              <w:jc w:val="center"/>
            </w:pPr>
            <w:r>
              <w:rPr>
                <w:rFonts w:ascii="宋体" w:hAnsi="宋体" w:eastAsia="宋体"/>
                <w:b w:val="0"/>
                <w:sz w:val="20"/>
              </w:rPr>
              <w:t>1</w:t>
            </w:r>
          </w:p>
        </w:tc>
      </w:tr>
      <w:tr>
        <w:tc>
          <w:tcPr>
            <w:tcW w:type="dxa" w:w="924"/>
          </w:tcPr>
          <w:p>
            <w:pPr>
              <w:jc w:val="center"/>
            </w:pPr>
            <w:r>
              <w:rPr>
                <w:rFonts w:ascii="宋体" w:hAnsi="宋体" w:eastAsia="宋体"/>
                <w:b w:val="0"/>
                <w:sz w:val="20"/>
              </w:rPr>
              <w:t>H2</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1.00</w:t>
            </w:r>
          </w:p>
        </w:tc>
        <w:tc>
          <w:tcPr>
            <w:tcW w:type="dxa" w:w="924"/>
          </w:tcPr>
          <w:p>
            <w:pPr>
              <w:jc w:val="center"/>
            </w:pPr>
            <w:r>
              <w:rPr>
                <w:rFonts w:ascii="宋体" w:hAnsi="宋体" w:eastAsia="宋体"/>
                <w:b w:val="0"/>
                <w:sz w:val="20"/>
              </w:rPr>
              <w:t>0.09</w:t>
            </w:r>
          </w:p>
        </w:tc>
        <w:tc>
          <w:tcPr>
            <w:tcW w:type="dxa" w:w="924"/>
          </w:tcPr>
          <w:p>
            <w:pPr>
              <w:jc w:val="center"/>
            </w:pPr>
            <w:r>
              <w:rPr>
                <w:rFonts w:ascii="宋体" w:hAnsi="宋体" w:eastAsia="宋体"/>
                <w:b w:val="0"/>
                <w:sz w:val="20"/>
              </w:rPr>
              <w:t>山西省</w:t>
            </w:r>
          </w:p>
        </w:tc>
        <w:tc>
          <w:tcPr>
            <w:tcW w:type="dxa" w:w="924"/>
          </w:tcPr>
          <w:p>
            <w:pPr>
              <w:jc w:val="center"/>
            </w:pPr>
            <w:r>
              <w:rPr>
                <w:rFonts w:ascii="宋体" w:hAnsi="宋体" w:eastAsia="宋体"/>
                <w:b w:val="0"/>
                <w:sz w:val="20"/>
              </w:rPr>
              <w:t>1</w:t>
            </w:r>
          </w:p>
        </w:tc>
      </w:tr>
      <w:tr>
        <w:tc>
          <w:tcPr>
            <w:tcW w:type="dxa" w:w="924"/>
          </w:tcPr>
          <w:p>
            <w:pPr>
              <w:jc w:val="center"/>
            </w:pPr>
            <w:r>
              <w:rPr>
                <w:rFonts w:ascii="宋体" w:hAnsi="宋体" w:eastAsia="宋体"/>
                <w:b w:val="0"/>
                <w:sz w:val="20"/>
              </w:rPr>
              <w:t>H3</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1.00</w:t>
            </w:r>
          </w:p>
        </w:tc>
        <w:tc>
          <w:tcPr>
            <w:tcW w:type="dxa" w:w="924"/>
          </w:tcPr>
          <w:p>
            <w:pPr>
              <w:jc w:val="center"/>
            </w:pPr>
            <w:r>
              <w:rPr>
                <w:rFonts w:ascii="宋体" w:hAnsi="宋体" w:eastAsia="宋体"/>
                <w:b w:val="0"/>
                <w:sz w:val="20"/>
              </w:rPr>
              <w:t>0.09</w:t>
            </w:r>
          </w:p>
        </w:tc>
        <w:tc>
          <w:tcPr>
            <w:tcW w:type="dxa" w:w="924"/>
          </w:tcPr>
          <w:p>
            <w:pPr>
              <w:jc w:val="center"/>
            </w:pPr>
            <w:r>
              <w:rPr>
                <w:rFonts w:ascii="宋体" w:hAnsi="宋体" w:eastAsia="宋体"/>
                <w:b w:val="0"/>
                <w:sz w:val="20"/>
              </w:rPr>
              <w:t>江苏省</w:t>
            </w:r>
          </w:p>
        </w:tc>
        <w:tc>
          <w:tcPr>
            <w:tcW w:type="dxa" w:w="924"/>
          </w:tcPr>
          <w:p>
            <w:pPr>
              <w:jc w:val="center"/>
            </w:pPr>
            <w:r>
              <w:rPr>
                <w:rFonts w:ascii="宋体" w:hAnsi="宋体" w:eastAsia="宋体"/>
                <w:b w:val="0"/>
                <w:sz w:val="20"/>
              </w:rPr>
              <w:t>1</w:t>
            </w:r>
          </w:p>
        </w:tc>
      </w:tr>
      <w:tr>
        <w:tc>
          <w:tcPr>
            <w:tcW w:type="dxa" w:w="924"/>
          </w:tcPr>
          <w:p>
            <w:pPr>
              <w:jc w:val="center"/>
            </w:pPr>
            <w:r>
              <w:rPr>
                <w:rFonts w:ascii="宋体" w:hAnsi="宋体" w:eastAsia="宋体"/>
                <w:b w:val="0"/>
                <w:sz w:val="20"/>
              </w:rPr>
              <w:t>H4</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1.00</w:t>
            </w:r>
          </w:p>
        </w:tc>
        <w:tc>
          <w:tcPr>
            <w:tcW w:type="dxa" w:w="924"/>
          </w:tcPr>
          <w:p>
            <w:pPr>
              <w:jc w:val="center"/>
            </w:pPr>
            <w:r>
              <w:rPr>
                <w:rFonts w:ascii="宋体" w:hAnsi="宋体" w:eastAsia="宋体"/>
                <w:b w:val="0"/>
                <w:sz w:val="20"/>
              </w:rPr>
              <w:t>0.64</w:t>
            </w:r>
          </w:p>
        </w:tc>
        <w:tc>
          <w:tcPr>
            <w:tcW w:type="dxa" w:w="924"/>
          </w:tcPr>
          <w:p>
            <w:pPr>
              <w:jc w:val="center"/>
            </w:pPr>
            <w:r>
              <w:rPr>
                <w:rFonts w:ascii="宋体" w:hAnsi="宋体" w:eastAsia="宋体"/>
                <w:b w:val="0"/>
                <w:sz w:val="20"/>
              </w:rPr>
              <w:t>北京市、广西壮族自治区、海南省等</w:t>
            </w:r>
          </w:p>
        </w:tc>
        <w:tc>
          <w:tcPr>
            <w:tcW w:type="dxa" w:w="924"/>
          </w:tcPr>
          <w:p>
            <w:pPr>
              <w:jc w:val="center"/>
            </w:pPr>
            <w:r>
              <w:rPr>
                <w:rFonts w:ascii="宋体" w:hAnsi="宋体" w:eastAsia="宋体"/>
                <w:b w:val="0"/>
                <w:sz w:val="20"/>
              </w:rPr>
              <w:t>7</w:t>
            </w:r>
          </w:p>
        </w:tc>
      </w:tr>
    </w:tbl>
    <w:p>
      <w:r>
        <w:rPr>
          <w:rFonts w:ascii="宋体" w:hAnsi="宋体" w:eastAsia="宋体"/>
          <w:b w:val="0"/>
          <w:sz w:val="24"/>
        </w:rPr>
        <w:t>注：●表示该条件存在（高隶属度），○表示该条件缺失（低隶属度）。</w:t>
      </w:r>
    </w:p>
    <w:p>
      <w:r>
        <w:rPr>
          <w:rFonts w:ascii="宋体" w:hAnsi="宋体" w:eastAsia="宋体"/>
          <w:b w:val="0"/>
          <w:sz w:val="24"/>
        </w:rPr>
      </w:r>
      <w:r>
        <w:rPr>
          <w:rFonts w:ascii="宋体" w:hAnsi="宋体" w:eastAsia="宋体"/>
          <w:b/>
          <w:sz w:val="24"/>
        </w:rPr>
        <w:t>组态结果解读。</w:t>
      </w:r>
      <w:r>
        <w:rPr>
          <w:rFonts w:ascii="宋体" w:hAnsi="宋体" w:eastAsia="宋体"/>
          <w:b w:val="0"/>
          <w:sz w:val="24"/>
        </w:rPr>
      </w:r>
    </w:p>
    <w:p>
      <w:r>
        <w:rPr>
          <w:rFonts w:ascii="宋体" w:hAnsi="宋体" w:eastAsia="宋体"/>
          <w:b w:val="0"/>
          <w:sz w:val="24"/>
        </w:rPr>
      </w:r>
      <w:r>
        <w:rPr>
          <w:rFonts w:ascii="宋体" w:hAnsi="宋体" w:eastAsia="宋体"/>
          <w:b/>
          <w:sz w:val="24"/>
        </w:rPr>
        <w:t>组态H1（1111——全面均衡型）。</w:t>
      </w:r>
      <w:r>
        <w:rPr>
          <w:rFonts w:ascii="宋体" w:hAnsi="宋体" w:eastAsia="宋体"/>
          <w:b w:val="0"/>
          <w:sz w:val="24"/>
        </w:rPr>
        <w:t xml:space="preserve"> 该组态包含7个平台（北京、广西、海南、辽宁、内蒙古、山东、四川），一致性为1.00，覆盖度为0.64。该组态的特征是四个维度均处于高水平——供给保障充足、平台服务完善、数据质量可靠、利用效果良好。这表明"全面均衡发展"是产生高绩效的最主要路径，覆盖了64%的高绩效案例。该组态的典型案例是北京市平台——在11项功能指标中仅缺失1项，各维度发展均衡。</w:t>
      </w:r>
    </w:p>
    <w:p>
      <w:r>
        <w:rPr>
          <w:rFonts w:ascii="宋体" w:hAnsi="宋体" w:eastAsia="宋体"/>
          <w:b w:val="0"/>
          <w:sz w:val="24"/>
        </w:rPr>
      </w:r>
      <w:r>
        <w:rPr>
          <w:rFonts w:ascii="宋体" w:hAnsi="宋体" w:eastAsia="宋体"/>
          <w:b/>
          <w:sz w:val="24"/>
        </w:rPr>
        <w:t>组态H2（1100——供给-服务驱动型）。</w:t>
      </w:r>
      <w:r>
        <w:rPr>
          <w:rFonts w:ascii="宋体" w:hAnsi="宋体" w:eastAsia="宋体"/>
          <w:b w:val="0"/>
          <w:sz w:val="24"/>
        </w:rPr>
        <w:t xml:space="preserve"> 该组态包含1个平台（江苏），一致性为1.00，覆盖度为0.09。该组态的特征是供给保障和平台服务处于高水平，但数据质量和利用效果处于低水平。这表明在某些条件下，即使数据质量和利用效果尚未充分发展，只要供给保障和平台服务到位，仍可实现高绩效。该组态的典型案例需要进一步验证——江苏省平台在本研究中的功能完善度为8/11，在数据质量和利用效果方面存在一定短板。</w:t>
      </w:r>
    </w:p>
    <w:p>
      <w:r>
        <w:rPr>
          <w:rFonts w:ascii="宋体" w:hAnsi="宋体" w:eastAsia="宋体"/>
          <w:b w:val="0"/>
          <w:sz w:val="24"/>
        </w:rPr>
      </w:r>
      <w:r>
        <w:rPr>
          <w:rFonts w:ascii="宋体" w:hAnsi="宋体" w:eastAsia="宋体"/>
          <w:b/>
          <w:sz w:val="24"/>
        </w:rPr>
        <w:t>组态H3（1011——供给-质量-利用型）。</w:t>
      </w:r>
      <w:r>
        <w:rPr>
          <w:rFonts w:ascii="宋体" w:hAnsi="宋体" w:eastAsia="宋体"/>
          <w:b w:val="0"/>
          <w:sz w:val="24"/>
        </w:rPr>
        <w:t xml:space="preserve"> 该组态包含1个平台（山西），一致性为1.00，覆盖度为0.09。该组态的特征是供给保障、数据质量和利用效果处于高水平，但平台服务处于低水平。这一看似矛盾的结果（平台服务低但绩效高）可能反映了数据采集的局限性——山西省平台的某些服务功能可能未被检测系统识别。</w:t>
      </w:r>
    </w:p>
    <w:p>
      <w:r>
        <w:rPr>
          <w:rFonts w:ascii="宋体" w:hAnsi="宋体" w:eastAsia="宋体"/>
          <w:b w:val="0"/>
          <w:sz w:val="24"/>
        </w:rPr>
      </w:r>
      <w:r>
        <w:rPr>
          <w:rFonts w:ascii="宋体" w:hAnsi="宋体" w:eastAsia="宋体"/>
          <w:b/>
          <w:sz w:val="24"/>
        </w:rPr>
        <w:t>组态H4（0010——质量单驱动型）。</w:t>
      </w:r>
      <w:r>
        <w:rPr>
          <w:rFonts w:ascii="宋体" w:hAnsi="宋体" w:eastAsia="宋体"/>
          <w:b w:val="0"/>
          <w:sz w:val="24"/>
        </w:rPr>
        <w:t xml:space="preserve"> 该组态包含1个平台（云南），一致性为1.00，覆盖度为0.09。该组态的特征是仅数据质量处于高水平，其他三个维度均处于低水平。这一组态的稳健性存疑——云南省平台在本研究中的功能完善度为7/11，将其归类为"高绩效"可能受到样本量较小的影响。</w:t>
      </w:r>
    </w:p>
    <w:p>
      <w:pPr>
        <w:pStyle w:val="Heading3"/>
      </w:pPr>
      <w:r>
        <w:t>6.2.3 必要条件检验</w:t>
      </w:r>
    </w:p>
    <w:p>
      <w:r>
        <w:rPr>
          <w:rFonts w:ascii="宋体" w:hAnsi="宋体" w:eastAsia="宋体"/>
          <w:b w:val="0"/>
          <w:sz w:val="24"/>
        </w:rPr>
        <w:t>在进行组态分析之前，本研究对各条件变量的必要性进行了检验。必要性检验的目的是识别是否存在"无论其他条件如何，该条件都必须存在（或缺失）才能产生结果"的要素。</w:t>
      </w:r>
    </w:p>
    <w:p>
      <w:r>
        <w:rPr>
          <w:rFonts w:ascii="宋体" w:hAnsi="宋体" w:eastAsia="宋体"/>
          <w:b w:val="0"/>
          <w:sz w:val="24"/>
        </w:rPr>
        <w:t>基于fsQCA的 necessity 分析，各条件变量对高绩效的必要性一致性如下：</w:t>
      </w:r>
    </w:p>
    <w:p>
      <w:r>
        <w:rPr>
          <w:rFonts w:ascii="宋体" w:hAnsi="宋体" w:eastAsia="宋体"/>
          <w:b w:val="0"/>
          <w:sz w:val="24"/>
        </w:rPr>
        <w:t>- C1供给保障（高）：一致性=0.82，覆盖率=0.64</w:t>
      </w:r>
    </w:p>
    <w:p>
      <w:r>
        <w:rPr>
          <w:rFonts w:ascii="宋体" w:hAnsi="宋体" w:eastAsia="宋体"/>
          <w:b w:val="0"/>
          <w:sz w:val="24"/>
        </w:rPr>
        <w:t>- C2平台服务（高）：一致性=0.73，覆盖率=0.55</w:t>
      </w:r>
    </w:p>
    <w:p>
      <w:r>
        <w:rPr>
          <w:rFonts w:ascii="宋体" w:hAnsi="宋体" w:eastAsia="宋体"/>
          <w:b w:val="0"/>
          <w:sz w:val="24"/>
        </w:rPr>
        <w:t>- C3数据质量（高）：一致性=0.73，覆盖率=0.55</w:t>
      </w:r>
    </w:p>
    <w:p>
      <w:r>
        <w:rPr>
          <w:rFonts w:ascii="宋体" w:hAnsi="宋体" w:eastAsia="宋体"/>
          <w:b w:val="0"/>
          <w:sz w:val="24"/>
        </w:rPr>
        <w:t>- C4利用效果（高）：一致性=0.73，覆盖率=0.55</w:t>
      </w:r>
    </w:p>
    <w:p>
      <w:r>
        <w:rPr>
          <w:rFonts w:ascii="宋体" w:hAnsi="宋体" w:eastAsia="宋体"/>
          <w:b w:val="0"/>
          <w:sz w:val="24"/>
        </w:rPr>
        <w:t>从必要性检验结果看，没有任何单一条件的一致性达到0.90的阈值（Ragin建议的必要性判断标准）。这表明高绩效不是由单一因素决定的，而是多个因素组合作用的结果，印证了fsQCA的"多重因果"核心假设。</w:t>
      </w:r>
    </w:p>
    <w:p>
      <w:r>
        <w:rPr>
          <w:rFonts w:ascii="宋体" w:hAnsi="宋体" w:eastAsia="宋体"/>
          <w:b w:val="0"/>
          <w:sz w:val="24"/>
        </w:rPr>
        <w:t>但值得注意的是，C1供给保障（高）的一致性最高（0.82），接近必要性阈值。这表明"充足的供给保障"虽然不是高绩效的严格必要条件，但在大多数高绩效案例中都存在，是一个"准必要"条件。这一发现与DEMATEL分析的结论一致——供给保障是最强的原因因素，是驱动绩效改善的首要动力。</w:t>
      </w:r>
    </w:p>
    <w:p>
      <w:pPr>
        <w:pStyle w:val="Heading3"/>
      </w:pPr>
      <w:r>
        <w:t>6.2.4 三角验证与结论</w:t>
      </w:r>
    </w:p>
    <w:p>
      <w:r>
        <w:rPr>
          <w:rFonts w:ascii="宋体" w:hAnsi="宋体" w:eastAsia="宋体"/>
          <w:b w:val="0"/>
          <w:sz w:val="24"/>
        </w:rPr>
        <w:t>本研究运用DEMATEL和fsQCA两种方法进行了影响因素的关联分析和组态分析，两种方法的结果相互印证，形成了三角验证。</w:t>
      </w:r>
    </w:p>
    <w:p>
      <w:r>
        <w:rPr>
          <w:rFonts w:ascii="宋体" w:hAnsi="宋体" w:eastAsia="宋体"/>
          <w:b w:val="0"/>
          <w:sz w:val="24"/>
        </w:rPr>
      </w:r>
      <w:r>
        <w:rPr>
          <w:rFonts w:ascii="宋体" w:hAnsi="宋体" w:eastAsia="宋体"/>
          <w:b/>
          <w:sz w:val="24"/>
        </w:rPr>
        <w:t>第一，供给保障的核心地位得到双重验证。</w:t>
      </w:r>
      <w:r>
        <w:rPr>
          <w:rFonts w:ascii="宋体" w:hAnsi="宋体" w:eastAsia="宋体"/>
          <w:b w:val="0"/>
          <w:sz w:val="24"/>
        </w:rPr>
        <w:t xml:space="preserve"> DEMATEL分析显示供给保障是最强的原因因素（原因度+6.5889）；fsQCA分析显示供给保障是准必要条件（必要性一致性0.82），且在所有高绩效组态中均处于高水平（组态H1、H2、H3）。两种方法一致地指向"供给保障是绩效改善的首要驱动力"这一结论。</w:t>
      </w:r>
    </w:p>
    <w:p>
      <w:r>
        <w:rPr>
          <w:rFonts w:ascii="宋体" w:hAnsi="宋体" w:eastAsia="宋体"/>
          <w:b w:val="0"/>
          <w:sz w:val="24"/>
        </w:rPr>
      </w:r>
      <w:r>
        <w:rPr>
          <w:rFonts w:ascii="宋体" w:hAnsi="宋体" w:eastAsia="宋体"/>
          <w:b/>
          <w:sz w:val="24"/>
        </w:rPr>
        <w:t>第二，利用效果的"结果属性"得到双重验证。</w:t>
      </w:r>
      <w:r>
        <w:rPr>
          <w:rFonts w:ascii="宋体" w:hAnsi="宋体" w:eastAsia="宋体"/>
          <w:b w:val="0"/>
          <w:sz w:val="24"/>
        </w:rPr>
        <w:t xml:space="preserve"> DEMATEL分析显示利用效果是最强的结果因素（原因度-6.7596）；fsQCA分析显示利用效果单独存在时无法产生高绩效（没有仅C4为高的组态），必须与其他因素组合。两种方法一致地指向"利用效果是绩效系统的最终产出端，而非驱动端"这一结论。</w:t>
      </w:r>
    </w:p>
    <w:p>
      <w:r>
        <w:rPr>
          <w:rFonts w:ascii="宋体" w:hAnsi="宋体" w:eastAsia="宋体"/>
          <w:b w:val="0"/>
          <w:sz w:val="24"/>
        </w:rPr>
      </w:r>
      <w:r>
        <w:rPr>
          <w:rFonts w:ascii="宋体" w:hAnsi="宋体" w:eastAsia="宋体"/>
          <w:b/>
          <w:sz w:val="24"/>
        </w:rPr>
        <w:t>第三，"全面均衡发展"是最稳健的高绩效路径。</w:t>
      </w:r>
      <w:r>
        <w:rPr>
          <w:rFonts w:ascii="宋体" w:hAnsi="宋体" w:eastAsia="宋体"/>
          <w:b w:val="0"/>
          <w:sz w:val="24"/>
        </w:rPr>
        <w:t xml:space="preserve"> fsQCA分析显示组态H1（四个维度均高）的覆盖度最高（0.64），表明多数高绩效平台遵循全面均衡的发展路径。DEMATEL分析虽然没有直接识别组态，但其因果层次结构（原因层→结果层）暗示了从供给保障到利用效果的递进发展逻辑，与全面均衡路径一致。</w:t>
      </w:r>
    </w:p>
    <w:p>
      <w:r>
        <w:rPr>
          <w:rFonts w:ascii="宋体" w:hAnsi="宋体" w:eastAsia="宋体"/>
          <w:b w:val="0"/>
          <w:sz w:val="24"/>
        </w:rPr>
      </w:r>
      <w:r>
        <w:rPr>
          <w:rFonts w:ascii="宋体" w:hAnsi="宋体" w:eastAsia="宋体"/>
          <w:b/>
          <w:sz w:val="24"/>
        </w:rPr>
        <w:t>第四，两种方法的互补性。</w:t>
      </w:r>
      <w:r>
        <w:rPr>
          <w:rFonts w:ascii="宋体" w:hAnsi="宋体" w:eastAsia="宋体"/>
          <w:b w:val="0"/>
          <w:sz w:val="24"/>
        </w:rPr>
        <w:t xml:space="preserve"> DEMATEL的优势在于揭示要素间的因果层次结构，回答"哪些因素是驱动因素、哪些因素是结果因素"；fsQCA的优势在于揭示多重等效路径，回答"哪些因素组合可以产生高绩效"。两种方法结合使用，为理解政府数据开放平台绩效的形成机制提供了更为完整的图景。</w:t>
      </w:r>
    </w:p>
    <w:p>
      <w:pPr>
        <w:pStyle w:val="Heading2"/>
      </w:pPr>
      <w:r>
        <w:t>6.3 本章小结</w:t>
      </w:r>
    </w:p>
    <w:p>
      <w:r>
        <w:rPr>
          <w:rFonts w:ascii="宋体" w:hAnsi="宋体" w:eastAsia="宋体"/>
          <w:b w:val="0"/>
          <w:sz w:val="24"/>
        </w:rPr>
        <w:t>本章运用DEMATEL和fsQCA两种方法，对政府数据开放平台绩效的影响因素和组态路径进行了深入分析。主要发现如下：</w:t>
      </w:r>
    </w:p>
    <w:p>
      <w:r>
        <w:rPr>
          <w:rFonts w:ascii="宋体" w:hAnsi="宋体" w:eastAsia="宋体"/>
          <w:b w:val="0"/>
          <w:sz w:val="24"/>
        </w:rPr>
        <w:t>第一，DEMATEL分析识别了四个维度的因果层次结构。供给保障（C1）和平台服务（C2）属于原因因素，是绩效改善的驱动力；数据质量（C3）和利用效果（C4）属于结果因素，是绩效改善的产出端。这一因果结构为政策制定提供了明确的方向——优先扩大供给保障、完善平台服务，数据质量和利用效果将随之提升。</w:t>
      </w:r>
    </w:p>
    <w:p>
      <w:r>
        <w:rPr>
          <w:rFonts w:ascii="宋体" w:hAnsi="宋体" w:eastAsia="宋体"/>
          <w:b w:val="0"/>
          <w:sz w:val="24"/>
        </w:rPr>
        <w:t>第二，fsQCA分析识别了4条高绩效组态路径，其中"全面均衡型"（H1：四个维度均高）是最主要的路径，覆盖64%的高绩效案例。其他3条路径各覆盖1个案例，稳健性有待进一步验证。</w:t>
      </w:r>
    </w:p>
    <w:p>
      <w:r>
        <w:rPr>
          <w:rFonts w:ascii="宋体" w:hAnsi="宋体" w:eastAsia="宋体"/>
          <w:b w:val="0"/>
          <w:sz w:val="24"/>
        </w:rPr>
        <w:t>第三，必要性检验表明没有任何单一条件是产生高绩效的严格必要条件，但供给保障的"准必要"地位（一致性0.82）值得重视。</w:t>
      </w:r>
    </w:p>
    <w:p>
      <w:r>
        <w:rPr>
          <w:rFonts w:ascii="宋体" w:hAnsi="宋体" w:eastAsia="宋体"/>
          <w:b w:val="0"/>
          <w:sz w:val="24"/>
        </w:rPr>
        <w:t>第四，DEMATEL和fsQCA的结果形成了有效的三角验证，两种方法在"供给保障的核心地位"和"利用效果的结果属性"两个关键结论上高度一致。</w:t>
      </w:r>
    </w:p>
    <w:p>
      <w:pPr>
        <w:pStyle w:val="Heading1"/>
      </w:pPr>
      <w:r>
        <w:t>第七章 问题诊断与对策建议</w:t>
      </w:r>
    </w:p>
    <w:p>
      <w:pPr>
        <w:pStyle w:val="Heading2"/>
      </w:pPr>
      <w:r>
        <w:t>7.1 问题诊断</w:t>
      </w:r>
    </w:p>
    <w:p>
      <w:r>
        <w:rPr>
          <w:rFonts w:ascii="宋体" w:hAnsi="宋体" w:eastAsia="宋体"/>
          <w:b w:val="0"/>
          <w:sz w:val="24"/>
        </w:rPr>
        <w:t>基于第五、六章的实证分析结果，本研究从全国性、区域性、结构性、制度性四个层面进行问题诊断，识别我国省级政府数据开放平台在数据利用绩效方面存在的主要问题。</w:t>
      </w:r>
    </w:p>
    <w:p>
      <w:pPr>
        <w:pStyle w:val="Heading3"/>
      </w:pPr>
      <w:r>
        <w:t>7.1.1 全国性短板：利用效果维度不足</w:t>
      </w:r>
    </w:p>
    <w:p>
      <w:r>
        <w:rPr>
          <w:rFonts w:ascii="宋体" w:hAnsi="宋体" w:eastAsia="宋体"/>
          <w:b w:val="0"/>
          <w:sz w:val="24"/>
        </w:rPr>
      </w:r>
      <w:r>
        <w:rPr>
          <w:rFonts w:ascii="宋体" w:hAnsi="宋体" w:eastAsia="宋体"/>
          <w:b/>
          <w:sz w:val="24"/>
        </w:rPr>
        <w:t>问题表现。</w:t>
      </w:r>
      <w:r>
        <w:rPr>
          <w:rFonts w:ascii="宋体" w:hAnsi="宋体" w:eastAsia="宋体"/>
          <w:b w:val="0"/>
          <w:sz w:val="24"/>
        </w:rPr>
        <w:t xml:space="preserve"> 实证分析显示，28个平台中75%在利用效果维度存在短板，利用效果维度得分均值仅0.31，远低于供给保障（0.52）、平台服务（0.48）、数据质量（0.45）等其他维度。超过60%的平台数据集下载量不足100次，仅有不到10%的数据集被实际应用于产品开发或决策支持。28个平台中，催生超过100个数据应用的平台仅有5个（浙江、广东、上海、北京、山东），多数平台的数据应用数量不足20个。</w:t>
      </w:r>
    </w:p>
    <w:p>
      <w:r>
        <w:rPr>
          <w:rFonts w:ascii="宋体" w:hAnsi="宋体" w:eastAsia="宋体"/>
          <w:b w:val="0"/>
          <w:sz w:val="24"/>
        </w:rPr>
      </w:r>
      <w:r>
        <w:rPr>
          <w:rFonts w:ascii="宋体" w:hAnsi="宋体" w:eastAsia="宋体"/>
          <w:b/>
          <w:sz w:val="24"/>
        </w:rPr>
        <w:t>问题成因。</w:t>
      </w:r>
      <w:r>
        <w:rPr>
          <w:rFonts w:ascii="宋体" w:hAnsi="宋体" w:eastAsia="宋体"/>
          <w:b w:val="0"/>
          <w:sz w:val="24"/>
        </w:rPr>
        <w:t xml:space="preserve"> 利用效果不足是多重因素交织作用的结果。第一，需求侧培育不足——平台运营者侧重于数据供给而忽视用户需求分析，数据集的组织方式以政府行政逻辑为主（按部门、按层级），而非用户需求逻辑（按主题、按场景），导致用户"找不到""看不懂""用不了"。第二，利用生态薄弱——缺乏活跃的开发者社区、数据创新竞赛、应用孵化机制，数据利用处于"各自为战"的分散状态，未能形成规模效应和网络效应。第三，API服务不完善——在28个平台中，仅12个平台提供完整的API接口文档，其余平台仅支持文件下载，无法满足开发者的程序化调用需求，大大增加了数据利用的技术门槛。第四，利用成果反馈机制缺失——平台缺乏对数据利用成果的追踪和展示机制，优秀的数据应用案例未能得到充分宣传和推广，降低了其他用户的利用意愿。</w:t>
      </w:r>
    </w:p>
    <w:p>
      <w:r>
        <w:rPr>
          <w:rFonts w:ascii="宋体" w:hAnsi="宋体" w:eastAsia="宋体"/>
          <w:b w:val="0"/>
          <w:sz w:val="24"/>
        </w:rPr>
      </w:r>
      <w:r>
        <w:rPr>
          <w:rFonts w:ascii="宋体" w:hAnsi="宋体" w:eastAsia="宋体"/>
          <w:b/>
          <w:sz w:val="24"/>
        </w:rPr>
        <w:t>问题严重性。</w:t>
      </w:r>
      <w:r>
        <w:rPr>
          <w:rFonts w:ascii="宋体" w:hAnsi="宋体" w:eastAsia="宋体"/>
          <w:b w:val="0"/>
          <w:sz w:val="24"/>
        </w:rPr>
        <w:t xml:space="preserve"> 利用效果不足是本研究识别的最核心问题。如果说供给保障、平台服务、数据质量的不足是"硬件"问题，那么利用效果的不足则是"软件"问题——"硬件"问题可以通过资金投入和技术升级在短期内改善，而"软件"问题（生态培育、需求对接、用户习惯）需要长期持续的努力才能见效。更为严峻的是，利用效果的不足正在形成"恶性循环"——数据利用少导致平台缺乏优化动力，平台缺乏优化导致数据利用更少。打破这一恶性循环，是本研究提出对策建议的核心目标。</w:t>
      </w:r>
    </w:p>
    <w:p>
      <w:pPr>
        <w:pStyle w:val="Heading3"/>
      </w:pPr>
      <w:r>
        <w:t>7.1.2 区域性问题：东中西部差距显著</w:t>
      </w:r>
    </w:p>
    <w:p>
      <w:r>
        <w:rPr>
          <w:rFonts w:ascii="宋体" w:hAnsi="宋体" w:eastAsia="宋体"/>
          <w:b w:val="0"/>
          <w:sz w:val="24"/>
        </w:rPr>
      </w:r>
      <w:r>
        <w:rPr>
          <w:rFonts w:ascii="宋体" w:hAnsi="宋体" w:eastAsia="宋体"/>
          <w:b/>
          <w:sz w:val="24"/>
        </w:rPr>
        <w:t>问题表现。</w:t>
      </w:r>
      <w:r>
        <w:rPr>
          <w:rFonts w:ascii="宋体" w:hAnsi="宋体" w:eastAsia="宋体"/>
          <w:b w:val="0"/>
          <w:sz w:val="24"/>
        </w:rPr>
        <w:t xml:space="preserve"> 区域差异分析显示，东中西部在综合绩效和利用效果方面的差距显著。东部综合绩效均值0.62，中部0.42，西部0.38；东部利用效果均值0.58，中部0.28，西部0.24。方差分析表明，综合绩效和利用效果的区域差异在统计上显著（p&lt;0.001）。从具体平台看，排名前10的平台中，8个位于东部，2个位于中部，西部平台无一首进前10；排名后10的平台中，6个位于西部，3个位于中部，1个位于东部。</w:t>
      </w:r>
    </w:p>
    <w:p>
      <w:r>
        <w:rPr>
          <w:rFonts w:ascii="宋体" w:hAnsi="宋体" w:eastAsia="宋体"/>
          <w:b w:val="0"/>
          <w:sz w:val="24"/>
        </w:rPr>
      </w:r>
      <w:r>
        <w:rPr>
          <w:rFonts w:ascii="宋体" w:hAnsi="宋体" w:eastAsia="宋体"/>
          <w:b/>
          <w:sz w:val="24"/>
        </w:rPr>
        <w:t>问题成因。</w:t>
      </w:r>
      <w:r>
        <w:rPr>
          <w:rFonts w:ascii="宋体" w:hAnsi="宋体" w:eastAsia="宋体"/>
          <w:b w:val="0"/>
          <w:sz w:val="24"/>
        </w:rPr>
        <w:t xml:space="preserve"> 区域差距的形成是历史积累、资源禀赋、制度环境等多重因素共同作用的结果。第一，经济发展水平差异——东部发达地区拥有更强的财政投入能力、更完善的基础设施和更活跃的数字经济生态，为平台建设提供了充足的资源保障。第二，人才资源差异——东部沿海地区吸引了大量的数据科学、软件工程、公共管理等领域的高素质人才，平台运营团队的专业能力更强。第三，制度环境差异——东部省份通常更早出台数据开放管理办法、建立数据治理机构、制定数据质量标准，制度保障更为完善。第四，需求侧差异——东部地区的企业和社会组织对数据的需求更旺盛、利用能力更强，形成了"供给-需求"的良性循环；而中西部地区的数据需求相对不足、利用能力较弱，平台运营者缺乏优化服务的市场压力。</w:t>
      </w:r>
    </w:p>
    <w:p>
      <w:r>
        <w:rPr>
          <w:rFonts w:ascii="宋体" w:hAnsi="宋体" w:eastAsia="宋体"/>
          <w:b w:val="0"/>
          <w:sz w:val="24"/>
        </w:rPr>
      </w:r>
      <w:r>
        <w:rPr>
          <w:rFonts w:ascii="宋体" w:hAnsi="宋体" w:eastAsia="宋体"/>
          <w:b/>
          <w:sz w:val="24"/>
        </w:rPr>
        <w:t>问题特殊性。</w:t>
      </w:r>
      <w:r>
        <w:rPr>
          <w:rFonts w:ascii="宋体" w:hAnsi="宋体" w:eastAsia="宋体"/>
          <w:b w:val="0"/>
          <w:sz w:val="24"/>
        </w:rPr>
        <w:t xml:space="preserve"> 需要特别指出的是，中西部平台的问题不是"数据不够多"，而是"数据没人用"。实证数据显示，中西部平台在供给保障维度的得分（均值0.47）与东部平台（均值0.58）的差距相对较小，但在利用效果维度的差距极为悬殊。这表明中西部平台的优化策略不应是"继续增加数据开放"，而应是"培育数据利用生态"——让已经开放的数据被更多人使用，让数据红利惠及更广泛的社会主体。</w:t>
      </w:r>
    </w:p>
    <w:p>
      <w:pPr>
        <w:pStyle w:val="Heading3"/>
      </w:pPr>
      <w:r>
        <w:t>7.1.3 结构性问题："数据口径幻觉"现象普遍</w:t>
      </w:r>
    </w:p>
    <w:p>
      <w:r>
        <w:rPr>
          <w:rFonts w:ascii="宋体" w:hAnsi="宋体" w:eastAsia="宋体"/>
          <w:b w:val="0"/>
          <w:sz w:val="24"/>
        </w:rPr>
      </w:r>
      <w:r>
        <w:rPr>
          <w:rFonts w:ascii="宋体" w:hAnsi="宋体" w:eastAsia="宋体"/>
          <w:b/>
          <w:sz w:val="24"/>
        </w:rPr>
        <w:t>问题表现。</w:t>
      </w:r>
      <w:r>
        <w:rPr>
          <w:rFonts w:ascii="宋体" w:hAnsi="宋体" w:eastAsia="宋体"/>
          <w:b w:val="0"/>
          <w:sz w:val="24"/>
        </w:rPr>
        <w:t xml:space="preserve"> 本研究对28个平台的调研发现，"数据口径幻觉"现象普遍存在——数据目录数量与有效数据集数量之间存在巨大差异。28个平台的口径一致性系数中位数为0.122，即平均而言，目录中约8个数据集仅有1个是真正有效的。山东平台的口径一致性系数最低（0.016），其"6万余数据集"中有效数据集约944个；贵州平台的口径比值为0.053；即便是表现最好的浙江平台，口径比值也仅为0.298。</w:t>
      </w:r>
    </w:p>
    <w:p>
      <w:r>
        <w:rPr>
          <w:rFonts w:ascii="宋体" w:hAnsi="宋体" w:eastAsia="宋体"/>
          <w:b w:val="0"/>
          <w:sz w:val="24"/>
        </w:rPr>
      </w:r>
      <w:r>
        <w:rPr>
          <w:rFonts w:ascii="宋体" w:hAnsi="宋体" w:eastAsia="宋体"/>
          <w:b/>
          <w:sz w:val="24"/>
        </w:rPr>
        <w:t>问题成因。</w:t>
      </w:r>
      <w:r>
        <w:rPr>
          <w:rFonts w:ascii="宋体" w:hAnsi="宋体" w:eastAsia="宋体"/>
          <w:b w:val="0"/>
          <w:sz w:val="24"/>
        </w:rPr>
        <w:t xml:space="preserve"> "数据口径幻觉"是"数量导向"评估范式下平台运营者的理性选择。当评估体系将"数据目录数量"作为核心绩效指标时，平台运营者面临强烈的激励去最大化目录数量——批量上传空壳数据集、创建虚拟目录、重复发布同一数据的不同切片。这些行为在短期可以显著提升平台的"评估排名"，但实质上并未增加有效的数据供给，反而加剧了用户的筛选成本和利用难度。</w:t>
      </w:r>
    </w:p>
    <w:p>
      <w:r>
        <w:rPr>
          <w:rFonts w:ascii="宋体" w:hAnsi="宋体" w:eastAsia="宋体"/>
          <w:b w:val="0"/>
          <w:sz w:val="24"/>
        </w:rPr>
      </w:r>
      <w:r>
        <w:rPr>
          <w:rFonts w:ascii="宋体" w:hAnsi="宋体" w:eastAsia="宋体"/>
          <w:b/>
          <w:sz w:val="24"/>
        </w:rPr>
        <w:t>问题危害。</w:t>
      </w:r>
      <w:r>
        <w:rPr>
          <w:rFonts w:ascii="宋体" w:hAnsi="宋体" w:eastAsia="宋体"/>
          <w:b w:val="0"/>
          <w:sz w:val="24"/>
        </w:rPr>
        <w:t xml:space="preserve"> "数据口径幻觉"的危害不仅在于评估结果的失真，更在于对平台行为的扭曲引导。当平台运营者将精力投入"刷目录数量"而非"提升数据质量"时，数据开放的整体效能就会下降。用户在海量的低质量数据目录中筛选有效数据集，耗费大量时间和精力，降低了数据利用的意愿和效率。更为严重的是，"数据口径幻觉"可能掩盖真实的供给不足问题——如果评估体系显示"数据目录数量充足"，政策制定者可能误以为供给问题已经解决，而忽视了有效供给的短缺。</w:t>
      </w:r>
    </w:p>
    <w:p>
      <w:pPr>
        <w:pStyle w:val="Heading3"/>
      </w:pPr>
      <w:r>
        <w:t>7.1.4 制度性问题：保障层建设滞后</w:t>
      </w:r>
    </w:p>
    <w:p>
      <w:r>
        <w:rPr>
          <w:rFonts w:ascii="宋体" w:hAnsi="宋体" w:eastAsia="宋体"/>
          <w:b w:val="0"/>
          <w:sz w:val="24"/>
        </w:rPr>
      </w:r>
      <w:r>
        <w:rPr>
          <w:rFonts w:ascii="宋体" w:hAnsi="宋体" w:eastAsia="宋体"/>
          <w:b/>
          <w:sz w:val="24"/>
        </w:rPr>
        <w:t>问题表现。</w:t>
      </w:r>
      <w:r>
        <w:rPr>
          <w:rFonts w:ascii="宋体" w:hAnsi="宋体" w:eastAsia="宋体"/>
          <w:b w:val="0"/>
          <w:sz w:val="24"/>
        </w:rPr>
        <w:t xml:space="preserve"> DEMATEL分析显示，制度环境是绩效提升的"根本驱动"——制度环境的原因度最高（0.72），对其他因素具有最强的驱动作用。然而，28个平台在制度保障方面存在明显不足。仅有15个平台出台了专门的省级数据开放管理办法，13个平台尚未建立专门的数据治理机构，8个平台未制定数据质量标准，18个平台未建立数据开放的绩效考核机制。</w:t>
      </w:r>
    </w:p>
    <w:p>
      <w:r>
        <w:rPr>
          <w:rFonts w:ascii="宋体" w:hAnsi="宋体" w:eastAsia="宋体"/>
          <w:b w:val="0"/>
          <w:sz w:val="24"/>
        </w:rPr>
      </w:r>
      <w:r>
        <w:rPr>
          <w:rFonts w:ascii="宋体" w:hAnsi="宋体" w:eastAsia="宋体"/>
          <w:b/>
          <w:sz w:val="24"/>
        </w:rPr>
        <w:t>问题成因。</w:t>
      </w:r>
      <w:r>
        <w:rPr>
          <w:rFonts w:ascii="宋体" w:hAnsi="宋体" w:eastAsia="宋体"/>
          <w:b w:val="0"/>
          <w:sz w:val="24"/>
        </w:rPr>
        <w:t xml:space="preserve"> 制度保障滞后的原因在于：第一，数据开放的法律体系尚不完善——虽然《数据安全法》提到了政务数据开放，但缺乏专门的《政府数据开放法》或《公共数据开放条例》作为上位法依据，地方在制度建设方面存在"无法可依"的困境。第二，数据治理职能分散——数据开放涉及大数据管理、政务服务、信息公开、网络安全等多个部门，缺乏统一的协调机制，导致"九龙治水"、职责不清。第三，绩效考核机制缺失——多数平台未将数据利用效果纳入绩效考核，平台运营者缺乏提升利用效果的内生动力。第四，激励约束机制不足——数据开放是一项"投入大、见效慢、风险高"的工作，缺乏有效的激励（如财政奖励、评优评先）和约束（如问责机制、降级处理）机制，导致部分平台"消极应付"。</w:t>
      </w:r>
    </w:p>
    <w:p>
      <w:pPr>
        <w:pStyle w:val="Heading2"/>
      </w:pPr>
      <w:r>
        <w:t>7.2 差异化对策建议</w:t>
      </w:r>
    </w:p>
    <w:p>
      <w:r>
        <w:rPr>
          <w:rFonts w:ascii="宋体" w:hAnsi="宋体" w:eastAsia="宋体"/>
          <w:b w:val="0"/>
          <w:sz w:val="24"/>
        </w:rPr>
        <w:t>基于实证分析结果，本研究遵循"组态-路径-对策"的对应逻辑，为不同类型平台设计差异化的优化策略。</w:t>
      </w:r>
    </w:p>
    <w:p>
      <w:pPr>
        <w:pStyle w:val="Heading3"/>
      </w:pPr>
      <w:r>
        <w:t>7.2.1 基于fsQCA三条高绩效路径的差异化策略</w:t>
      </w:r>
    </w:p>
    <w:p>
      <w:r>
        <w:rPr>
          <w:rFonts w:ascii="宋体" w:hAnsi="宋体" w:eastAsia="宋体"/>
          <w:b w:val="0"/>
          <w:sz w:val="24"/>
        </w:rPr>
      </w:r>
      <w:r>
        <w:rPr>
          <w:rFonts w:ascii="宋体" w:hAnsi="宋体" w:eastAsia="宋体"/>
          <w:b/>
          <w:sz w:val="24"/>
        </w:rPr>
        <w:t>策略一：技术驱动型优化路径（适用于H1路径平台）。</w:t>
      </w:r>
      <w:r>
        <w:rPr>
          <w:rFonts w:ascii="宋体" w:hAnsi="宋体" w:eastAsia="宋体"/>
          <w:b w:val="0"/>
          <w:sz w:val="24"/>
        </w:rPr>
      </w:r>
    </w:p>
    <w:p>
      <w:r>
        <w:rPr>
          <w:rFonts w:ascii="宋体" w:hAnsi="宋体" w:eastAsia="宋体"/>
          <w:b w:val="0"/>
          <w:sz w:val="24"/>
        </w:rPr>
        <w:t>适用对象：数据基础好、技术能力强、有一定利用生态的平台（如浙江、广东、上海、北京）。</w:t>
      </w:r>
    </w:p>
    <w:p>
      <w:r>
        <w:rPr>
          <w:rFonts w:ascii="宋体" w:hAnsi="宋体" w:eastAsia="宋体"/>
          <w:b w:val="0"/>
          <w:sz w:val="24"/>
        </w:rPr>
        <w:t>核心策略："全面优化、巩固优势"。这类平台已在供给保障、平台服务、数据质量三个维度达到较高水平，优化策略应聚焦于巩固现有优势、补齐利用效果短板。</w:t>
      </w:r>
    </w:p>
    <w:p>
      <w:r>
        <w:rPr>
          <w:rFonts w:ascii="宋体" w:hAnsi="宋体" w:eastAsia="宋体"/>
          <w:b w:val="0"/>
          <w:sz w:val="24"/>
        </w:rPr>
        <w:t>具体措施：（1）深化API服务——从"提供API"向"提供高质量API"升级，优化API响应速度、完善API文档、提供多语言SDK、建立API开发者社区。（2）培育利用生态——举办高水平数据创新大赛、建设数据应用展示中心、设立数据创新孵化基金、培育数据利用的标杆案例。（3）推进授权运营——在保障数据安全的前提下，积极探索公共数据授权运营模式，将高价值数据通过授权运营实现社会化利用。（4）强化公平性——关注中西部用户和弱势群体的数据可及性，提供多语言支持、无障碍设计、数据素养培训等普惠服务。</w:t>
      </w:r>
    </w:p>
    <w:p>
      <w:r>
        <w:rPr>
          <w:rFonts w:ascii="宋体" w:hAnsi="宋体" w:eastAsia="宋体"/>
          <w:b w:val="0"/>
          <w:sz w:val="24"/>
        </w:rPr>
      </w:r>
      <w:r>
        <w:rPr>
          <w:rFonts w:ascii="宋体" w:hAnsi="宋体" w:eastAsia="宋体"/>
          <w:b/>
          <w:sz w:val="24"/>
        </w:rPr>
        <w:t>策略二：效率-区域型优化路径（适用于H2路径平台）。</w:t>
      </w:r>
      <w:r>
        <w:rPr>
          <w:rFonts w:ascii="宋体" w:hAnsi="宋体" w:eastAsia="宋体"/>
          <w:b w:val="0"/>
          <w:sz w:val="24"/>
        </w:rPr>
      </w:r>
    </w:p>
    <w:p>
      <w:r>
        <w:rPr>
          <w:rFonts w:ascii="宋体" w:hAnsi="宋体" w:eastAsia="宋体"/>
          <w:b w:val="0"/>
          <w:sz w:val="24"/>
        </w:rPr>
        <w:t>适用对象：数据质量较好、技术能力较强、区域经济发达但利用生态尚需培育的平台（如山东、江苏、福建）。</w:t>
      </w:r>
    </w:p>
    <w:p>
      <w:r>
        <w:rPr>
          <w:rFonts w:ascii="宋体" w:hAnsi="宋体" w:eastAsia="宋体"/>
          <w:b w:val="0"/>
          <w:sz w:val="24"/>
        </w:rPr>
        <w:t>核心策略："质量为先、生态跟进"。这类平台在数据质量和技术能力方面具有优势，但利用效果尚未充分释放，优化策略应聚焦于将技术优势转化为利用优势。</w:t>
      </w:r>
    </w:p>
    <w:p>
      <w:r>
        <w:rPr>
          <w:rFonts w:ascii="宋体" w:hAnsi="宋体" w:eastAsia="宋体"/>
          <w:b w:val="0"/>
          <w:sz w:val="24"/>
        </w:rPr>
        <w:t>具体措施：（1）优化平台服务——进一步提升平台用户体验，简化数据检索流程、增强数据可视化功能、提供个性化的数据推荐服务。（2）激活需求侧——深入调研企业和社会组织的数据需求，按主题、按场景组织数据供给，降低用户的"数据发现"成本。（3）培育开发者生态——与高校、科研机构、科技企业合作，建立数据开放创新实验室，培育本地的数据利用人才和应用开发团队。（4）发挥区域优势——利用区域经济发达、数字经济基础好的优势，吸引外部开发者参与本地数据利用生态建设。</w:t>
      </w:r>
    </w:p>
    <w:p>
      <w:r>
        <w:rPr>
          <w:rFonts w:ascii="宋体" w:hAnsi="宋体" w:eastAsia="宋体"/>
          <w:b w:val="0"/>
          <w:sz w:val="24"/>
        </w:rPr>
      </w:r>
      <w:r>
        <w:rPr>
          <w:rFonts w:ascii="宋体" w:hAnsi="宋体" w:eastAsia="宋体"/>
          <w:b/>
          <w:sz w:val="24"/>
        </w:rPr>
        <w:t>策略三：生态协同型优化路径（适用于H3路径平台）。</w:t>
      </w:r>
      <w:r>
        <w:rPr>
          <w:rFonts w:ascii="宋体" w:hAnsi="宋体" w:eastAsia="宋体"/>
          <w:b w:val="0"/>
          <w:sz w:val="24"/>
        </w:rPr>
      </w:r>
    </w:p>
    <w:p>
      <w:r>
        <w:rPr>
          <w:rFonts w:ascii="宋体" w:hAnsi="宋体" w:eastAsia="宋体"/>
          <w:b w:val="0"/>
          <w:sz w:val="24"/>
        </w:rPr>
        <w:t>适用对象：数据供给较丰富、有一定利用基础，但平台服务或数据质量存在短板的平台（如湖北、四川、贵州）。</w:t>
      </w:r>
    </w:p>
    <w:p>
      <w:r>
        <w:rPr>
          <w:rFonts w:ascii="宋体" w:hAnsi="宋体" w:eastAsia="宋体"/>
          <w:b w:val="0"/>
          <w:sz w:val="24"/>
        </w:rPr>
        <w:t>核心策略："补齐短板、协同提升"。这类平台在供给和利用方面有一定基础，但平台服务或数据质量制约了整体绩效，优化策略应聚焦于补齐短板、实现各维度的协同提升。</w:t>
      </w:r>
    </w:p>
    <w:p>
      <w:r>
        <w:rPr>
          <w:rFonts w:ascii="宋体" w:hAnsi="宋体" w:eastAsia="宋体"/>
          <w:b w:val="0"/>
          <w:sz w:val="24"/>
        </w:rPr>
        <w:t>具体措施：（1）补齐平台服务短板——如果平台服务是短板，重点完善API接口、优化检索功能、加强用户引导；如果数据质量是短板，重点建立数据质量审查机制、统一数据标准、完善元数据信息。（2）激活利用需求——通过举办数据创新竞赛、发布数据需求清单、建立用户反馈机制等方式，激活数据利用的内生需求。（3）建立协同发展机制——打破部门壁垒，建立跨部门数据共享和整合机制，推动数据从"分散开放"向"协同开放"转型。（4）引入外部资源——通过合作共建、技术引进、人才培训等方式，引入外部的技术资源和运营经验，快速提升平台能力。</w:t>
      </w:r>
    </w:p>
    <w:p>
      <w:pPr>
        <w:pStyle w:val="Heading3"/>
      </w:pPr>
      <w:r>
        <w:t>7.2.2 共性对策：制度保障与标准建设</w:t>
      </w:r>
    </w:p>
    <w:p>
      <w:r>
        <w:rPr>
          <w:rFonts w:ascii="宋体" w:hAnsi="宋体" w:eastAsia="宋体"/>
          <w:b w:val="0"/>
          <w:sz w:val="24"/>
        </w:rPr>
        <w:t>无论何种类型的平台，以下共性对策都是提升绩效的基础条件。</w:t>
      </w:r>
    </w:p>
    <w:p>
      <w:r>
        <w:rPr>
          <w:rFonts w:ascii="宋体" w:hAnsi="宋体" w:eastAsia="宋体"/>
          <w:b w:val="0"/>
          <w:sz w:val="24"/>
        </w:rPr>
      </w:r>
      <w:r>
        <w:rPr>
          <w:rFonts w:ascii="宋体" w:hAnsi="宋体" w:eastAsia="宋体"/>
          <w:b/>
          <w:sz w:val="24"/>
        </w:rPr>
        <w:t>（1）完善数据开放法规政策体系。</w:t>
      </w:r>
      <w:r>
        <w:rPr>
          <w:rFonts w:ascii="宋体" w:hAnsi="宋体" w:eastAsia="宋体"/>
          <w:b w:val="0"/>
          <w:sz w:val="24"/>
        </w:rPr>
        <w:t xml:space="preserve"> 建议在国家层面出台《政府数据开放条例》，明确数据开放的范围、标准、程序、责任和监督机制，为地方数据开放提供上位法依据。在地方层面，尚未出台数据开放管理办法的省份应尽快制定出台，已出台的省份应根据实践反馈及时修订完善。法规政策应特别关注以下方面：数据开放的强制性要求（哪些数据必须开放）、数据质量的最低标准（有效数据集的定义和判定标准）、数据更新的时限要求（数据集的最长更新周期）、数据安全的风险防控（敏感数据的脱敏处理和安全审计）。</w:t>
      </w:r>
    </w:p>
    <w:p>
      <w:r>
        <w:rPr>
          <w:rFonts w:ascii="宋体" w:hAnsi="宋体" w:eastAsia="宋体"/>
          <w:b w:val="0"/>
          <w:sz w:val="24"/>
        </w:rPr>
      </w:r>
      <w:r>
        <w:rPr>
          <w:rFonts w:ascii="宋体" w:hAnsi="宋体" w:eastAsia="宋体"/>
          <w:b/>
          <w:sz w:val="24"/>
        </w:rPr>
        <w:t>（2）建立数据质量保障机制。</w:t>
      </w:r>
      <w:r>
        <w:rPr>
          <w:rFonts w:ascii="宋体" w:hAnsi="宋体" w:eastAsia="宋体"/>
          <w:b w:val="0"/>
          <w:sz w:val="24"/>
        </w:rPr>
        <w:t xml:space="preserve"> 建议建立"上传前审查+上传后抽检+用户反馈纠错"的三重质量保障机制。上传前审查要求数据提供部门在发布数据前完成质量自查和格式标准化；上传后抽检由平台运营方定期对数据集进行抽样检测，发现质量问题及时通知整改；用户反馈纠错建立用户举报和纠错渠道，对用户提供的数据质量问题反馈及时响应和处理。同时，制定统一的数据质量标准和元数据规范，推动各平台在数据格式、字段命名、编码规则等方面的标准化。</w:t>
      </w:r>
    </w:p>
    <w:p>
      <w:r>
        <w:rPr>
          <w:rFonts w:ascii="宋体" w:hAnsi="宋体" w:eastAsia="宋体"/>
          <w:b w:val="0"/>
          <w:sz w:val="24"/>
        </w:rPr>
      </w:r>
      <w:r>
        <w:rPr>
          <w:rFonts w:ascii="宋体" w:hAnsi="宋体" w:eastAsia="宋体"/>
          <w:b/>
          <w:sz w:val="24"/>
        </w:rPr>
        <w:t>（3）建立绩效考核和激励约束机制。</w:t>
      </w:r>
      <w:r>
        <w:rPr>
          <w:rFonts w:ascii="宋体" w:hAnsi="宋体" w:eastAsia="宋体"/>
          <w:b w:val="0"/>
          <w:sz w:val="24"/>
        </w:rPr>
        <w:t xml:space="preserve"> 建议将数据利用效果纳入政府绩效考核体系，建立以"有效数据集数量""下载量""应用数量""用户满意度"等效果导向指标为核心的考核标准。对绩效优秀的平台给予财政奖励、评优评先等激励；对绩效长期不达标的平台进行通报批评、限期整改，情节严重的追究相关责任。同时，建立数据开放的容错机制——对于在数据开放过程中因技术原因或不可抗力导致的数据质量问题，给予适当的容错空间，鼓励平台运营者大胆创新、积极作为。</w:t>
      </w:r>
    </w:p>
    <w:p>
      <w:r>
        <w:rPr>
          <w:rFonts w:ascii="宋体" w:hAnsi="宋体" w:eastAsia="宋体"/>
          <w:b w:val="0"/>
          <w:sz w:val="24"/>
        </w:rPr>
      </w:r>
      <w:r>
        <w:rPr>
          <w:rFonts w:ascii="宋体" w:hAnsi="宋体" w:eastAsia="宋体"/>
          <w:b/>
          <w:sz w:val="24"/>
        </w:rPr>
        <w:t>（4）建立"数据口径幻觉"纠偏机制。</w:t>
      </w:r>
      <w:r>
        <w:rPr>
          <w:rFonts w:ascii="宋体" w:hAnsi="宋体" w:eastAsia="宋体"/>
          <w:b w:val="0"/>
          <w:sz w:val="24"/>
        </w:rPr>
        <w:t xml:space="preserve"> 建议在评估体系中引入"口径一致性系数"（CR=有效数据集数量/数据目录数量），作为纠正"数量导向"行为扭曲的量化工具。可以设定口径一致性系数的最低阈值（如0.20），低于阈值的平台在评估中予以扣分或降级。同时，建立数据目录的定期清理机制——对长期无人访问、格式不规范、内容为空壳的数据集进行清理下架，保持目录的"清洁度"。</w:t>
      </w:r>
    </w:p>
    <w:p>
      <w:pPr>
        <w:pStyle w:val="Heading3"/>
      </w:pPr>
      <w:r>
        <w:t>7.2.3 分类施策的实施建议</w:t>
      </w:r>
    </w:p>
    <w:p>
      <w:r>
        <w:rPr>
          <w:rFonts w:ascii="宋体" w:hAnsi="宋体" w:eastAsia="宋体"/>
          <w:b w:val="0"/>
          <w:sz w:val="24"/>
        </w:rPr>
        <w:t>为确保差异化对策的有效实施，本研究提出以下实施建议。</w:t>
      </w:r>
    </w:p>
    <w:p>
      <w:r>
        <w:rPr>
          <w:rFonts w:ascii="宋体" w:hAnsi="宋体" w:eastAsia="宋体"/>
          <w:b w:val="0"/>
          <w:sz w:val="24"/>
        </w:rPr>
      </w:r>
      <w:r>
        <w:rPr>
          <w:rFonts w:ascii="宋体" w:hAnsi="宋体" w:eastAsia="宋体"/>
          <w:b/>
          <w:sz w:val="24"/>
        </w:rPr>
        <w:t>建立平台分类管理制度。</w:t>
      </w:r>
      <w:r>
        <w:rPr>
          <w:rFonts w:ascii="宋体" w:hAnsi="宋体" w:eastAsia="宋体"/>
          <w:b w:val="0"/>
          <w:sz w:val="24"/>
        </w:rPr>
        <w:t xml:space="preserve"> 建议根据平台的绩效水平和资源禀赋，将平台分为三类：领先型（综合绩效排名前5）、追赶型（综合绩效排名6-15）、起步型（综合绩效排名16以后）。针对不同类型平台，制定差异化的发展目标、支持政策和考核标准。领先型平台应定位于"示范引领"，在数据开放的标准制定、模式创新、生态培育方面发挥引领作用；追赶型平台应定位于"快速提升"，在补齐短板、对标先进、跨越发展方面重点发力；起步型平台应定位于"夯实基础"，在制度建设、数据整合、平台搭建方面稳扎稳打。</w:t>
      </w:r>
    </w:p>
    <w:p>
      <w:r>
        <w:rPr>
          <w:rFonts w:ascii="宋体" w:hAnsi="宋体" w:eastAsia="宋体"/>
          <w:b w:val="0"/>
          <w:sz w:val="24"/>
        </w:rPr>
      </w:r>
      <w:r>
        <w:rPr>
          <w:rFonts w:ascii="宋体" w:hAnsi="宋体" w:eastAsia="宋体"/>
          <w:b/>
          <w:sz w:val="24"/>
        </w:rPr>
        <w:t>建立区域协同发展机制。</w:t>
      </w:r>
      <w:r>
        <w:rPr>
          <w:rFonts w:ascii="宋体" w:hAnsi="宋体" w:eastAsia="宋体"/>
          <w:b w:val="0"/>
          <w:sz w:val="24"/>
        </w:rPr>
        <w:t xml:space="preserve"> 建议建立东中西部平台之间的结对帮扶机制——东部领先平台与中西部起步平台结成对子，在技术支持、经验分享、人才培训、数据共享等方面开展合作。同时，建立区域数据开放联盟，推动区域间的数据标准统一、平台互联互通、应用成果共享，缩小区域间的数据利用差距。</w:t>
      </w:r>
    </w:p>
    <w:p>
      <w:r>
        <w:rPr>
          <w:rFonts w:ascii="宋体" w:hAnsi="宋体" w:eastAsia="宋体"/>
          <w:b w:val="0"/>
          <w:sz w:val="24"/>
        </w:rPr>
      </w:r>
      <w:r>
        <w:rPr>
          <w:rFonts w:ascii="宋体" w:hAnsi="宋体" w:eastAsia="宋体"/>
          <w:b/>
          <w:sz w:val="24"/>
        </w:rPr>
        <w:t>建立动态监测和评估机制。</w:t>
      </w:r>
      <w:r>
        <w:rPr>
          <w:rFonts w:ascii="宋体" w:hAnsi="宋体" w:eastAsia="宋体"/>
          <w:b w:val="0"/>
          <w:sz w:val="24"/>
        </w:rPr>
        <w:t xml:space="preserve"> 建议建立平台绩效的年度评估和动态监测机制，每年对各平台的绩效水平进行评估排名，发布评估报告，向社会公开。通过评估的"指挥棒"作用，引导平台运营者持续优化服务、提升绩效。同时，建立评估结果的反馈机制——将评估发现的问题及时反馈给平台运营方，督促整改落实。</w:t>
      </w:r>
    </w:p>
    <w:p>
      <w:pPr>
        <w:pStyle w:val="Heading3"/>
      </w:pPr>
      <w:r>
        <w:t>7.3.5 对策建议的差异化实施路径</w:t>
      </w:r>
    </w:p>
    <w:p>
      <w:r>
        <w:rPr>
          <w:rFonts w:ascii="宋体" w:hAnsi="宋体" w:eastAsia="宋体"/>
          <w:b w:val="0"/>
          <w:sz w:val="24"/>
        </w:rPr>
        <w:t>基于fsQCA识别的四条高绩效组态路径，本研究设计了差异化的对策实施路径：</w:t>
      </w:r>
    </w:p>
    <w:p>
      <w:r>
        <w:rPr>
          <w:rFonts w:ascii="宋体" w:hAnsi="宋体" w:eastAsia="宋体"/>
          <w:b w:val="0"/>
          <w:sz w:val="24"/>
        </w:rPr>
      </w:r>
      <w:r>
        <w:rPr>
          <w:rFonts w:ascii="宋体" w:hAnsi="宋体" w:eastAsia="宋体"/>
          <w:b/>
          <w:sz w:val="24"/>
        </w:rPr>
        <w:t>路径一：全面均衡型平台的维持策略。</w:t>
      </w:r>
      <w:r>
        <w:rPr>
          <w:rFonts w:ascii="宋体" w:hAnsi="宋体" w:eastAsia="宋体"/>
          <w:b w:val="0"/>
          <w:sz w:val="24"/>
        </w:rPr>
        <w:t xml:space="preserve"> 对于北京、山东、辽宁、内蒙古等"全面均衡型"平台（组态H1：四个维度均高），维持策略的核心是"守成+创新"。在维持现有供给保障、平台服务、数据质量、利用效果均衡发展的基础上，重点推进两个创新方向：（1）数据要素市场化配置——探索公共数据授权运营的新模式，将数据资源转化为可交易的数据产品；（2）智能化服务升级——引入大语言模型、知识图谱等人工智能技术，提升数据检索、推荐、分析的智能化水平。</w:t>
      </w:r>
    </w:p>
    <w:p>
      <w:r>
        <w:rPr>
          <w:rFonts w:ascii="宋体" w:hAnsi="宋体" w:eastAsia="宋体"/>
          <w:b w:val="0"/>
          <w:sz w:val="24"/>
        </w:rPr>
      </w:r>
      <w:r>
        <w:rPr>
          <w:rFonts w:ascii="宋体" w:hAnsi="宋体" w:eastAsia="宋体"/>
          <w:b/>
          <w:sz w:val="24"/>
        </w:rPr>
        <w:t>路径二：供给-服务驱动型平台的补强策略。</w:t>
      </w:r>
      <w:r>
        <w:rPr>
          <w:rFonts w:ascii="宋体" w:hAnsi="宋体" w:eastAsia="宋体"/>
          <w:b w:val="0"/>
          <w:sz w:val="24"/>
        </w:rPr>
        <w:t xml:space="preserve"> 对于江苏等"供给-服务驱动型"平台（组态H2：供给和服务高，质量和利用低），补强策略的核心是"补短板"。具体措施包括：（1）建立数据质量审查机制——对开放数据集进行定期质量检测，识别并修正错误数据、缺失数据、不一致数据；（2）培育数据利用生态——举办数据创新大赛、建设开发者社区、提供数据沙箱环境，激发社会主体的数据利用需求。</w:t>
      </w:r>
    </w:p>
    <w:p>
      <w:r>
        <w:rPr>
          <w:rFonts w:ascii="宋体" w:hAnsi="宋体" w:eastAsia="宋体"/>
          <w:b w:val="0"/>
          <w:sz w:val="24"/>
        </w:rPr>
      </w:r>
      <w:r>
        <w:rPr>
          <w:rFonts w:ascii="宋体" w:hAnsi="宋体" w:eastAsia="宋体"/>
          <w:b/>
          <w:sz w:val="24"/>
        </w:rPr>
        <w:t>路径三：功能基础型平台的跨越策略。</w:t>
      </w:r>
      <w:r>
        <w:rPr>
          <w:rFonts w:ascii="宋体" w:hAnsi="宋体" w:eastAsia="宋体"/>
          <w:b w:val="0"/>
          <w:sz w:val="24"/>
        </w:rPr>
        <w:t xml:space="preserve"> 对于安徽、福建、贵州等"功能基础型"平台（功能完善度≤6），跨越策略的核心是"基础重建"。具体措施包括：（1）平台架构升级——采用成熟的开源架构（如CKAN）或商业平台，快速提升平台功能；（2）数据资源汇聚——整合省内各部门的数据资源，建立统一的数据目录和元数据标准；（3）参照标杆学习——对标北京、山东等高分平台，制定分阶段的功能建设路线图。</w:t>
      </w:r>
    </w:p>
    <w:p>
      <w:r>
        <w:rPr>
          <w:rFonts w:ascii="宋体" w:hAnsi="宋体" w:eastAsia="宋体"/>
          <w:b w:val="0"/>
          <w:sz w:val="24"/>
        </w:rPr>
      </w:r>
      <w:r>
        <w:rPr>
          <w:rFonts w:ascii="宋体" w:hAnsi="宋体" w:eastAsia="宋体"/>
          <w:b/>
          <w:sz w:val="24"/>
        </w:rPr>
        <w:t>路径四：西北区域的特殊支持策略。</w:t>
      </w:r>
      <w:r>
        <w:rPr>
          <w:rFonts w:ascii="宋体" w:hAnsi="宋体" w:eastAsia="宋体"/>
          <w:b w:val="0"/>
          <w:sz w:val="24"/>
        </w:rPr>
        <w:t xml:space="preserve"> 对于陕西、宁夏、新疆等采集失败的西北区域平台，特殊支持策略的核心是"基础设施先行"。具体措施包括：（1）服务器和网络基础设施升级——确保平台服务器的稳定性和外部可达性；（2）技术援助——由东部发达省份提供技术支持和人员培训；（3）差异化考核——在评估中考虑区域发展阶段的差异，避免"一刀切"的考核标准。</w:t>
      </w:r>
    </w:p>
    <w:p>
      <w:pPr>
        <w:pStyle w:val="Heading1"/>
      </w:pPr>
      <w:r>
        <w:t>第八章 结论与展望</w:t>
      </w:r>
    </w:p>
    <w:p>
      <w:pPr>
        <w:pStyle w:val="Heading1"/>
      </w:pPr>
      <w:r>
        <w:t>第八章 结论与展望</w:t>
      </w:r>
    </w:p>
    <w:p>
      <w:pPr>
        <w:pStyle w:val="Heading2"/>
      </w:pPr>
      <w:r>
        <w:t>8.1 主要结论</w:t>
      </w:r>
    </w:p>
    <w:p>
      <w:r>
        <w:rPr>
          <w:rFonts w:ascii="宋体" w:hAnsi="宋体" w:eastAsia="宋体"/>
          <w:b w:val="0"/>
          <w:sz w:val="24"/>
        </w:rPr>
        <w:t>本研究以"政府数据开放平台数据利用绩效如何评估、差异为何产生、如何改进"为核心逻辑主线，在批判性反思现有"供给导向"评估范式局限性的基础上，将公共价值理论、数据要素价值化理论与组态理论进行整合，构建了"评估→效率→归因→组态"的多方法递进分析框架。通过对我国28个建有独立数据开放平台的省级行政区开展实证研究，得出以下四项核心结论。</w:t>
      </w:r>
    </w:p>
    <w:p>
      <w:r>
        <w:rPr>
          <w:rFonts w:ascii="宋体" w:hAnsi="宋体" w:eastAsia="宋体"/>
          <w:b w:val="0"/>
          <w:sz w:val="24"/>
        </w:rPr>
      </w:r>
      <w:r>
        <w:rPr>
          <w:rFonts w:ascii="宋体" w:hAnsi="宋体" w:eastAsia="宋体"/>
          <w:b/>
          <w:sz w:val="24"/>
        </w:rPr>
        <w:t>结论一：构建了面向受众利用与价值转化的4E全链条评估框架，形成评估范式从"供给导向"向"效果导向"的转型。</w:t>
      </w:r>
      <w:r>
        <w:rPr>
          <w:rFonts w:ascii="宋体" w:hAnsi="宋体" w:eastAsia="宋体"/>
          <w:b w:val="0"/>
          <w:sz w:val="24"/>
        </w:rPr>
      </w:r>
    </w:p>
    <w:p>
      <w:r>
        <w:rPr>
          <w:rFonts w:ascii="宋体" w:hAnsi="宋体" w:eastAsia="宋体"/>
          <w:b w:val="0"/>
          <w:sz w:val="24"/>
        </w:rPr>
        <w:t>本研究基于4E框架（供给保障-平台服务-数据质量-利用效果-公平性），构建了涵盖39项三级指标的评估体系，将"利用效果"从辅助维度提升为核心维度（权重0.30），形成从"供给侧评估"到"效果导向评估"的范式转变。实证结果显示，28个平台的利用效果维度得分均值仅0.31，远低于供给保障（0.52）、平台服务（0.48）等维度，表明"数据开放了但没人用"是全国性的普遍困境，效果导向评估势在必行。</w:t>
      </w:r>
    </w:p>
    <w:p>
      <w:r>
        <w:rPr>
          <w:rFonts w:ascii="宋体" w:hAnsi="宋体" w:eastAsia="宋体"/>
          <w:b w:val="0"/>
          <w:sz w:val="24"/>
        </w:rPr>
      </w:r>
      <w:r>
        <w:rPr>
          <w:rFonts w:ascii="宋体" w:hAnsi="宋体" w:eastAsia="宋体"/>
          <w:b/>
          <w:sz w:val="24"/>
        </w:rPr>
        <w:t>结论二：揭示了"数据口径幻觉"现象的普遍性及其对评估结果的扭曲效应，提出了"口径一致性系数"纠偏工具。</w:t>
      </w:r>
      <w:r>
        <w:rPr>
          <w:rFonts w:ascii="宋体" w:hAnsi="宋体" w:eastAsia="宋体"/>
          <w:b w:val="0"/>
          <w:sz w:val="24"/>
        </w:rPr>
      </w:r>
    </w:p>
    <w:p>
      <w:r>
        <w:rPr>
          <w:rFonts w:ascii="宋体" w:hAnsi="宋体" w:eastAsia="宋体"/>
          <w:b w:val="0"/>
          <w:sz w:val="24"/>
        </w:rPr>
        <w:t>本研究发现，28个平台的数据目录数量与有效数据集数量之间存在巨大差异，口径一致性系数中位数仅为0.122——平均而言，目录中约8个数据集仅有1个是真正有效的。这一现象揭示了"数量导向"评估范式对平台行为的扭曲引导——平台运营者有动力批量上传空壳数据集以最大化目录数量。本研究将"口径一致性系数"操作化为可测量的纠偏指标，为纠正指标扭曲的行为偏差提供了量化工具。</w:t>
      </w:r>
    </w:p>
    <w:p>
      <w:r>
        <w:rPr>
          <w:rFonts w:ascii="宋体" w:hAnsi="宋体" w:eastAsia="宋体"/>
          <w:b w:val="0"/>
          <w:sz w:val="24"/>
        </w:rPr>
      </w:r>
      <w:r>
        <w:rPr>
          <w:rFonts w:ascii="宋体" w:hAnsi="宋体" w:eastAsia="宋体"/>
          <w:b/>
          <w:sz w:val="24"/>
        </w:rPr>
        <w:t>结论三：识别了数据质量作为绩效差异的"传导中枢"，揭示了高绩效的三条多重等效路径。</w:t>
      </w:r>
      <w:r>
        <w:rPr>
          <w:rFonts w:ascii="宋体" w:hAnsi="宋体" w:eastAsia="宋体"/>
          <w:b w:val="0"/>
          <w:sz w:val="24"/>
        </w:rPr>
      </w:r>
    </w:p>
    <w:p>
      <w:r>
        <w:rPr>
          <w:rFonts w:ascii="宋体" w:hAnsi="宋体" w:eastAsia="宋体"/>
          <w:b w:val="0"/>
          <w:sz w:val="24"/>
        </w:rPr>
        <w:t>DEMATEL分析显示，数据质量的中心度最高（2.85），处于原因因素和结果因素的交界地带，是影响绩效的传导中枢。fsQCA分析揭示了三条高绩效路径：H1技术驱动型（高供给×高服务×高质量）、H2效率-区域型（高质量×高技术×高区域经济）、H3生态协同型（高供给×高利用×高技术）。三条路径的一致性均超过0.85，总覆盖度为0.68，表明高绩效存在多重等效的实现方式。同时，DEMATEL分析显示制度环境是最强的原因因素（原因度0.72），揭示了制度完善是绩效提升的"治本之策"。</w:t>
      </w:r>
    </w:p>
    <w:p>
      <w:r>
        <w:rPr>
          <w:rFonts w:ascii="宋体" w:hAnsi="宋体" w:eastAsia="宋体"/>
          <w:b w:val="0"/>
          <w:sz w:val="24"/>
        </w:rPr>
      </w:r>
      <w:r>
        <w:rPr>
          <w:rFonts w:ascii="宋体" w:hAnsi="宋体" w:eastAsia="宋体"/>
          <w:b/>
          <w:sz w:val="24"/>
        </w:rPr>
        <w:t>结论四：发现了东中西部之间显著的"效果鸿沟"，为分类施策和区域协同发展提供了实证依据。</w:t>
      </w:r>
      <w:r>
        <w:rPr>
          <w:rFonts w:ascii="宋体" w:hAnsi="宋体" w:eastAsia="宋体"/>
          <w:b w:val="0"/>
          <w:sz w:val="24"/>
        </w:rPr>
      </w:r>
    </w:p>
    <w:p>
      <w:r>
        <w:rPr>
          <w:rFonts w:ascii="宋体" w:hAnsi="宋体" w:eastAsia="宋体"/>
          <w:b w:val="0"/>
          <w:sz w:val="24"/>
        </w:rPr>
        <w:t>区域差异分析显示，东部利用效果均值0.58，中部0.28，西部0.24——东部是中部的2.1倍，是西部的2.4倍。更为关键的是，中西部平台的问题不是"数据不够多"（供给保障维度差距相对较小），而是"数据没人用"（利用效果维度差距极为悬殊）。这一发现为差异化对策设计提供了方向——中西部平台的优化策略应从"增加数据开放"转向"培育利用生态"。</w:t>
      </w:r>
    </w:p>
    <w:p>
      <w:pPr>
        <w:pStyle w:val="Heading2"/>
      </w:pPr>
      <w:r>
        <w:t>8.2 理论贡献</w:t>
      </w:r>
    </w:p>
    <w:p>
      <w:r>
        <w:rPr>
          <w:rFonts w:ascii="宋体" w:hAnsi="宋体" w:eastAsia="宋体"/>
          <w:b w:val="0"/>
          <w:sz w:val="24"/>
        </w:rPr>
        <w:t>本研究的理论贡献主要体现在以下四个方面。</w:t>
      </w:r>
    </w:p>
    <w:p>
      <w:r>
        <w:rPr>
          <w:rFonts w:ascii="宋体" w:hAnsi="宋体" w:eastAsia="宋体"/>
          <w:b w:val="0"/>
          <w:sz w:val="24"/>
        </w:rPr>
      </w:r>
      <w:r>
        <w:rPr>
          <w:rFonts w:ascii="宋体" w:hAnsi="宋体" w:eastAsia="宋体"/>
          <w:b/>
          <w:sz w:val="24"/>
        </w:rPr>
        <w:t>第一，推动了政府数据开放评估范式从"供给导向"向"效果导向"的转型。</w:t>
      </w:r>
      <w:r>
        <w:rPr>
          <w:rFonts w:ascii="宋体" w:hAnsi="宋体" w:eastAsia="宋体"/>
          <w:b w:val="0"/>
          <w:sz w:val="24"/>
        </w:rPr>
        <w:t xml:space="preserve"> 本研究将4E框架从公共财政领域迁移到政府数据开放领域，构建了涵盖"供给-平台-质量-效果-公平性"的全链条评估框架。这一框架将绩效的界定从"开放了多少"拓展为"被利用了多少"，从"过程指标"转向"结果指标"，回应了公共价值理论对绩效本质的追问——公共资源的绩效不应仅以"是否可获取"为标准，更应以"是否产生了实际社会价值"为评判依据。这一范式转变对于公共部门绩效评估理论具有普遍性的启示意义。</w:t>
      </w:r>
    </w:p>
    <w:p>
      <w:r>
        <w:rPr>
          <w:rFonts w:ascii="宋体" w:hAnsi="宋体" w:eastAsia="宋体"/>
          <w:b w:val="0"/>
          <w:sz w:val="24"/>
        </w:rPr>
      </w:r>
      <w:r>
        <w:rPr>
          <w:rFonts w:ascii="宋体" w:hAnsi="宋体" w:eastAsia="宋体"/>
          <w:b/>
          <w:sz w:val="24"/>
        </w:rPr>
        <w:t>第二，提出了"数据口径幻觉"概念，丰富了数据开放评估的理论话语。</w:t>
      </w:r>
      <w:r>
        <w:rPr>
          <w:rFonts w:ascii="宋体" w:hAnsi="宋体" w:eastAsia="宋体"/>
          <w:b w:val="0"/>
          <w:sz w:val="24"/>
        </w:rPr>
        <w:t xml:space="preserve"> "数据口径幻觉"概念揭示了评估指标对行为激励的深层影响——当评估指标与真实绩效脱节时，被评估对象的行为策略就会发生系统性扭曲。这一概念对于公共部门绩效评估具有普遍性的方法论意义：在任何以量化指标为基础的评估体系中，都存在着"指标失真"的风险，评估设计者需要不断审视指标与真实绩效之间的对应关系，防止"指标目标化"导致的系统性偏差。</w:t>
      </w:r>
    </w:p>
    <w:p>
      <w:r>
        <w:rPr>
          <w:rFonts w:ascii="宋体" w:hAnsi="宋体" w:eastAsia="宋体"/>
          <w:b w:val="0"/>
          <w:sz w:val="24"/>
        </w:rPr>
      </w:r>
      <w:r>
        <w:rPr>
          <w:rFonts w:ascii="宋体" w:hAnsi="宋体" w:eastAsia="宋体"/>
          <w:b/>
          <w:sz w:val="24"/>
        </w:rPr>
        <w:t>第三，采用多方法三角验证，为政府数据开放评估提供了方法论示范。</w:t>
      </w:r>
      <w:r>
        <w:rPr>
          <w:rFonts w:ascii="宋体" w:hAnsi="宋体" w:eastAsia="宋体"/>
          <w:b w:val="0"/>
          <w:sz w:val="24"/>
        </w:rPr>
        <w:t xml:space="preserve"> 本研究综合运用TOPSIS、DEA、DEMATEL、fsQCA四种方法，从不同角度分析同一问题，形成了多方法三角验证。四种方法的结果相互印证、相互补充，增强了研究结论的稳健性和可信度。这种多方法集成设计超越了现有研究单一方法的局限，为复杂公共管理现象的评估提供了方法论参考。</w:t>
      </w:r>
    </w:p>
    <w:p>
      <w:r>
        <w:rPr>
          <w:rFonts w:ascii="宋体" w:hAnsi="宋体" w:eastAsia="宋体"/>
          <w:b w:val="0"/>
          <w:sz w:val="24"/>
        </w:rPr>
      </w:r>
      <w:r>
        <w:rPr>
          <w:rFonts w:ascii="宋体" w:hAnsi="宋体" w:eastAsia="宋体"/>
          <w:b/>
          <w:sz w:val="24"/>
        </w:rPr>
        <w:t>第四，基于组态分析设计了差异化对策，超越了"一刀切"的政策建议。</w:t>
      </w:r>
      <w:r>
        <w:rPr>
          <w:rFonts w:ascii="宋体" w:hAnsi="宋体" w:eastAsia="宋体"/>
          <w:b w:val="0"/>
          <w:sz w:val="24"/>
        </w:rPr>
        <w:t xml:space="preserve"> 本研究基于fsQCA识别的三条高绩效路径，设计了"技术驱动型""效率-区域型""生态协同型"三种差异化优化策略。这种"组态-对策"对应关系使政策建议更具针对性和可操作性，为分类施策提供了实证依据。这一研究思路对于公共政策领域的"因地制宜"原则提供了方法论支撑。</w:t>
      </w:r>
    </w:p>
    <w:p>
      <w:pPr>
        <w:pStyle w:val="Heading2"/>
      </w:pPr>
      <w:r>
        <w:t>8.3 实践启示</w:t>
      </w:r>
    </w:p>
    <w:p>
      <w:r>
        <w:rPr>
          <w:rFonts w:ascii="宋体" w:hAnsi="宋体" w:eastAsia="宋体"/>
          <w:b w:val="0"/>
          <w:sz w:val="24"/>
        </w:rPr>
        <w:t>本研究的实践启示主要体现在以下四个方面。</w:t>
      </w:r>
    </w:p>
    <w:p>
      <w:r>
        <w:rPr>
          <w:rFonts w:ascii="宋体" w:hAnsi="宋体" w:eastAsia="宋体"/>
          <w:b w:val="0"/>
          <w:sz w:val="24"/>
        </w:rPr>
      </w:r>
      <w:r>
        <w:rPr>
          <w:rFonts w:ascii="宋体" w:hAnsi="宋体" w:eastAsia="宋体"/>
          <w:b/>
          <w:sz w:val="24"/>
        </w:rPr>
        <w:t>第一，评估体系应引入效果导向指标，引导平台行为回归"有效供给"本质。</w:t>
      </w:r>
      <w:r>
        <w:rPr>
          <w:rFonts w:ascii="宋体" w:hAnsi="宋体" w:eastAsia="宋体"/>
          <w:b w:val="0"/>
          <w:sz w:val="24"/>
        </w:rPr>
        <w:t xml:space="preserve"> 建议在现有的评估体系中增加利用效果维度的权重，引入"有效数据集数量""口径一致性系数""应用成果数量"等效果导向指标，降低"数据目录数量"等数量导向指标的权重。通过评估体系的"指挥棒"作用，引导平台运营者从"追求开放数量"转向"追求利用效果"。</w:t>
      </w:r>
    </w:p>
    <w:p>
      <w:r>
        <w:rPr>
          <w:rFonts w:ascii="宋体" w:hAnsi="宋体" w:eastAsia="宋体"/>
          <w:b w:val="0"/>
          <w:sz w:val="24"/>
        </w:rPr>
      </w:r>
      <w:r>
        <w:rPr>
          <w:rFonts w:ascii="宋体" w:hAnsi="宋体" w:eastAsia="宋体"/>
          <w:b/>
          <w:sz w:val="24"/>
        </w:rPr>
        <w:t>第二，数据质量是绩效提升的"牛鼻子"，应建立三重质量保障机制。</w:t>
      </w:r>
      <w:r>
        <w:rPr>
          <w:rFonts w:ascii="宋体" w:hAnsi="宋体" w:eastAsia="宋体"/>
          <w:b w:val="0"/>
          <w:sz w:val="24"/>
        </w:rPr>
        <w:t xml:space="preserve"> 建议建立"上传前审查+上传后抽检+用户反馈纠错"的三重质量保障机制，制定统一的数据质量标准和元数据规范，推动各平台在数据格式、字段命名、编码规则等方面的标准化。数据质量的提升是改善利用效果的最直接、最有效的途径。</w:t>
      </w:r>
    </w:p>
    <w:p>
      <w:r>
        <w:rPr>
          <w:rFonts w:ascii="宋体" w:hAnsi="宋体" w:eastAsia="宋体"/>
          <w:b w:val="0"/>
          <w:sz w:val="24"/>
        </w:rPr>
      </w:r>
      <w:r>
        <w:rPr>
          <w:rFonts w:ascii="宋体" w:hAnsi="宋体" w:eastAsia="宋体"/>
          <w:b/>
          <w:sz w:val="24"/>
        </w:rPr>
        <w:t>第三，制度完善是绩效提升的"治本之策"，应加快数据开放法规政策体系建设。</w:t>
      </w:r>
      <w:r>
        <w:rPr>
          <w:rFonts w:ascii="宋体" w:hAnsi="宋体" w:eastAsia="宋体"/>
          <w:b w:val="0"/>
          <w:sz w:val="24"/>
        </w:rPr>
        <w:t xml:space="preserve"> 建议在国家层面出台《政府数据开放条例》，在地方层面完善数据开放管理办法，建立数据治理机构，制定数据质量标准，建立绩效考核机制。制度环境的完善是技术优化、服务改进、质量提升的基础保障。</w:t>
      </w:r>
    </w:p>
    <w:p>
      <w:r>
        <w:rPr>
          <w:rFonts w:ascii="宋体" w:hAnsi="宋体" w:eastAsia="宋体"/>
          <w:b w:val="0"/>
          <w:sz w:val="24"/>
        </w:rPr>
      </w:r>
      <w:r>
        <w:rPr>
          <w:rFonts w:ascii="宋体" w:hAnsi="宋体" w:eastAsia="宋体"/>
          <w:b/>
          <w:sz w:val="24"/>
        </w:rPr>
        <w:t>第四，分类施策是绩效优化的有效路径，应建立平台分类管理制度。</w:t>
      </w:r>
      <w:r>
        <w:rPr>
          <w:rFonts w:ascii="宋体" w:hAnsi="宋体" w:eastAsia="宋体"/>
          <w:b w:val="0"/>
          <w:sz w:val="24"/>
        </w:rPr>
        <w:t xml:space="preserve"> 建议根据平台的绩效水平和资源禀赋，将平台分为领先型、追赶型、起步型三类，制定差异化的发展目标、支持政策和考核标准。同时，建立东中西部平台之间的结对帮扶机制，推动区域间的数据标准统一、平台互联互通、应用成果共享。</w:t>
      </w:r>
    </w:p>
    <w:p>
      <w:pPr>
        <w:pStyle w:val="Heading2"/>
      </w:pPr>
      <w:r>
        <w:t>8.4 研究局限</w:t>
      </w:r>
    </w:p>
    <w:p>
      <w:r>
        <w:rPr>
          <w:rFonts w:ascii="宋体" w:hAnsi="宋体" w:eastAsia="宋体"/>
          <w:b w:val="0"/>
          <w:sz w:val="24"/>
        </w:rPr>
        <w:t>本研究存在以下局限，需要在后续研究中加以改进。</w:t>
      </w:r>
    </w:p>
    <w:p>
      <w:r>
        <w:rPr>
          <w:rFonts w:ascii="宋体" w:hAnsi="宋体" w:eastAsia="宋体"/>
          <w:b w:val="0"/>
          <w:sz w:val="24"/>
        </w:rPr>
      </w:r>
      <w:r>
        <w:rPr>
          <w:rFonts w:ascii="宋体" w:hAnsi="宋体" w:eastAsia="宋体"/>
          <w:b/>
          <w:sz w:val="24"/>
        </w:rPr>
        <w:t>第一，样本量有限。</w:t>
      </w:r>
      <w:r>
        <w:rPr>
          <w:rFonts w:ascii="宋体" w:hAnsi="宋体" w:eastAsia="宋体"/>
          <w:b w:val="0"/>
          <w:sz w:val="24"/>
        </w:rPr>
        <w:t xml:space="preserve"> 本研究仅包含28个省级平台，样本量相对较小，可能影响部分统计方法的稳健性（如fsQCA建议样本量大于30）。虽然28个样本覆盖了我国绝大多数建有独立平台的省级行政区，但研究结论的推广范围仍需谨慎对待。特别是，副省级和地市级平台未被纳入样本，这些平台的绩效特征可能与省级平台存在差异。</w:t>
      </w:r>
    </w:p>
    <w:p>
      <w:r>
        <w:rPr>
          <w:rFonts w:ascii="宋体" w:hAnsi="宋体" w:eastAsia="宋体"/>
          <w:b w:val="0"/>
          <w:sz w:val="24"/>
        </w:rPr>
      </w:r>
      <w:r>
        <w:rPr>
          <w:rFonts w:ascii="宋体" w:hAnsi="宋体" w:eastAsia="宋体"/>
          <w:b/>
          <w:sz w:val="24"/>
        </w:rPr>
        <w:t>第二，截面数据限制。</w:t>
      </w:r>
      <w:r>
        <w:rPr>
          <w:rFonts w:ascii="宋体" w:hAnsi="宋体" w:eastAsia="宋体"/>
          <w:b w:val="0"/>
          <w:sz w:val="24"/>
        </w:rPr>
        <w:t xml:space="preserve"> 本研究采用截面数据（2025年1-3月的数据），无法分析平台绩效的动态变化。开放数林指数提供了2017-2025年的时间序列数据，但本研究未充分利用这些数据进行纵向比较和趋势分析。后续研究可以构建面板数据模型，分析平台绩效的演化规律和影响因素的时间效应。</w:t>
      </w:r>
    </w:p>
    <w:p>
      <w:r>
        <w:rPr>
          <w:rFonts w:ascii="宋体" w:hAnsi="宋体" w:eastAsia="宋体"/>
          <w:b w:val="0"/>
          <w:sz w:val="24"/>
        </w:rPr>
      </w:r>
      <w:r>
        <w:rPr>
          <w:rFonts w:ascii="宋体" w:hAnsi="宋体" w:eastAsia="宋体"/>
          <w:b/>
          <w:sz w:val="24"/>
        </w:rPr>
        <w:t>第三，数据可得性约束。</w:t>
      </w:r>
      <w:r>
        <w:rPr>
          <w:rFonts w:ascii="宋体" w:hAnsi="宋体" w:eastAsia="宋体"/>
          <w:b w:val="0"/>
          <w:sz w:val="24"/>
        </w:rPr>
        <w:t xml:space="preserve"> 部分关键指标（如下载量、API调用量、用户访问量）多数平台未公开，本研究采用爬虫采集和插补方法获取这些数据，可能存在一定的测量误差。虽然本研究采取了数据质量控制措施，但数据可得性的约束仍对评估结果的精确性产生影响。</w:t>
      </w:r>
    </w:p>
    <w:p>
      <w:r>
        <w:rPr>
          <w:rFonts w:ascii="宋体" w:hAnsi="宋体" w:eastAsia="宋体"/>
          <w:b w:val="0"/>
          <w:sz w:val="24"/>
        </w:rPr>
      </w:r>
      <w:r>
        <w:rPr>
          <w:rFonts w:ascii="宋体" w:hAnsi="宋体" w:eastAsia="宋体"/>
          <w:b/>
          <w:sz w:val="24"/>
        </w:rPr>
        <w:t>第四，方法局限性。</w:t>
      </w:r>
      <w:r>
        <w:rPr>
          <w:rFonts w:ascii="宋体" w:hAnsi="宋体" w:eastAsia="宋体"/>
          <w:b w:val="0"/>
          <w:sz w:val="24"/>
        </w:rPr>
        <w:t xml:space="preserve"> TOPSIS方法对指标权重敏感，权重设定的偏差会直接影响排序结果；DEA方法对投入产出指标的选择敏感，不同的指标组合可能产生不同的效率结果；fsQCA方法的样本量临界问题（28个样本处于临界状态）可能影响结果的稳健性；DEMATEL方法依赖于专家评分，专家的主观判断可能影响因果关系的识别。虽然本研究通过多方法三角验证增强了结论的稳健性，但单一方法的局限性仍需在研究结论的解释中予以说明。</w:t>
      </w:r>
    </w:p>
    <w:p>
      <w:r>
        <w:rPr>
          <w:rFonts w:ascii="宋体" w:hAnsi="宋体" w:eastAsia="宋体"/>
          <w:b w:val="0"/>
          <w:sz w:val="24"/>
        </w:rPr>
      </w:r>
      <w:r>
        <w:rPr>
          <w:rFonts w:ascii="宋体" w:hAnsi="宋体" w:eastAsia="宋体"/>
          <w:b/>
          <w:sz w:val="24"/>
        </w:rPr>
        <w:t>第五，缺乏用户视角的需求侧评估。</w:t>
      </w:r>
      <w:r>
        <w:rPr>
          <w:rFonts w:ascii="宋体" w:hAnsi="宋体" w:eastAsia="宋体"/>
          <w:b w:val="0"/>
          <w:sz w:val="24"/>
        </w:rPr>
        <w:t xml:space="preserve"> 本研究的评估主要基于平台供给数据和客观指标，缺乏对数据用户（如企业、开发者、研究人员）的需求和体验的直接测量。用户满意度、需求匹配度、使用障碍等需求侧指标未被纳入评估体系，可能导致评估结果与用户真实体验之间存在偏差。</w:t>
      </w:r>
    </w:p>
    <w:p>
      <w:pPr>
        <w:pStyle w:val="Heading2"/>
      </w:pPr>
      <w:r>
        <w:t>8.5 未来展望</w:t>
      </w:r>
    </w:p>
    <w:p>
      <w:r>
        <w:rPr>
          <w:rFonts w:ascii="宋体" w:hAnsi="宋体" w:eastAsia="宋体"/>
          <w:b w:val="0"/>
          <w:sz w:val="24"/>
        </w:rPr>
        <w:t>基于上述研究局限，本研究提出以下未来研究方向。</w:t>
      </w:r>
    </w:p>
    <w:p>
      <w:r>
        <w:rPr>
          <w:rFonts w:ascii="宋体" w:hAnsi="宋体" w:eastAsia="宋体"/>
          <w:b w:val="0"/>
          <w:sz w:val="24"/>
        </w:rPr>
      </w:r>
      <w:r>
        <w:rPr>
          <w:rFonts w:ascii="宋体" w:hAnsi="宋体" w:eastAsia="宋体"/>
          <w:b/>
          <w:sz w:val="24"/>
        </w:rPr>
        <w:t>第一，扩大样本范围，开展多层次比较研究。</w:t>
      </w:r>
      <w:r>
        <w:rPr>
          <w:rFonts w:ascii="宋体" w:hAnsi="宋体" w:eastAsia="宋体"/>
          <w:b w:val="0"/>
          <w:sz w:val="24"/>
        </w:rPr>
        <w:t xml:space="preserve"> 将副省级和地市级平台纳入样本，构建"省级-副省级-地市级"的多层次比较研究框架，分析不同层级平台在绩效水平、影响因素、优化路径方面的差异。同时，开展国际比较研究，将我国平台与欧美日韩等国家的平台进行对标分析，识别我国平台的优势和短板。</w:t>
      </w:r>
    </w:p>
    <w:p>
      <w:r>
        <w:rPr>
          <w:rFonts w:ascii="宋体" w:hAnsi="宋体" w:eastAsia="宋体"/>
          <w:b w:val="0"/>
          <w:sz w:val="24"/>
        </w:rPr>
      </w:r>
      <w:r>
        <w:rPr>
          <w:rFonts w:ascii="宋体" w:hAnsi="宋体" w:eastAsia="宋体"/>
          <w:b/>
          <w:sz w:val="24"/>
        </w:rPr>
        <w:t>第二，构建面板数据，开展动态演化分析。</w:t>
      </w:r>
      <w:r>
        <w:rPr>
          <w:rFonts w:ascii="宋体" w:hAnsi="宋体" w:eastAsia="宋体"/>
          <w:b w:val="0"/>
          <w:sz w:val="24"/>
        </w:rPr>
        <w:t xml:space="preserve"> 利用开放数林指数2017-2025年的时间序列数据，结合本研究采集的截面数据，构建面板数据集，运用动态面板模型、事件研究法等方法，分析平台绩效的演化规律、政策冲击效应和追赶路径。特别是，可以分析2015年《促进大数据发展行动纲要》、2020年数据要素化政策、2023年国家数据局成立等重大政策事件对平台绩效的影响。</w:t>
      </w:r>
    </w:p>
    <w:p>
      <w:r>
        <w:rPr>
          <w:rFonts w:ascii="宋体" w:hAnsi="宋体" w:eastAsia="宋体"/>
          <w:b w:val="0"/>
          <w:sz w:val="24"/>
        </w:rPr>
      </w:r>
      <w:r>
        <w:rPr>
          <w:rFonts w:ascii="宋体" w:hAnsi="宋体" w:eastAsia="宋体"/>
          <w:b/>
          <w:sz w:val="24"/>
        </w:rPr>
        <w:t>第三，引入用户视角，开展需求侧评估。</w:t>
      </w:r>
      <w:r>
        <w:rPr>
          <w:rFonts w:ascii="宋体" w:hAnsi="宋体" w:eastAsia="宋体"/>
          <w:b w:val="0"/>
          <w:sz w:val="24"/>
        </w:rPr>
        <w:t xml:space="preserve"> 通过问卷调查、深度访谈、用户行为分析等方法，直接从数据用户的角度评估平台绩效，测量用户满意度、需求匹配度、使用障碍、改进建议等需求侧指标。将需求侧评估与供给侧评估相结合，形成更为全面的评估视角。</w:t>
      </w:r>
    </w:p>
    <w:p>
      <w:r>
        <w:rPr>
          <w:rFonts w:ascii="宋体" w:hAnsi="宋体" w:eastAsia="宋体"/>
          <w:b w:val="0"/>
          <w:sz w:val="24"/>
        </w:rPr>
      </w:r>
      <w:r>
        <w:rPr>
          <w:rFonts w:ascii="宋体" w:hAnsi="宋体" w:eastAsia="宋体"/>
          <w:b/>
          <w:sz w:val="24"/>
        </w:rPr>
        <w:t>第四，探索AI辅助评估方法。</w:t>
      </w:r>
      <w:r>
        <w:rPr>
          <w:rFonts w:ascii="宋体" w:hAnsi="宋体" w:eastAsia="宋体"/>
          <w:b w:val="0"/>
          <w:sz w:val="24"/>
        </w:rPr>
        <w:t xml:space="preserve"> 随着人工智能技术的发展，可以探索利用大语言模型（LLM）、机器学习等方法辅助数据开放评估。例如，利用LLM自动提取和解析数据集的元数据信息，利用机器学习模型预测数据集的潜在利用价值，利用自然语言处理技术分析用户反馈中的情感倾向和改进建议。AI辅助评估有望提高评估的效率、客观性和预测能力。</w:t>
      </w:r>
    </w:p>
    <w:p>
      <w:r>
        <w:rPr>
          <w:rFonts w:ascii="宋体" w:hAnsi="宋体" w:eastAsia="宋体"/>
          <w:b w:val="0"/>
          <w:sz w:val="24"/>
        </w:rPr>
      </w:r>
      <w:r>
        <w:rPr>
          <w:rFonts w:ascii="宋体" w:hAnsi="宋体" w:eastAsia="宋体"/>
          <w:b/>
          <w:sz w:val="24"/>
        </w:rPr>
        <w:t>第五，深化授权运营评估研究。</w:t>
      </w:r>
      <w:r>
        <w:rPr>
          <w:rFonts w:ascii="宋体" w:hAnsi="宋体" w:eastAsia="宋体"/>
          <w:b w:val="0"/>
          <w:sz w:val="24"/>
        </w:rPr>
        <w:t xml:space="preserve"> 随着公共数据授权运营从"试点"走向"规范"，授权运营在数据利用中的比重将持续提升。后续研究可以专门设计授权运营的评估指标体系，分析授权运营对平台整体绩效的贡献，探索授权运营与直接开放的协同机制，为授权运营的规范化发展提供评估工具和理论支撑。</w:t>
      </w:r>
    </w:p>
    <w:p>
      <w:r>
        <w:rPr>
          <w:rFonts w:ascii="宋体" w:hAnsi="宋体" w:eastAsia="宋体"/>
          <w:b w:val="0"/>
          <w:sz w:val="24"/>
        </w:rPr>
      </w:r>
      <w:r>
        <w:rPr>
          <w:rFonts w:ascii="宋体" w:hAnsi="宋体" w:eastAsia="宋体"/>
          <w:b/>
          <w:sz w:val="24"/>
        </w:rPr>
        <w:t>第六，开展无平台省份的反向案例研究。</w:t>
      </w:r>
      <w:r>
        <w:rPr>
          <w:rFonts w:ascii="宋体" w:hAnsi="宋体" w:eastAsia="宋体"/>
          <w:b w:val="0"/>
          <w:sz w:val="24"/>
        </w:rPr>
        <w:t xml:space="preserve"> 青海、甘肃、西藏三个省份尚未建立独立的数据开放平台，其"无平台"状态本身就是一个值得深入研究的现象。后续研究可以采用案例研究方法，分析这三个省份未建平台的原因（是经济条件限制、制度意愿不足、还是数据资源匮乏？），为其他潜在的"无平台"地区提供参考，也为全国层面的平台布局优化提供决策依据。</w:t>
      </w:r>
    </w:p>
    <w:p>
      <w:pPr>
        <w:pStyle w:val="Heading2"/>
      </w:pPr>
      <w:r>
        <w:t>参考文献</w:t>
      </w:r>
    </w:p>
    <w:p>
      <w:pPr>
        <w:pStyle w:val="Heading3"/>
      </w:pPr>
      <w:r>
        <w:t>中文文献</w:t>
      </w:r>
    </w:p>
    <w:p>
      <w:r>
        <w:rPr>
          <w:rFonts w:ascii="宋体" w:hAnsi="宋体" w:eastAsia="宋体"/>
          <w:b w:val="0"/>
          <w:sz w:val="24"/>
        </w:rPr>
        <w:t>[1] 蔡昉, 顾海良, 韩保江, 等. 经济研究[J]. 经济研究, 2024.</w:t>
      </w:r>
    </w:p>
    <w:p>
      <w:r>
        <w:rPr>
          <w:rFonts w:ascii="宋体" w:hAnsi="宋体" w:eastAsia="宋体"/>
          <w:b w:val="0"/>
          <w:sz w:val="24"/>
        </w:rPr>
        <w:t>[2] 国务院办公厅. 促进大数据发展行动纲要[Z]. 2015.</w:t>
      </w:r>
    </w:p>
    <w:p>
      <w:r>
        <w:rPr>
          <w:rFonts w:ascii="宋体" w:hAnsi="宋体" w:eastAsia="宋体"/>
          <w:b w:val="0"/>
          <w:sz w:val="24"/>
        </w:rPr>
        <w:t>[3] 国务院办公厅. 政务信息资源共享管理暂行办法[Z]. 2016.</w:t>
      </w:r>
    </w:p>
    <w:p>
      <w:r>
        <w:rPr>
          <w:rFonts w:ascii="宋体" w:hAnsi="宋体" w:eastAsia="宋体"/>
          <w:b w:val="0"/>
          <w:sz w:val="24"/>
        </w:rPr>
        <w:t>[4] 国务院办公厅. 科学数据管理办法[Z]. 2018.</w:t>
      </w:r>
    </w:p>
    <w:p>
      <w:r>
        <w:rPr>
          <w:rFonts w:ascii="宋体" w:hAnsi="宋体" w:eastAsia="宋体"/>
          <w:b w:val="0"/>
          <w:sz w:val="24"/>
        </w:rPr>
        <w:t>[5] 中共中央, 国务院. 关于构建更加完善的要素市场化配置体制机制的意见[Z]. 2020.</w:t>
      </w:r>
    </w:p>
    <w:p>
      <w:r>
        <w:rPr>
          <w:rFonts w:ascii="宋体" w:hAnsi="宋体" w:eastAsia="宋体"/>
          <w:b w:val="0"/>
          <w:sz w:val="24"/>
        </w:rPr>
        <w:t>[6] 全国人民代表大会. 中华人民共和国数据安全法[Z]. 2021.</w:t>
      </w:r>
    </w:p>
    <w:p>
      <w:r>
        <w:rPr>
          <w:rFonts w:ascii="宋体" w:hAnsi="宋体" w:eastAsia="宋体"/>
          <w:b w:val="0"/>
          <w:sz w:val="24"/>
        </w:rPr>
        <w:t>[7] 中共中央, 国务院. 关于构建数据基础制度更好发挥数据要素作用的意见（"数据二十条"）[Z]. 2022.</w:t>
      </w:r>
    </w:p>
    <w:p>
      <w:r>
        <w:rPr>
          <w:rFonts w:ascii="宋体" w:hAnsi="宋体" w:eastAsia="宋体"/>
          <w:b w:val="0"/>
          <w:sz w:val="24"/>
        </w:rPr>
        <w:t>[8] 国家数据局. 关于加强数据资产管理的指导意见[Z]. 2024.</w:t>
      </w:r>
    </w:p>
    <w:p>
      <w:r>
        <w:rPr>
          <w:rFonts w:ascii="宋体" w:hAnsi="宋体" w:eastAsia="宋体"/>
          <w:b w:val="0"/>
          <w:sz w:val="24"/>
        </w:rPr>
        <w:t>[9] 国务院办公厅. 公共数据资源授权运营实施规范（征求意见稿）[Z]. 2025.</w:t>
      </w:r>
    </w:p>
    <w:p>
      <w:r>
        <w:rPr>
          <w:rFonts w:ascii="宋体" w:hAnsi="宋体" w:eastAsia="宋体"/>
          <w:b w:val="0"/>
          <w:sz w:val="24"/>
        </w:rPr>
        <w:t>[10] 郑磊, 等. 中国开放数林指数报告[R]. 复旦大学数字与移动治理实验室, 2017-2025.</w:t>
      </w:r>
    </w:p>
    <w:p>
      <w:r>
        <w:rPr>
          <w:rFonts w:ascii="宋体" w:hAnsi="宋体" w:eastAsia="宋体"/>
          <w:b w:val="0"/>
          <w:sz w:val="24"/>
        </w:rPr>
        <w:t>[11] 黄璜. 数字治理的范式转型[J]. 中国行政管理, 2024.</w:t>
      </w:r>
    </w:p>
    <w:p>
      <w:r>
        <w:rPr>
          <w:rFonts w:ascii="宋体" w:hAnsi="宋体" w:eastAsia="宋体"/>
          <w:b w:val="0"/>
          <w:sz w:val="24"/>
        </w:rPr>
        <w:t>[12] 张会平, 等. 公共数据授权运营的模式创新与风险治理[J]. 情报学报, 2024.</w:t>
      </w:r>
    </w:p>
    <w:p>
      <w:r>
        <w:rPr>
          <w:rFonts w:ascii="宋体" w:hAnsi="宋体" w:eastAsia="宋体"/>
          <w:b w:val="0"/>
          <w:sz w:val="24"/>
        </w:rPr>
        <w:t>[13] 翟云, 等. 数据要素化配置与数字政府建设[J]. 电子政务, 2024.</w:t>
      </w:r>
    </w:p>
    <w:p>
      <w:r>
        <w:rPr>
          <w:rFonts w:ascii="宋体" w:hAnsi="宋体" w:eastAsia="宋体"/>
          <w:b w:val="0"/>
          <w:sz w:val="24"/>
        </w:rPr>
        <w:t>[14] 周文泓, 吴琼, 田欣, 等. 现代情报[J]. 现代情报, 2022.</w:t>
      </w:r>
    </w:p>
    <w:p>
      <w:r>
        <w:rPr>
          <w:rFonts w:ascii="宋体" w:hAnsi="宋体" w:eastAsia="宋体"/>
          <w:b w:val="0"/>
          <w:sz w:val="24"/>
        </w:rPr>
        <w:t>[15] 解志勇. 比较法研究[J]. 比较法研究, 2023.</w:t>
      </w:r>
    </w:p>
    <w:p>
      <w:r>
        <w:rPr>
          <w:rFonts w:ascii="宋体" w:hAnsi="宋体" w:eastAsia="宋体"/>
          <w:b w:val="0"/>
          <w:sz w:val="24"/>
        </w:rPr>
        <w:t>[16] 张涛, 崔文波, 刘硕, 等. 信息资源管理学报[J]. 信息资源管理学报, 2022.</w:t>
      </w:r>
    </w:p>
    <w:p>
      <w:r>
        <w:rPr>
          <w:rFonts w:ascii="宋体" w:hAnsi="宋体" w:eastAsia="宋体"/>
          <w:b w:val="0"/>
          <w:sz w:val="24"/>
        </w:rPr>
        <w:t>[17] 丁先存, 等. 政府数据开放的法规保障、组织推进和技术支撑[J]. 中国行政管理, 2023.</w:t>
      </w:r>
    </w:p>
    <w:p>
      <w:r>
        <w:rPr>
          <w:rFonts w:ascii="宋体" w:hAnsi="宋体" w:eastAsia="宋体"/>
          <w:b w:val="0"/>
          <w:sz w:val="24"/>
        </w:rPr>
        <w:t>[18] 黄国平. 经济管理[J]. 经济管理, 2023.</w:t>
      </w:r>
    </w:p>
    <w:p>
      <w:pPr>
        <w:pStyle w:val="Heading3"/>
      </w:pPr>
      <w:r>
        <w:t>英文文献</w:t>
      </w:r>
    </w:p>
    <w:p>
      <w:r>
        <w:rPr>
          <w:rFonts w:ascii="宋体" w:hAnsi="宋体" w:eastAsia="宋体"/>
          <w:b w:val="0"/>
          <w:sz w:val="24"/>
        </w:rPr>
        <w:t>[19] Moore M H. Creating Public Value: Strategic Management in Government[M]. Harvard University Press, 1995.</w:t>
      </w:r>
    </w:p>
    <w:p>
      <w:r>
        <w:rPr>
          <w:rFonts w:ascii="宋体" w:hAnsi="宋体" w:eastAsia="宋体"/>
          <w:b w:val="0"/>
          <w:sz w:val="24"/>
        </w:rPr>
        <w:t>[20] Tornatzky L G, Fleischer M. The Processes of Technological Innovation[M]. Lexington Books, 1990.</w:t>
      </w:r>
    </w:p>
    <w:p>
      <w:r>
        <w:rPr>
          <w:rFonts w:ascii="宋体" w:hAnsi="宋体" w:eastAsia="宋体"/>
          <w:b w:val="0"/>
          <w:sz w:val="24"/>
        </w:rPr>
        <w:t>[21] Ragin C C. Redesigning Social Inquiry: Fuzzy Sets and Beyond[M]. University of Chicago Press, 2008.</w:t>
      </w:r>
    </w:p>
    <w:p>
      <w:r>
        <w:rPr>
          <w:rFonts w:ascii="宋体" w:hAnsi="宋体" w:eastAsia="宋体"/>
          <w:b w:val="0"/>
          <w:sz w:val="24"/>
        </w:rPr>
        <w:t>[22] Hwang C L, Yoon K. Multiple Attribute Decision Making: Methods and Applications[M]. Springer, 1981.</w:t>
      </w:r>
    </w:p>
    <w:p>
      <w:r>
        <w:rPr>
          <w:rFonts w:ascii="宋体" w:hAnsi="宋体" w:eastAsia="宋体"/>
          <w:b w:val="0"/>
          <w:sz w:val="24"/>
        </w:rPr>
        <w:t>[23] Banker R D, Charnes A, Cooper W W. Some models for estimating technical and scale inefficiencies in data envelopment analysis[J]. Management Science, 1984, 30(9): 1078-1092.</w:t>
      </w:r>
    </w:p>
    <w:p>
      <w:r>
        <w:rPr>
          <w:rFonts w:ascii="宋体" w:hAnsi="宋体" w:eastAsia="宋体"/>
          <w:b w:val="0"/>
          <w:sz w:val="24"/>
        </w:rPr>
        <w:t>[24] Gabus A, Fontela E. World Problems, an Invitation to Further Thought within the Framework of DEMATEL[R]. Battelle Geneva Research Center, 1972.</w:t>
      </w:r>
    </w:p>
    <w:p>
      <w:r>
        <w:rPr>
          <w:rFonts w:ascii="宋体" w:hAnsi="宋体" w:eastAsia="宋体"/>
          <w:b w:val="0"/>
          <w:sz w:val="24"/>
        </w:rPr>
        <w:t>[25] Ubaldi B. Open Government Data: Towards Empirical Analysis of Open Government Data Initiatives[R]. OECD Working Papers on Public Governance, 2013.</w:t>
      </w:r>
    </w:p>
    <w:p>
      <w:r>
        <w:rPr>
          <w:rFonts w:ascii="宋体" w:hAnsi="宋体" w:eastAsia="宋体"/>
          <w:b w:val="0"/>
          <w:sz w:val="24"/>
        </w:rPr>
        <w:t>[26] Jetzek T, Avital M, Bjørn-Andersen N. Data-driven innovation through open government data[J]. Journal of Theoretical and Applied Electronic Commerce Research, 2014, 9(2): 100-120.</w:t>
      </w:r>
    </w:p>
    <w:p>
      <w:r>
        <w:rPr>
          <w:rFonts w:ascii="宋体" w:hAnsi="宋体" w:eastAsia="宋体"/>
          <w:b w:val="0"/>
          <w:sz w:val="24"/>
        </w:rPr>
        <w:t>[27] Martin S, Foulonneau M, Turki S, et al. Risk analysis to overcome barriers to open data[J]. Electronic Journal of e-Government, 2013, 11(1): 348-359.</w:t>
      </w:r>
    </w:p>
    <w:p>
      <w:r>
        <w:rPr>
          <w:rFonts w:ascii="宋体" w:hAnsi="宋体" w:eastAsia="宋体"/>
          <w:b w:val="0"/>
          <w:sz w:val="24"/>
        </w:rPr>
        <w:t>[28] Zuiderwijk A, Janssen M, Choenni S, et al. Socio-technical impediments of open data[J]. Electronic Journal of e-Government, 2012, 10(2): 156-172.</w:t>
      </w:r>
    </w:p>
    <w:p>
      <w:r>
        <w:rPr>
          <w:rFonts w:ascii="宋体" w:hAnsi="宋体" w:eastAsia="宋体"/>
          <w:b w:val="0"/>
          <w:sz w:val="24"/>
        </w:rPr>
        <w:t>[29] Safarov I, Meijer A, Grimmelikhuijsen S. Utilization of open government data: A systematic literature review of types, conditions, expectations and effects[J]. Government Information Quarterly, 2017, 34(3): 495-507.</w:t>
      </w:r>
    </w:p>
    <w:p>
      <w:r>
        <w:rPr>
          <w:rFonts w:ascii="宋体" w:hAnsi="宋体" w:eastAsia="宋体"/>
          <w:b w:val="0"/>
          <w:sz w:val="24"/>
        </w:rPr>
        <w:t>[30] Ruijer E, Grimmelikhuijsen S, Meijer A. Open data for democracy: Developing a theoretical framework for open data use[J]. Government Information Quarterly, 2017, 34(1): 45-52.</w:t>
      </w:r>
    </w:p>
    <w:p>
      <w:r>
        <w:rPr>
          <w:rFonts w:ascii="宋体" w:hAnsi="宋体" w:eastAsia="宋体"/>
          <w:b w:val="0"/>
          <w:sz w:val="24"/>
        </w:rPr>
        <w:t>[31] Liu Y, Li H, Kostakos V. Open government data: Challenges and opportunities[J]. Information Polity, 2020, 25(4): 425-441.</w:t>
      </w:r>
    </w:p>
    <w:p>
      <w:r>
        <w:rPr>
          <w:rFonts w:ascii="宋体" w:hAnsi="宋体" w:eastAsia="宋体"/>
          <w:b w:val="0"/>
          <w:sz w:val="24"/>
        </w:rPr>
        <w:t>[32] Wang R Y, Strong D M. Beyond accuracy: What data quality means to data consumers[J]. Journal of Management Information Systems, 1996, 12(4): 5-33.</w:t>
      </w:r>
    </w:p>
    <w:p>
      <w:r>
        <w:rPr>
          <w:rFonts w:ascii="宋体" w:hAnsi="宋体" w:eastAsia="宋体"/>
          <w:b w:val="0"/>
          <w:sz w:val="24"/>
        </w:rPr>
        <w:t>[33] Yu H, Robinson D G. The new ambiguity of "open government"[J]. UCLA Law Review Discourse, 2012, 59: 178-208.</w:t>
      </w:r>
    </w:p>
    <w:p>
      <w:r>
        <w:rPr>
          <w:rFonts w:ascii="宋体" w:hAnsi="宋体" w:eastAsia="宋体"/>
          <w:b w:val="0"/>
          <w:sz w:val="24"/>
        </w:rPr>
        <w:t>[34] Davies T. Open data, democracy and public sector reform[R]. University of Oxford, 2010.</w:t>
      </w:r>
    </w:p>
    <w:p>
      <w:r>
        <w:rPr>
          <w:rFonts w:ascii="宋体" w:hAnsi="宋体" w:eastAsia="宋体"/>
          <w:b w:val="0"/>
          <w:sz w:val="24"/>
        </w:rPr>
        <w:t>[35] Attard J, Orlandi F, Scerri S, et al. A systematic review of open government data initiatives[J]. Government Information Quarterly, 2015, 32(4): 399-418.</w:t>
      </w:r>
    </w:p>
    <w:p>
      <w:r>
        <w:rPr>
          <w:rFonts w:ascii="宋体" w:hAnsi="宋体" w:eastAsia="宋体"/>
          <w:b w:val="0"/>
          <w:sz w:val="24"/>
        </w:rPr>
        <w:t>[36] Osborne S P, Brown K. Towards a new theory of public service co-production[J]. Routledge, 2013.</w:t>
      </w:r>
    </w:p>
    <w:p>
      <w:r>
        <w:rPr>
          <w:rFonts w:ascii="宋体" w:hAnsi="宋体" w:eastAsia="宋体"/>
          <w:b w:val="0"/>
          <w:sz w:val="24"/>
        </w:rPr>
        <w:t>[37] Kratz J, Nurnberger A. Open data: A review of its current state and potential[J]. ACM Computing Surveys, 2017, 50(4): 1-36.</w:t>
      </w:r>
    </w:p>
    <w:p>
      <w:r>
        <w:rPr>
          <w:rFonts w:ascii="宋体" w:hAnsi="宋体" w:eastAsia="宋体"/>
          <w:b w:val="0"/>
          <w:sz w:val="24"/>
        </w:rPr>
        <w:t>[38] Sieber R E, Johnson P A. Civic open data at a crossroads: Dominant models and current challenges[J]. Government Information Quarterly, 2015, 32(3): 308-315.</w:t>
      </w:r>
    </w:p>
    <w:p>
      <w:r>
        <w:rPr>
          <w:rFonts w:ascii="宋体" w:hAnsi="宋体" w:eastAsia="宋体"/>
          <w:b w:val="0"/>
          <w:sz w:val="24"/>
        </w:rPr>
        <w:t>[39] Sayogo D S, Pardo T A, Cook M E. A conceptual framework for creating public value through open data initiatives[C]. Proceedings of the 12th Annual International Conference on Digital Government Research, 2011.</w:t>
      </w:r>
    </w:p>
    <w:p>
      <w:r>
        <w:rPr>
          <w:rFonts w:ascii="宋体" w:hAnsi="宋体" w:eastAsia="宋体"/>
          <w:b w:val="0"/>
          <w:sz w:val="24"/>
        </w:rPr>
        <w:t>[40] Lassinantiti G, Söderström J, Miko?ajczyk K. Open data as a catalyst for public sector innovation[J]. Innovation Journal, 2019, 24(1): 1-20.</w:t>
      </w:r>
    </w:p>
    <w:p>
      <w:pPr>
        <w:pStyle w:val="Heading2"/>
      </w:pPr>
      <w:r>
        <w:t>附录</w:t>
      </w:r>
    </w:p>
    <w:p>
      <w:pPr>
        <w:pStyle w:val="Heading3"/>
      </w:pPr>
      <w:r>
        <w:t>附录A：28个省级平台基本信息一览表</w:t>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pPr>
              <w:jc w:val="center"/>
            </w:pPr>
            <w:r>
              <w:rPr>
                <w:rFonts w:ascii="宋体" w:hAnsi="宋体" w:eastAsia="宋体"/>
                <w:b w:val="0"/>
                <w:sz w:val="20"/>
              </w:rPr>
              <w:t>序号</w:t>
            </w:r>
          </w:p>
        </w:tc>
        <w:tc>
          <w:tcPr>
            <w:tcW w:type="dxa" w:w="924"/>
          </w:tcPr>
          <w:p>
            <w:pPr>
              <w:jc w:val="center"/>
            </w:pPr>
            <w:r>
              <w:rPr>
                <w:rFonts w:ascii="宋体" w:hAnsi="宋体" w:eastAsia="宋体"/>
                <w:b w:val="0"/>
                <w:sz w:val="20"/>
              </w:rPr>
              <w:t>省份</w:t>
            </w:r>
          </w:p>
        </w:tc>
        <w:tc>
          <w:tcPr>
            <w:tcW w:type="dxa" w:w="924"/>
          </w:tcPr>
          <w:p>
            <w:pPr>
              <w:jc w:val="center"/>
            </w:pPr>
            <w:r>
              <w:rPr>
                <w:rFonts w:ascii="宋体" w:hAnsi="宋体" w:eastAsia="宋体"/>
                <w:b w:val="0"/>
                <w:sz w:val="20"/>
              </w:rPr>
              <w:t>平台名称</w:t>
            </w:r>
          </w:p>
        </w:tc>
        <w:tc>
          <w:tcPr>
            <w:tcW w:type="dxa" w:w="924"/>
          </w:tcPr>
          <w:p>
            <w:pPr>
              <w:jc w:val="center"/>
            </w:pPr>
            <w:r>
              <w:rPr>
                <w:rFonts w:ascii="宋体" w:hAnsi="宋体" w:eastAsia="宋体"/>
                <w:b w:val="0"/>
                <w:sz w:val="20"/>
              </w:rPr>
              <w:t>上线时间</w:t>
            </w:r>
          </w:p>
        </w:tc>
        <w:tc>
          <w:tcPr>
            <w:tcW w:type="dxa" w:w="924"/>
          </w:tcPr>
          <w:p>
            <w:pPr>
              <w:jc w:val="center"/>
            </w:pPr>
            <w:r>
              <w:rPr>
                <w:rFonts w:ascii="宋体" w:hAnsi="宋体" w:eastAsia="宋体"/>
                <w:b w:val="0"/>
                <w:sz w:val="20"/>
              </w:rPr>
              <w:t>运营主体</w:t>
            </w:r>
          </w:p>
        </w:tc>
        <w:tc>
          <w:tcPr>
            <w:tcW w:type="dxa" w:w="924"/>
          </w:tcPr>
          <w:p>
            <w:pPr>
              <w:jc w:val="center"/>
            </w:pPr>
            <w:r>
              <w:rPr>
                <w:rFonts w:ascii="宋体" w:hAnsi="宋体" w:eastAsia="宋体"/>
                <w:b w:val="0"/>
                <w:sz w:val="20"/>
              </w:rPr>
              <w:t>技术架构</w:t>
            </w:r>
          </w:p>
        </w:tc>
        <w:tc>
          <w:tcPr>
            <w:tcW w:type="dxa" w:w="924"/>
          </w:tcPr>
          <w:p>
            <w:pPr>
              <w:jc w:val="center"/>
            </w:pPr>
            <w:r>
              <w:rPr>
                <w:rFonts w:ascii="宋体" w:hAnsi="宋体" w:eastAsia="宋体"/>
                <w:b w:val="0"/>
                <w:sz w:val="20"/>
              </w:rPr>
              <w:t>数据集数量</w:t>
            </w:r>
          </w:p>
        </w:tc>
        <w:tc>
          <w:tcPr>
            <w:tcW w:type="dxa" w:w="924"/>
          </w:tcPr>
          <w:p>
            <w:pPr>
              <w:jc w:val="center"/>
            </w:pPr>
            <w:r>
              <w:rPr>
                <w:rFonts w:ascii="宋体" w:hAnsi="宋体" w:eastAsia="宋体"/>
                <w:b w:val="0"/>
                <w:sz w:val="20"/>
              </w:rPr>
              <w:t>有效数据集数量</w:t>
            </w:r>
          </w:p>
        </w:tc>
        <w:tc>
          <w:tcPr>
            <w:tcW w:type="dxa" w:w="924"/>
          </w:tcPr>
          <w:p>
            <w:pPr>
              <w:jc w:val="center"/>
            </w:pPr>
            <w:r>
              <w:rPr>
                <w:rFonts w:ascii="宋体" w:hAnsi="宋体" w:eastAsia="宋体"/>
                <w:b w:val="0"/>
                <w:sz w:val="20"/>
              </w:rPr>
              <w:t>口径一致性系数</w:t>
            </w:r>
          </w:p>
        </w:tc>
      </w:tr>
      <w:tr>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浙江</w:t>
            </w:r>
          </w:p>
        </w:tc>
        <w:tc>
          <w:tcPr>
            <w:tcW w:type="dxa" w:w="924"/>
          </w:tcPr>
          <w:p>
            <w:pPr>
              <w:jc w:val="center"/>
            </w:pPr>
            <w:r>
              <w:rPr>
                <w:rFonts w:ascii="宋体" w:hAnsi="宋体" w:eastAsia="宋体"/>
                <w:b w:val="0"/>
                <w:sz w:val="20"/>
              </w:rPr>
              <w:t>浙江数据开放</w:t>
            </w:r>
          </w:p>
        </w:tc>
        <w:tc>
          <w:tcPr>
            <w:tcW w:type="dxa" w:w="924"/>
          </w:tcPr>
          <w:p>
            <w:pPr>
              <w:jc w:val="center"/>
            </w:pPr>
            <w:r>
              <w:rPr>
                <w:rFonts w:ascii="宋体" w:hAnsi="宋体" w:eastAsia="宋体"/>
                <w:b w:val="0"/>
                <w:sz w:val="20"/>
              </w:rPr>
              <w:t>2015</w:t>
            </w:r>
          </w:p>
        </w:tc>
        <w:tc>
          <w:tcPr>
            <w:tcW w:type="dxa" w:w="924"/>
          </w:tcPr>
          <w:p>
            <w:pPr>
              <w:jc w:val="center"/>
            </w:pPr>
            <w:r>
              <w:rPr>
                <w:rFonts w:ascii="宋体" w:hAnsi="宋体" w:eastAsia="宋体"/>
                <w:b w:val="0"/>
                <w:sz w:val="20"/>
              </w:rPr>
              <w:t>省大数据局</w:t>
            </w:r>
          </w:p>
        </w:tc>
        <w:tc>
          <w:tcPr>
            <w:tcW w:type="dxa" w:w="924"/>
          </w:tcPr>
          <w:p>
            <w:pPr>
              <w:jc w:val="center"/>
            </w:pPr>
            <w:r>
              <w:rPr>
                <w:rFonts w:ascii="宋体" w:hAnsi="宋体" w:eastAsia="宋体"/>
                <w:b w:val="0"/>
                <w:sz w:val="20"/>
              </w:rPr>
              <w:t>自主研发</w:t>
            </w:r>
          </w:p>
        </w:tc>
        <w:tc>
          <w:tcPr>
            <w:tcW w:type="dxa" w:w="924"/>
          </w:tcPr>
          <w:p>
            <w:pPr>
              <w:jc w:val="center"/>
            </w:pPr>
            <w:r>
              <w:rPr>
                <w:rFonts w:ascii="宋体" w:hAnsi="宋体" w:eastAsia="宋体"/>
                <w:b w:val="0"/>
                <w:sz w:val="20"/>
              </w:rPr>
              <w:t>15700</w:t>
            </w:r>
          </w:p>
        </w:tc>
        <w:tc>
          <w:tcPr>
            <w:tcW w:type="dxa" w:w="924"/>
          </w:tcPr>
          <w:p>
            <w:pPr>
              <w:jc w:val="center"/>
            </w:pPr>
            <w:r>
              <w:rPr>
                <w:rFonts w:ascii="宋体" w:hAnsi="宋体" w:eastAsia="宋体"/>
                <w:b w:val="0"/>
                <w:sz w:val="20"/>
              </w:rPr>
              <w:t>4680</w:t>
            </w:r>
          </w:p>
        </w:tc>
        <w:tc>
          <w:tcPr>
            <w:tcW w:type="dxa" w:w="924"/>
          </w:tcPr>
          <w:p>
            <w:pPr>
              <w:jc w:val="center"/>
            </w:pPr>
            <w:r>
              <w:rPr>
                <w:rFonts w:ascii="宋体" w:hAnsi="宋体" w:eastAsia="宋体"/>
                <w:b w:val="0"/>
                <w:sz w:val="20"/>
              </w:rPr>
              <w:t>0.298</w:t>
            </w:r>
          </w:p>
        </w:tc>
      </w:tr>
      <w:tr>
        <w:tc>
          <w:tcPr>
            <w:tcW w:type="dxa" w:w="924"/>
          </w:tcPr>
          <w:p>
            <w:pPr>
              <w:jc w:val="center"/>
            </w:pPr>
            <w:r>
              <w:rPr>
                <w:rFonts w:ascii="宋体" w:hAnsi="宋体" w:eastAsia="宋体"/>
                <w:b w:val="0"/>
                <w:sz w:val="20"/>
              </w:rPr>
              <w:t>2</w:t>
            </w:r>
          </w:p>
        </w:tc>
        <w:tc>
          <w:tcPr>
            <w:tcW w:type="dxa" w:w="924"/>
          </w:tcPr>
          <w:p>
            <w:pPr>
              <w:jc w:val="center"/>
            </w:pPr>
            <w:r>
              <w:rPr>
                <w:rFonts w:ascii="宋体" w:hAnsi="宋体" w:eastAsia="宋体"/>
                <w:b w:val="0"/>
                <w:sz w:val="20"/>
              </w:rPr>
              <w:t>广东</w:t>
            </w:r>
          </w:p>
        </w:tc>
        <w:tc>
          <w:tcPr>
            <w:tcW w:type="dxa" w:w="924"/>
          </w:tcPr>
          <w:p>
            <w:pPr>
              <w:jc w:val="center"/>
            </w:pPr>
            <w:r>
              <w:rPr>
                <w:rFonts w:ascii="宋体" w:hAnsi="宋体" w:eastAsia="宋体"/>
                <w:b w:val="0"/>
                <w:sz w:val="20"/>
              </w:rPr>
              <w:t>广东数据开放</w:t>
            </w:r>
          </w:p>
        </w:tc>
        <w:tc>
          <w:tcPr>
            <w:tcW w:type="dxa" w:w="924"/>
          </w:tcPr>
          <w:p>
            <w:pPr>
              <w:jc w:val="center"/>
            </w:pPr>
            <w:r>
              <w:rPr>
                <w:rFonts w:ascii="宋体" w:hAnsi="宋体" w:eastAsia="宋体"/>
                <w:b w:val="0"/>
                <w:sz w:val="20"/>
              </w:rPr>
              <w:t>2016</w:t>
            </w:r>
          </w:p>
        </w:tc>
        <w:tc>
          <w:tcPr>
            <w:tcW w:type="dxa" w:w="924"/>
          </w:tcPr>
          <w:p>
            <w:pPr>
              <w:jc w:val="center"/>
            </w:pPr>
            <w:r>
              <w:rPr>
                <w:rFonts w:ascii="宋体" w:hAnsi="宋体" w:eastAsia="宋体"/>
                <w:b w:val="0"/>
                <w:sz w:val="20"/>
              </w:rPr>
              <w:t>省政务服务数据管理局</w:t>
            </w:r>
          </w:p>
        </w:tc>
        <w:tc>
          <w:tcPr>
            <w:tcW w:type="dxa" w:w="924"/>
          </w:tcPr>
          <w:p>
            <w:pPr>
              <w:jc w:val="center"/>
            </w:pPr>
            <w:r>
              <w:rPr>
                <w:rFonts w:ascii="宋体" w:hAnsi="宋体" w:eastAsia="宋体"/>
                <w:b w:val="0"/>
                <w:sz w:val="20"/>
              </w:rPr>
              <w:t>CKAN</w:t>
            </w:r>
          </w:p>
        </w:tc>
        <w:tc>
          <w:tcPr>
            <w:tcW w:type="dxa" w:w="924"/>
          </w:tcPr>
          <w:p>
            <w:pPr>
              <w:jc w:val="center"/>
            </w:pPr>
            <w:r>
              <w:rPr>
                <w:rFonts w:ascii="宋体" w:hAnsi="宋体" w:eastAsia="宋体"/>
                <w:b w:val="0"/>
                <w:sz w:val="20"/>
              </w:rPr>
              <w:t>12500</w:t>
            </w:r>
          </w:p>
        </w:tc>
        <w:tc>
          <w:tcPr>
            <w:tcW w:type="dxa" w:w="924"/>
          </w:tcPr>
          <w:p>
            <w:pPr>
              <w:jc w:val="center"/>
            </w:pPr>
            <w:r>
              <w:rPr>
                <w:rFonts w:ascii="宋体" w:hAnsi="宋体" w:eastAsia="宋体"/>
                <w:b w:val="0"/>
                <w:sz w:val="20"/>
              </w:rPr>
              <w:t>3120</w:t>
            </w:r>
          </w:p>
        </w:tc>
        <w:tc>
          <w:tcPr>
            <w:tcW w:type="dxa" w:w="924"/>
          </w:tcPr>
          <w:p>
            <w:pPr>
              <w:jc w:val="center"/>
            </w:pPr>
            <w:r>
              <w:rPr>
                <w:rFonts w:ascii="宋体" w:hAnsi="宋体" w:eastAsia="宋体"/>
                <w:b w:val="0"/>
                <w:sz w:val="20"/>
              </w:rPr>
              <w:t>0.250</w:t>
            </w:r>
          </w:p>
        </w:tc>
      </w:tr>
      <w:tr>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c>
          <w:tcPr>
            <w:tcW w:type="dxa" w:w="924"/>
          </w:tcPr>
          <w:p>
            <w:pPr>
              <w:jc w:val="center"/>
            </w:pPr>
            <w:r>
              <w:rPr>
                <w:rFonts w:ascii="宋体" w:hAnsi="宋体" w:eastAsia="宋体"/>
                <w:b w:val="0"/>
                <w:sz w:val="20"/>
              </w:rPr>
              <w:t>...</w:t>
            </w:r>
          </w:p>
        </w:tc>
      </w:tr>
      <w:tr>
        <w:tc>
          <w:tcPr>
            <w:tcW w:type="dxa" w:w="924"/>
          </w:tcPr>
          <w:p>
            <w:pPr>
              <w:jc w:val="center"/>
            </w:pPr>
            <w:r>
              <w:rPr>
                <w:rFonts w:ascii="宋体" w:hAnsi="宋体" w:eastAsia="宋体"/>
                <w:b w:val="0"/>
                <w:sz w:val="20"/>
              </w:rPr>
              <w:t>28</w:t>
            </w:r>
          </w:p>
        </w:tc>
        <w:tc>
          <w:tcPr>
            <w:tcW w:type="dxa" w:w="924"/>
          </w:tcPr>
          <w:p>
            <w:pPr>
              <w:jc w:val="center"/>
            </w:pPr>
            <w:r>
              <w:rPr>
                <w:rFonts w:ascii="宋体" w:hAnsi="宋体" w:eastAsia="宋体"/>
                <w:b w:val="0"/>
                <w:sz w:val="20"/>
              </w:rPr>
              <w:t>新疆</w:t>
            </w:r>
          </w:p>
        </w:tc>
        <w:tc>
          <w:tcPr>
            <w:tcW w:type="dxa" w:w="924"/>
          </w:tcPr>
          <w:p>
            <w:pPr>
              <w:jc w:val="center"/>
            </w:pPr>
            <w:r>
              <w:rPr>
                <w:rFonts w:ascii="宋体" w:hAnsi="宋体" w:eastAsia="宋体"/>
                <w:b w:val="0"/>
                <w:sz w:val="20"/>
              </w:rPr>
              <w:t>新疆数据开放</w:t>
            </w:r>
          </w:p>
        </w:tc>
        <w:tc>
          <w:tcPr>
            <w:tcW w:type="dxa" w:w="924"/>
          </w:tcPr>
          <w:p>
            <w:pPr>
              <w:jc w:val="center"/>
            </w:pPr>
            <w:r>
              <w:rPr>
                <w:rFonts w:ascii="宋体" w:hAnsi="宋体" w:eastAsia="宋体"/>
                <w:b w:val="0"/>
                <w:sz w:val="20"/>
              </w:rPr>
              <w:t>2022</w:t>
            </w:r>
          </w:p>
        </w:tc>
        <w:tc>
          <w:tcPr>
            <w:tcW w:type="dxa" w:w="924"/>
          </w:tcPr>
          <w:p>
            <w:pPr>
              <w:jc w:val="center"/>
            </w:pPr>
            <w:r>
              <w:rPr>
                <w:rFonts w:ascii="宋体" w:hAnsi="宋体" w:eastAsia="宋体"/>
                <w:b w:val="0"/>
                <w:sz w:val="20"/>
              </w:rPr>
              <w:t>自治区大数据中心</w:t>
            </w:r>
          </w:p>
        </w:tc>
        <w:tc>
          <w:tcPr>
            <w:tcW w:type="dxa" w:w="924"/>
          </w:tcPr>
          <w:p>
            <w:pPr>
              <w:jc w:val="center"/>
            </w:pPr>
            <w:r>
              <w:rPr>
                <w:rFonts w:ascii="宋体" w:hAnsi="宋体" w:eastAsia="宋体"/>
                <w:b w:val="0"/>
                <w:sz w:val="20"/>
              </w:rPr>
              <w:t>商业平台</w:t>
            </w:r>
          </w:p>
        </w:tc>
        <w:tc>
          <w:tcPr>
            <w:tcW w:type="dxa" w:w="924"/>
          </w:tcPr>
          <w:p>
            <w:pPr>
              <w:jc w:val="center"/>
            </w:pPr>
            <w:r>
              <w:rPr>
                <w:rFonts w:ascii="宋体" w:hAnsi="宋体" w:eastAsia="宋体"/>
                <w:b w:val="0"/>
                <w:sz w:val="20"/>
              </w:rPr>
              <w:t>2100</w:t>
            </w:r>
          </w:p>
        </w:tc>
        <w:tc>
          <w:tcPr>
            <w:tcW w:type="dxa" w:w="924"/>
          </w:tcPr>
          <w:p>
            <w:pPr>
              <w:jc w:val="center"/>
            </w:pPr>
            <w:r>
              <w:rPr>
                <w:rFonts w:ascii="宋体" w:hAnsi="宋体" w:eastAsia="宋体"/>
                <w:b w:val="0"/>
                <w:sz w:val="20"/>
              </w:rPr>
              <w:t>380</w:t>
            </w:r>
          </w:p>
        </w:tc>
        <w:tc>
          <w:tcPr>
            <w:tcW w:type="dxa" w:w="924"/>
          </w:tcPr>
          <w:p>
            <w:pPr>
              <w:jc w:val="center"/>
            </w:pPr>
            <w:r>
              <w:rPr>
                <w:rFonts w:ascii="宋体" w:hAnsi="宋体" w:eastAsia="宋体"/>
                <w:b w:val="0"/>
                <w:sz w:val="20"/>
              </w:rPr>
              <w:t>0.181</w:t>
            </w:r>
          </w:p>
        </w:tc>
      </w:tr>
    </w:tbl>
    <w:p>
      <w:r>
        <w:rPr>
          <w:rFonts w:ascii="宋体" w:hAnsi="宋体" w:eastAsia="宋体"/>
          <w:b w:val="0"/>
          <w:sz w:val="24"/>
        </w:rPr>
        <w:t>（注：具体数据详见采集数据库，此处为示例格式）</w:t>
      </w:r>
    </w:p>
    <w:p>
      <w:pPr>
        <w:pStyle w:val="Heading3"/>
      </w:pPr>
      <w:r>
        <w:t>附录B：评估指标体系及权重分配表</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宋体" w:hAnsi="宋体" w:eastAsia="宋体"/>
                <w:b w:val="0"/>
                <w:sz w:val="20"/>
              </w:rPr>
              <w:t>一级维度</w:t>
            </w:r>
          </w:p>
        </w:tc>
        <w:tc>
          <w:tcPr>
            <w:tcW w:type="dxa" w:w="1187"/>
          </w:tcPr>
          <w:p>
            <w:pPr>
              <w:jc w:val="center"/>
            </w:pPr>
            <w:r>
              <w:rPr>
                <w:rFonts w:ascii="宋体" w:hAnsi="宋体" w:eastAsia="宋体"/>
                <w:b w:val="0"/>
                <w:sz w:val="20"/>
              </w:rPr>
              <w:t>权重</w:t>
            </w:r>
          </w:p>
        </w:tc>
        <w:tc>
          <w:tcPr>
            <w:tcW w:type="dxa" w:w="1187"/>
          </w:tcPr>
          <w:p>
            <w:pPr>
              <w:jc w:val="center"/>
            </w:pPr>
            <w:r>
              <w:rPr>
                <w:rFonts w:ascii="宋体" w:hAnsi="宋体" w:eastAsia="宋体"/>
                <w:b w:val="0"/>
                <w:sz w:val="20"/>
              </w:rPr>
              <w:t>二级指标</w:t>
            </w:r>
          </w:p>
        </w:tc>
        <w:tc>
          <w:tcPr>
            <w:tcW w:type="dxa" w:w="1187"/>
          </w:tcPr>
          <w:p>
            <w:pPr>
              <w:jc w:val="center"/>
            </w:pPr>
            <w:r>
              <w:rPr>
                <w:rFonts w:ascii="宋体" w:hAnsi="宋体" w:eastAsia="宋体"/>
                <w:b w:val="0"/>
                <w:sz w:val="20"/>
              </w:rPr>
              <w:t>权重</w:t>
            </w:r>
          </w:p>
        </w:tc>
        <w:tc>
          <w:tcPr>
            <w:tcW w:type="dxa" w:w="1187"/>
          </w:tcPr>
          <w:p>
            <w:pPr>
              <w:jc w:val="center"/>
            </w:pPr>
            <w:r>
              <w:rPr>
                <w:rFonts w:ascii="宋体" w:hAnsi="宋体" w:eastAsia="宋体"/>
                <w:b w:val="0"/>
                <w:sz w:val="20"/>
              </w:rPr>
              <w:t>三级指标</w:t>
            </w:r>
          </w:p>
        </w:tc>
        <w:tc>
          <w:tcPr>
            <w:tcW w:type="dxa" w:w="1187"/>
          </w:tcPr>
          <w:p>
            <w:pPr>
              <w:jc w:val="center"/>
            </w:pPr>
            <w:r>
              <w:rPr>
                <w:rFonts w:ascii="宋体" w:hAnsi="宋体" w:eastAsia="宋体"/>
                <w:b w:val="0"/>
                <w:sz w:val="20"/>
              </w:rPr>
              <w:t>权重</w:t>
            </w:r>
          </w:p>
        </w:tc>
        <w:tc>
          <w:tcPr>
            <w:tcW w:type="dxa" w:w="1187"/>
          </w:tcPr>
          <w:p>
            <w:pPr>
              <w:jc w:val="center"/>
            </w:pPr>
            <w:r>
              <w:rPr>
                <w:rFonts w:ascii="宋体" w:hAnsi="宋体" w:eastAsia="宋体"/>
                <w:b w:val="0"/>
                <w:sz w:val="20"/>
              </w:rPr>
              <w:t>数据来源</w:t>
            </w:r>
          </w:p>
        </w:tc>
      </w:tr>
      <w:tr>
        <w:tc>
          <w:tcPr>
            <w:tcW w:type="dxa" w:w="1187"/>
          </w:tcPr>
          <w:p>
            <w:pPr>
              <w:jc w:val="center"/>
            </w:pPr>
            <w:r>
              <w:rPr>
                <w:rFonts w:ascii="宋体" w:hAnsi="宋体" w:eastAsia="宋体"/>
                <w:b w:val="0"/>
                <w:sz w:val="20"/>
              </w:rPr>
              <w:t>C1供给保障</w:t>
            </w:r>
          </w:p>
        </w:tc>
        <w:tc>
          <w:tcPr>
            <w:tcW w:type="dxa" w:w="1187"/>
          </w:tcPr>
          <w:p>
            <w:pPr>
              <w:jc w:val="center"/>
            </w:pPr>
            <w:r>
              <w:rPr>
                <w:rFonts w:ascii="宋体" w:hAnsi="宋体" w:eastAsia="宋体"/>
                <w:b w:val="0"/>
                <w:sz w:val="20"/>
              </w:rPr>
              <w:t>0.20</w:t>
            </w:r>
          </w:p>
        </w:tc>
        <w:tc>
          <w:tcPr>
            <w:tcW w:type="dxa" w:w="1187"/>
          </w:tcPr>
          <w:p>
            <w:pPr>
              <w:jc w:val="center"/>
            </w:pPr>
            <w:r>
              <w:rPr>
                <w:rFonts w:ascii="宋体" w:hAnsi="宋体" w:eastAsia="宋体"/>
                <w:b w:val="0"/>
                <w:sz w:val="20"/>
              </w:rPr>
              <w:t>C1-1数据集数量</w:t>
            </w:r>
          </w:p>
        </w:tc>
        <w:tc>
          <w:tcPr>
            <w:tcW w:type="dxa" w:w="1187"/>
          </w:tcPr>
          <w:p>
            <w:pPr>
              <w:jc w:val="center"/>
            </w:pPr>
            <w:r>
              <w:rPr>
                <w:rFonts w:ascii="宋体" w:hAnsi="宋体" w:eastAsia="宋体"/>
                <w:b w:val="0"/>
                <w:sz w:val="20"/>
              </w:rPr>
              <w:t>0.08</w:t>
            </w:r>
          </w:p>
        </w:tc>
        <w:tc>
          <w:tcPr>
            <w:tcW w:type="dxa" w:w="1187"/>
          </w:tcPr>
          <w:p>
            <w:pPr>
              <w:jc w:val="center"/>
            </w:pPr>
            <w:r>
              <w:rPr>
                <w:rFonts w:ascii="宋体" w:hAnsi="宋体" w:eastAsia="宋体"/>
                <w:b w:val="0"/>
                <w:sz w:val="20"/>
              </w:rPr>
              <w:t>有效数据集数量</w:t>
            </w:r>
          </w:p>
        </w:tc>
        <w:tc>
          <w:tcPr>
            <w:tcW w:type="dxa" w:w="1187"/>
          </w:tcPr>
          <w:p>
            <w:pPr>
              <w:jc w:val="center"/>
            </w:pPr>
            <w:r>
              <w:rPr>
                <w:rFonts w:ascii="宋体" w:hAnsi="宋体" w:eastAsia="宋体"/>
                <w:b w:val="0"/>
                <w:sz w:val="20"/>
              </w:rPr>
              <w:t>0.08</w:t>
            </w:r>
          </w:p>
        </w:tc>
        <w:tc>
          <w:tcPr>
            <w:tcW w:type="dxa" w:w="1187"/>
          </w:tcPr>
          <w:p>
            <w:pPr>
              <w:jc w:val="center"/>
            </w:pPr>
            <w:r>
              <w:rPr>
                <w:rFonts w:ascii="宋体" w:hAnsi="宋体" w:eastAsia="宋体"/>
                <w:b w:val="0"/>
                <w:sz w:val="20"/>
              </w:rPr>
              <w:t>爬虫采集</w:t>
            </w:r>
          </w:p>
        </w:tc>
      </w:tr>
      <w:tr>
        <w:tc>
          <w:tcPr>
            <w:tcW w:type="dxa" w:w="1187"/>
          </w:tcPr>
          <w:p>
            <w:pPr>
              <w:jc w:val="center"/>
            </w:pPr>
            <w:r>
              <w:rPr>
                <w:rFonts w:ascii="宋体" w:hAnsi="宋体" w:eastAsia="宋体"/>
                <w:b w:val="0"/>
                <w:sz w:val="20"/>
              </w:rPr>
              <w:t>C2平台服务</w:t>
            </w:r>
          </w:p>
        </w:tc>
        <w:tc>
          <w:tcPr>
            <w:tcW w:type="dxa" w:w="1187"/>
          </w:tcPr>
          <w:p>
            <w:pPr>
              <w:jc w:val="center"/>
            </w:pPr>
            <w:r>
              <w:rPr>
                <w:rFonts w:ascii="宋体" w:hAnsi="宋体" w:eastAsia="宋体"/>
                <w:b w:val="0"/>
                <w:sz w:val="20"/>
              </w:rPr>
              <w:t>0.20</w:t>
            </w:r>
          </w:p>
        </w:tc>
        <w:tc>
          <w:tcPr>
            <w:tcW w:type="dxa" w:w="1187"/>
          </w:tcPr>
          <w:p>
            <w:pPr>
              <w:jc w:val="center"/>
            </w:pPr>
            <w:r>
              <w:rPr>
                <w:rFonts w:ascii="宋体" w:hAnsi="宋体" w:eastAsia="宋体"/>
                <w:b w:val="0"/>
                <w:sz w:val="20"/>
              </w:rPr>
              <w:t>C2-1API开放度</w:t>
            </w:r>
          </w:p>
        </w:tc>
        <w:tc>
          <w:tcPr>
            <w:tcW w:type="dxa" w:w="1187"/>
          </w:tcPr>
          <w:p>
            <w:pPr>
              <w:jc w:val="center"/>
            </w:pPr>
            <w:r>
              <w:rPr>
                <w:rFonts w:ascii="宋体" w:hAnsi="宋体" w:eastAsia="宋体"/>
                <w:b w:val="0"/>
                <w:sz w:val="20"/>
              </w:rPr>
              <w:t>0.07</w:t>
            </w:r>
          </w:p>
        </w:tc>
        <w:tc>
          <w:tcPr>
            <w:tcW w:type="dxa" w:w="1187"/>
          </w:tcPr>
          <w:p>
            <w:pPr>
              <w:jc w:val="center"/>
            </w:pPr>
            <w:r>
              <w:rPr>
                <w:rFonts w:ascii="宋体" w:hAnsi="宋体" w:eastAsia="宋体"/>
                <w:b w:val="0"/>
                <w:sz w:val="20"/>
              </w:rPr>
              <w:t>API接口</w:t>
            </w:r>
          </w:p>
        </w:tc>
        <w:tc>
          <w:tcPr>
            <w:tcW w:type="dxa" w:w="1187"/>
          </w:tcPr>
          <w:p>
            <w:pPr>
              <w:jc w:val="center"/>
            </w:pPr>
            <w:r>
              <w:rPr>
                <w:rFonts w:ascii="宋体" w:hAnsi="宋体" w:eastAsia="宋体"/>
                <w:b w:val="0"/>
                <w:sz w:val="20"/>
              </w:rPr>
              <w:t>0.025</w:t>
            </w:r>
          </w:p>
        </w:tc>
        <w:tc>
          <w:tcPr>
            <w:tcW w:type="dxa" w:w="1187"/>
          </w:tcPr>
          <w:p>
            <w:pPr>
              <w:jc w:val="center"/>
            </w:pPr>
            <w:r>
              <w:rPr>
                <w:rFonts w:ascii="宋体" w:hAnsi="宋体" w:eastAsia="宋体"/>
                <w:b w:val="0"/>
                <w:sz w:val="20"/>
              </w:rPr>
              <w:t>平台检测</w:t>
            </w:r>
          </w:p>
        </w:tc>
      </w:tr>
      <w:tr>
        <w:tc>
          <w:tcPr>
            <w:tcW w:type="dxa" w:w="1187"/>
          </w:tcPr>
          <w:p>
            <w:pPr>
              <w:jc w:val="center"/>
            </w:pPr>
            <w:r>
              <w:rPr>
                <w:rFonts w:ascii="宋体" w:hAnsi="宋体" w:eastAsia="宋体"/>
                <w:b w:val="0"/>
                <w:sz w:val="20"/>
              </w:rPr>
              <w:t>...</w:t>
            </w:r>
          </w:p>
        </w:tc>
        <w:tc>
          <w:tcPr>
            <w:tcW w:type="dxa" w:w="1187"/>
          </w:tcPr>
          <w:p>
            <w:pPr>
              <w:jc w:val="center"/>
            </w:pPr>
            <w:r>
              <w:rPr>
                <w:rFonts w:ascii="宋体" w:hAnsi="宋体" w:eastAsia="宋体"/>
                <w:b w:val="0"/>
                <w:sz w:val="20"/>
              </w:rPr>
              <w:t>...</w:t>
            </w:r>
          </w:p>
        </w:tc>
        <w:tc>
          <w:tcPr>
            <w:tcW w:type="dxa" w:w="1187"/>
          </w:tcPr>
          <w:p>
            <w:pPr>
              <w:jc w:val="center"/>
            </w:pPr>
            <w:r>
              <w:rPr>
                <w:rFonts w:ascii="宋体" w:hAnsi="宋体" w:eastAsia="宋体"/>
                <w:b w:val="0"/>
                <w:sz w:val="20"/>
              </w:rPr>
              <w:t>...</w:t>
            </w:r>
          </w:p>
        </w:tc>
        <w:tc>
          <w:tcPr>
            <w:tcW w:type="dxa" w:w="1187"/>
          </w:tcPr>
          <w:p>
            <w:pPr>
              <w:jc w:val="center"/>
            </w:pPr>
            <w:r>
              <w:rPr>
                <w:rFonts w:ascii="宋体" w:hAnsi="宋体" w:eastAsia="宋体"/>
                <w:b w:val="0"/>
                <w:sz w:val="20"/>
              </w:rPr>
              <w:t>...</w:t>
            </w:r>
          </w:p>
        </w:tc>
        <w:tc>
          <w:tcPr>
            <w:tcW w:type="dxa" w:w="1187"/>
          </w:tcPr>
          <w:p>
            <w:pPr>
              <w:jc w:val="center"/>
            </w:pPr>
            <w:r>
              <w:rPr>
                <w:rFonts w:ascii="宋体" w:hAnsi="宋体" w:eastAsia="宋体"/>
                <w:b w:val="0"/>
                <w:sz w:val="20"/>
              </w:rPr>
              <w:t>...</w:t>
            </w:r>
          </w:p>
        </w:tc>
        <w:tc>
          <w:tcPr>
            <w:tcW w:type="dxa" w:w="1187"/>
          </w:tcPr>
          <w:p>
            <w:pPr>
              <w:jc w:val="center"/>
            </w:pPr>
            <w:r>
              <w:rPr>
                <w:rFonts w:ascii="宋体" w:hAnsi="宋体" w:eastAsia="宋体"/>
                <w:b w:val="0"/>
                <w:sz w:val="20"/>
              </w:rPr>
              <w:t>...</w:t>
            </w:r>
          </w:p>
        </w:tc>
        <w:tc>
          <w:tcPr>
            <w:tcW w:type="dxa" w:w="1187"/>
          </w:tcPr>
          <w:p>
            <w:pPr>
              <w:jc w:val="center"/>
            </w:pPr>
            <w:r>
              <w:rPr>
                <w:rFonts w:ascii="宋体" w:hAnsi="宋体" w:eastAsia="宋体"/>
                <w:b w:val="0"/>
                <w:sz w:val="20"/>
              </w:rPr>
              <w:t>...</w:t>
            </w:r>
          </w:p>
        </w:tc>
      </w:tr>
    </w:tbl>
    <w:p>
      <w:r>
        <w:rPr>
          <w:rFonts w:ascii="宋体" w:hAnsi="宋体" w:eastAsia="宋体"/>
          <w:b w:val="0"/>
          <w:sz w:val="24"/>
        </w:rPr>
        <w:t>（注：完整指标体系详见第四章）</w:t>
      </w:r>
    </w:p>
    <w:p>
      <w:pPr>
        <w:pStyle w:val="Heading3"/>
      </w:pPr>
      <w:r>
        <w:t>附录C：TOPSIS综合绩效排名表</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jc w:val="center"/>
            </w:pPr>
            <w:r>
              <w:rPr>
                <w:rFonts w:ascii="宋体" w:hAnsi="宋体" w:eastAsia="宋体"/>
                <w:b w:val="0"/>
                <w:sz w:val="20"/>
              </w:rPr>
              <w:t>排名</w:t>
            </w:r>
          </w:p>
        </w:tc>
        <w:tc>
          <w:tcPr>
            <w:tcW w:type="dxa" w:w="1039"/>
          </w:tcPr>
          <w:p>
            <w:pPr>
              <w:jc w:val="center"/>
            </w:pPr>
            <w:r>
              <w:rPr>
                <w:rFonts w:ascii="宋体" w:hAnsi="宋体" w:eastAsia="宋体"/>
                <w:b w:val="0"/>
                <w:sz w:val="20"/>
              </w:rPr>
              <w:t>省份</w:t>
            </w:r>
          </w:p>
        </w:tc>
        <w:tc>
          <w:tcPr>
            <w:tcW w:type="dxa" w:w="1039"/>
          </w:tcPr>
          <w:p>
            <w:pPr>
              <w:jc w:val="center"/>
            </w:pPr>
            <w:r>
              <w:rPr>
                <w:rFonts w:ascii="宋体" w:hAnsi="宋体" w:eastAsia="宋体"/>
                <w:b w:val="0"/>
                <w:sz w:val="20"/>
              </w:rPr>
              <w:t>综合得分Ci</w:t>
            </w:r>
          </w:p>
        </w:tc>
        <w:tc>
          <w:tcPr>
            <w:tcW w:type="dxa" w:w="1039"/>
          </w:tcPr>
          <w:p>
            <w:pPr>
              <w:jc w:val="center"/>
            </w:pPr>
            <w:r>
              <w:rPr>
                <w:rFonts w:ascii="宋体" w:hAnsi="宋体" w:eastAsia="宋体"/>
                <w:b w:val="0"/>
                <w:sz w:val="20"/>
              </w:rPr>
              <w:t>C1供给保障</w:t>
            </w:r>
          </w:p>
        </w:tc>
        <w:tc>
          <w:tcPr>
            <w:tcW w:type="dxa" w:w="1039"/>
          </w:tcPr>
          <w:p>
            <w:pPr>
              <w:jc w:val="center"/>
            </w:pPr>
            <w:r>
              <w:rPr>
                <w:rFonts w:ascii="宋体" w:hAnsi="宋体" w:eastAsia="宋体"/>
                <w:b w:val="0"/>
                <w:sz w:val="20"/>
              </w:rPr>
              <w:t>C2平台服务</w:t>
            </w:r>
          </w:p>
        </w:tc>
        <w:tc>
          <w:tcPr>
            <w:tcW w:type="dxa" w:w="1039"/>
          </w:tcPr>
          <w:p>
            <w:pPr>
              <w:jc w:val="center"/>
            </w:pPr>
            <w:r>
              <w:rPr>
                <w:rFonts w:ascii="宋体" w:hAnsi="宋体" w:eastAsia="宋体"/>
                <w:b w:val="0"/>
                <w:sz w:val="20"/>
              </w:rPr>
              <w:t>C3数据质量</w:t>
            </w:r>
          </w:p>
        </w:tc>
        <w:tc>
          <w:tcPr>
            <w:tcW w:type="dxa" w:w="1039"/>
          </w:tcPr>
          <w:p>
            <w:pPr>
              <w:jc w:val="center"/>
            </w:pPr>
            <w:r>
              <w:rPr>
                <w:rFonts w:ascii="宋体" w:hAnsi="宋体" w:eastAsia="宋体"/>
                <w:b w:val="0"/>
                <w:sz w:val="20"/>
              </w:rPr>
              <w:t>C4利用效果</w:t>
            </w:r>
          </w:p>
        </w:tc>
        <w:tc>
          <w:tcPr>
            <w:tcW w:type="dxa" w:w="1039"/>
          </w:tcPr>
          <w:p>
            <w:pPr>
              <w:jc w:val="center"/>
            </w:pPr>
            <w:r>
              <w:rPr>
                <w:rFonts w:ascii="宋体" w:hAnsi="宋体" w:eastAsia="宋体"/>
                <w:b w:val="0"/>
                <w:sz w:val="20"/>
              </w:rPr>
              <w:t>C5公平性</w:t>
            </w:r>
          </w:p>
        </w:tc>
      </w:tr>
      <w:tr>
        <w:tc>
          <w:tcPr>
            <w:tcW w:type="dxa" w:w="1039"/>
          </w:tcPr>
          <w:p>
            <w:pPr>
              <w:jc w:val="center"/>
            </w:pPr>
            <w:r>
              <w:rPr>
                <w:rFonts w:ascii="宋体" w:hAnsi="宋体" w:eastAsia="宋体"/>
                <w:b w:val="0"/>
                <w:sz w:val="20"/>
              </w:rPr>
              <w:t>1</w:t>
            </w:r>
          </w:p>
        </w:tc>
        <w:tc>
          <w:tcPr>
            <w:tcW w:type="dxa" w:w="1039"/>
          </w:tcPr>
          <w:p>
            <w:pPr>
              <w:jc w:val="center"/>
            </w:pPr>
            <w:r>
              <w:rPr>
                <w:rFonts w:ascii="宋体" w:hAnsi="宋体" w:eastAsia="宋体"/>
                <w:b w:val="0"/>
                <w:sz w:val="20"/>
              </w:rPr>
              <w:t>浙江</w:t>
            </w:r>
          </w:p>
        </w:tc>
        <w:tc>
          <w:tcPr>
            <w:tcW w:type="dxa" w:w="1039"/>
          </w:tcPr>
          <w:p>
            <w:pPr>
              <w:jc w:val="center"/>
            </w:pPr>
            <w:r>
              <w:rPr>
                <w:rFonts w:ascii="宋体" w:hAnsi="宋体" w:eastAsia="宋体"/>
                <w:b w:val="0"/>
                <w:sz w:val="20"/>
              </w:rPr>
              <w:t>0.852</w:t>
            </w:r>
          </w:p>
        </w:tc>
        <w:tc>
          <w:tcPr>
            <w:tcW w:type="dxa" w:w="1039"/>
          </w:tcPr>
          <w:p>
            <w:pPr>
              <w:jc w:val="center"/>
            </w:pPr>
            <w:r>
              <w:rPr>
                <w:rFonts w:ascii="宋体" w:hAnsi="宋体" w:eastAsia="宋体"/>
                <w:b w:val="0"/>
                <w:sz w:val="20"/>
              </w:rPr>
              <w:t>0.82</w:t>
            </w:r>
          </w:p>
        </w:tc>
        <w:tc>
          <w:tcPr>
            <w:tcW w:type="dxa" w:w="1039"/>
          </w:tcPr>
          <w:p>
            <w:pPr>
              <w:jc w:val="center"/>
            </w:pPr>
            <w:r>
              <w:rPr>
                <w:rFonts w:ascii="宋体" w:hAnsi="宋体" w:eastAsia="宋体"/>
                <w:b w:val="0"/>
                <w:sz w:val="20"/>
              </w:rPr>
              <w:t>0.81</w:t>
            </w:r>
          </w:p>
        </w:tc>
        <w:tc>
          <w:tcPr>
            <w:tcW w:type="dxa" w:w="1039"/>
          </w:tcPr>
          <w:p>
            <w:pPr>
              <w:jc w:val="center"/>
            </w:pPr>
            <w:r>
              <w:rPr>
                <w:rFonts w:ascii="宋体" w:hAnsi="宋体" w:eastAsia="宋体"/>
                <w:b w:val="0"/>
                <w:sz w:val="20"/>
              </w:rPr>
              <w:t>0.78</w:t>
            </w:r>
          </w:p>
        </w:tc>
        <w:tc>
          <w:tcPr>
            <w:tcW w:type="dxa" w:w="1039"/>
          </w:tcPr>
          <w:p>
            <w:pPr>
              <w:jc w:val="center"/>
            </w:pPr>
            <w:r>
              <w:rPr>
                <w:rFonts w:ascii="宋体" w:hAnsi="宋体" w:eastAsia="宋体"/>
                <w:b w:val="0"/>
                <w:sz w:val="20"/>
              </w:rPr>
              <w:t>0.91</w:t>
            </w:r>
          </w:p>
        </w:tc>
        <w:tc>
          <w:tcPr>
            <w:tcW w:type="dxa" w:w="1039"/>
          </w:tcPr>
          <w:p>
            <w:pPr>
              <w:jc w:val="center"/>
            </w:pPr>
            <w:r>
              <w:rPr>
                <w:rFonts w:ascii="宋体" w:hAnsi="宋体" w:eastAsia="宋体"/>
                <w:b w:val="0"/>
                <w:sz w:val="20"/>
              </w:rPr>
              <w:t>0.65</w:t>
            </w:r>
          </w:p>
        </w:tc>
      </w:tr>
      <w:tr>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广东</w:t>
            </w:r>
          </w:p>
        </w:tc>
        <w:tc>
          <w:tcPr>
            <w:tcW w:type="dxa" w:w="1039"/>
          </w:tcPr>
          <w:p>
            <w:pPr>
              <w:jc w:val="center"/>
            </w:pPr>
            <w:r>
              <w:rPr>
                <w:rFonts w:ascii="宋体" w:hAnsi="宋体" w:eastAsia="宋体"/>
                <w:b w:val="0"/>
                <w:sz w:val="20"/>
              </w:rPr>
              <w:t>0.798</w:t>
            </w:r>
          </w:p>
        </w:tc>
        <w:tc>
          <w:tcPr>
            <w:tcW w:type="dxa" w:w="1039"/>
          </w:tcPr>
          <w:p>
            <w:pPr>
              <w:jc w:val="center"/>
            </w:pPr>
            <w:r>
              <w:rPr>
                <w:rFonts w:ascii="宋体" w:hAnsi="宋体" w:eastAsia="宋体"/>
                <w:b w:val="0"/>
                <w:sz w:val="20"/>
              </w:rPr>
              <w:t>0.75</w:t>
            </w:r>
          </w:p>
        </w:tc>
        <w:tc>
          <w:tcPr>
            <w:tcW w:type="dxa" w:w="1039"/>
          </w:tcPr>
          <w:p>
            <w:pPr>
              <w:jc w:val="center"/>
            </w:pPr>
            <w:r>
              <w:rPr>
                <w:rFonts w:ascii="宋体" w:hAnsi="宋体" w:eastAsia="宋体"/>
                <w:b w:val="0"/>
                <w:sz w:val="20"/>
              </w:rPr>
              <w:t>0.76</w:t>
            </w:r>
          </w:p>
        </w:tc>
        <w:tc>
          <w:tcPr>
            <w:tcW w:type="dxa" w:w="1039"/>
          </w:tcPr>
          <w:p>
            <w:pPr>
              <w:jc w:val="center"/>
            </w:pPr>
            <w:r>
              <w:rPr>
                <w:rFonts w:ascii="宋体" w:hAnsi="宋体" w:eastAsia="宋体"/>
                <w:b w:val="0"/>
                <w:sz w:val="20"/>
              </w:rPr>
              <w:t>0.72</w:t>
            </w:r>
          </w:p>
        </w:tc>
        <w:tc>
          <w:tcPr>
            <w:tcW w:type="dxa" w:w="1039"/>
          </w:tcPr>
          <w:p>
            <w:pPr>
              <w:jc w:val="center"/>
            </w:pPr>
            <w:r>
              <w:rPr>
                <w:rFonts w:ascii="宋体" w:hAnsi="宋体" w:eastAsia="宋体"/>
                <w:b w:val="0"/>
                <w:sz w:val="20"/>
              </w:rPr>
              <w:t>0.85</w:t>
            </w:r>
          </w:p>
        </w:tc>
        <w:tc>
          <w:tcPr>
            <w:tcW w:type="dxa" w:w="1039"/>
          </w:tcPr>
          <w:p>
            <w:pPr>
              <w:jc w:val="center"/>
            </w:pPr>
            <w:r>
              <w:rPr>
                <w:rFonts w:ascii="宋体" w:hAnsi="宋体" w:eastAsia="宋体"/>
                <w:b w:val="0"/>
                <w:sz w:val="20"/>
              </w:rPr>
              <w:t>0.58</w:t>
            </w:r>
          </w:p>
        </w:tc>
      </w:tr>
      <w:tr>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上海</w:t>
            </w:r>
          </w:p>
        </w:tc>
        <w:tc>
          <w:tcPr>
            <w:tcW w:type="dxa" w:w="1039"/>
          </w:tcPr>
          <w:p>
            <w:pPr>
              <w:jc w:val="center"/>
            </w:pPr>
            <w:r>
              <w:rPr>
                <w:rFonts w:ascii="宋体" w:hAnsi="宋体" w:eastAsia="宋体"/>
                <w:b w:val="0"/>
                <w:sz w:val="20"/>
              </w:rPr>
              <w:t>0.765</w:t>
            </w:r>
          </w:p>
        </w:tc>
        <w:tc>
          <w:tcPr>
            <w:tcW w:type="dxa" w:w="1039"/>
          </w:tcPr>
          <w:p>
            <w:pPr>
              <w:jc w:val="center"/>
            </w:pPr>
            <w:r>
              <w:rPr>
                <w:rFonts w:ascii="宋体" w:hAnsi="宋体" w:eastAsia="宋体"/>
                <w:b w:val="0"/>
                <w:sz w:val="20"/>
              </w:rPr>
              <w:t>0.71</w:t>
            </w:r>
          </w:p>
        </w:tc>
        <w:tc>
          <w:tcPr>
            <w:tcW w:type="dxa" w:w="1039"/>
          </w:tcPr>
          <w:p>
            <w:pPr>
              <w:jc w:val="center"/>
            </w:pPr>
            <w:r>
              <w:rPr>
                <w:rFonts w:ascii="宋体" w:hAnsi="宋体" w:eastAsia="宋体"/>
                <w:b w:val="0"/>
                <w:sz w:val="20"/>
              </w:rPr>
              <w:t>0.74</w:t>
            </w:r>
          </w:p>
        </w:tc>
        <w:tc>
          <w:tcPr>
            <w:tcW w:type="dxa" w:w="1039"/>
          </w:tcPr>
          <w:p>
            <w:pPr>
              <w:jc w:val="center"/>
            </w:pPr>
            <w:r>
              <w:rPr>
                <w:rFonts w:ascii="宋体" w:hAnsi="宋体" w:eastAsia="宋体"/>
                <w:b w:val="0"/>
                <w:sz w:val="20"/>
              </w:rPr>
              <w:t>0.68</w:t>
            </w:r>
          </w:p>
        </w:tc>
        <w:tc>
          <w:tcPr>
            <w:tcW w:type="dxa" w:w="1039"/>
          </w:tcPr>
          <w:p>
            <w:pPr>
              <w:jc w:val="center"/>
            </w:pPr>
            <w:r>
              <w:rPr>
                <w:rFonts w:ascii="宋体" w:hAnsi="宋体" w:eastAsia="宋体"/>
                <w:b w:val="0"/>
                <w:sz w:val="20"/>
              </w:rPr>
              <w:t>0.82</w:t>
            </w:r>
          </w:p>
        </w:tc>
        <w:tc>
          <w:tcPr>
            <w:tcW w:type="dxa" w:w="1039"/>
          </w:tcPr>
          <w:p>
            <w:pPr>
              <w:jc w:val="center"/>
            </w:pPr>
            <w:r>
              <w:rPr>
                <w:rFonts w:ascii="宋体" w:hAnsi="宋体" w:eastAsia="宋体"/>
                <w:b w:val="0"/>
                <w:sz w:val="20"/>
              </w:rPr>
              <w:t>0.62</w:t>
            </w:r>
          </w:p>
        </w:tc>
      </w:tr>
      <w:tr>
        <w:tc>
          <w:tcPr>
            <w:tcW w:type="dxa" w:w="1039"/>
          </w:tcPr>
          <w:p>
            <w:pPr>
              <w:jc w:val="center"/>
            </w:pPr>
            <w:r>
              <w:rPr>
                <w:rFonts w:ascii="宋体" w:hAnsi="宋体" w:eastAsia="宋体"/>
                <w:b w:val="0"/>
                <w:sz w:val="20"/>
              </w:rPr>
              <w:t>4</w:t>
            </w:r>
          </w:p>
        </w:tc>
        <w:tc>
          <w:tcPr>
            <w:tcW w:type="dxa" w:w="1039"/>
          </w:tcPr>
          <w:p>
            <w:pPr>
              <w:jc w:val="center"/>
            </w:pPr>
            <w:r>
              <w:rPr>
                <w:rFonts w:ascii="宋体" w:hAnsi="宋体" w:eastAsia="宋体"/>
                <w:b w:val="0"/>
                <w:sz w:val="20"/>
              </w:rPr>
              <w:t>北京</w:t>
            </w:r>
          </w:p>
        </w:tc>
        <w:tc>
          <w:tcPr>
            <w:tcW w:type="dxa" w:w="1039"/>
          </w:tcPr>
          <w:p>
            <w:pPr>
              <w:jc w:val="center"/>
            </w:pPr>
            <w:r>
              <w:rPr>
                <w:rFonts w:ascii="宋体" w:hAnsi="宋体" w:eastAsia="宋体"/>
                <w:b w:val="0"/>
                <w:sz w:val="20"/>
              </w:rPr>
              <w:t>0.742</w:t>
            </w:r>
          </w:p>
        </w:tc>
        <w:tc>
          <w:tcPr>
            <w:tcW w:type="dxa" w:w="1039"/>
          </w:tcPr>
          <w:p>
            <w:pPr>
              <w:jc w:val="center"/>
            </w:pPr>
            <w:r>
              <w:rPr>
                <w:rFonts w:ascii="宋体" w:hAnsi="宋体" w:eastAsia="宋体"/>
                <w:b w:val="0"/>
                <w:sz w:val="20"/>
              </w:rPr>
              <w:t>0.68</w:t>
            </w:r>
          </w:p>
        </w:tc>
        <w:tc>
          <w:tcPr>
            <w:tcW w:type="dxa" w:w="1039"/>
          </w:tcPr>
          <w:p>
            <w:pPr>
              <w:jc w:val="center"/>
            </w:pPr>
            <w:r>
              <w:rPr>
                <w:rFonts w:ascii="宋体" w:hAnsi="宋体" w:eastAsia="宋体"/>
                <w:b w:val="0"/>
                <w:sz w:val="20"/>
              </w:rPr>
              <w:t>0.72</w:t>
            </w:r>
          </w:p>
        </w:tc>
        <w:tc>
          <w:tcPr>
            <w:tcW w:type="dxa" w:w="1039"/>
          </w:tcPr>
          <w:p>
            <w:pPr>
              <w:jc w:val="center"/>
            </w:pPr>
            <w:r>
              <w:rPr>
                <w:rFonts w:ascii="宋体" w:hAnsi="宋体" w:eastAsia="宋体"/>
                <w:b w:val="0"/>
                <w:sz w:val="20"/>
              </w:rPr>
              <w:t>0.65</w:t>
            </w:r>
          </w:p>
        </w:tc>
        <w:tc>
          <w:tcPr>
            <w:tcW w:type="dxa" w:w="1039"/>
          </w:tcPr>
          <w:p>
            <w:pPr>
              <w:jc w:val="center"/>
            </w:pPr>
            <w:r>
              <w:rPr>
                <w:rFonts w:ascii="宋体" w:hAnsi="宋体" w:eastAsia="宋体"/>
                <w:b w:val="0"/>
                <w:sz w:val="20"/>
              </w:rPr>
              <w:t>0.78</w:t>
            </w:r>
          </w:p>
        </w:tc>
        <w:tc>
          <w:tcPr>
            <w:tcW w:type="dxa" w:w="1039"/>
          </w:tcPr>
          <w:p>
            <w:pPr>
              <w:jc w:val="center"/>
            </w:pPr>
            <w:r>
              <w:rPr>
                <w:rFonts w:ascii="宋体" w:hAnsi="宋体" w:eastAsia="宋体"/>
                <w:b w:val="0"/>
                <w:sz w:val="20"/>
              </w:rPr>
              <w:t>0.60</w:t>
            </w:r>
          </w:p>
        </w:tc>
      </w:tr>
      <w:tr>
        <w:tc>
          <w:tcPr>
            <w:tcW w:type="dxa" w:w="1039"/>
          </w:tcPr>
          <w:p>
            <w:pPr>
              <w:jc w:val="center"/>
            </w:pPr>
            <w:r>
              <w:rPr>
                <w:rFonts w:ascii="宋体" w:hAnsi="宋体" w:eastAsia="宋体"/>
                <w:b w:val="0"/>
                <w:sz w:val="20"/>
              </w:rPr>
              <w:t>5</w:t>
            </w:r>
          </w:p>
        </w:tc>
        <w:tc>
          <w:tcPr>
            <w:tcW w:type="dxa" w:w="1039"/>
          </w:tcPr>
          <w:p>
            <w:pPr>
              <w:jc w:val="center"/>
            </w:pPr>
            <w:r>
              <w:rPr>
                <w:rFonts w:ascii="宋体" w:hAnsi="宋体" w:eastAsia="宋体"/>
                <w:b w:val="0"/>
                <w:sz w:val="20"/>
              </w:rPr>
              <w:t>山东</w:t>
            </w:r>
          </w:p>
        </w:tc>
        <w:tc>
          <w:tcPr>
            <w:tcW w:type="dxa" w:w="1039"/>
          </w:tcPr>
          <w:p>
            <w:pPr>
              <w:jc w:val="center"/>
            </w:pPr>
            <w:r>
              <w:rPr>
                <w:rFonts w:ascii="宋体" w:hAnsi="宋体" w:eastAsia="宋体"/>
                <w:b w:val="0"/>
                <w:sz w:val="20"/>
              </w:rPr>
              <w:t>0.721</w:t>
            </w:r>
          </w:p>
        </w:tc>
        <w:tc>
          <w:tcPr>
            <w:tcW w:type="dxa" w:w="1039"/>
          </w:tcPr>
          <w:p>
            <w:pPr>
              <w:jc w:val="center"/>
            </w:pPr>
            <w:r>
              <w:rPr>
                <w:rFonts w:ascii="宋体" w:hAnsi="宋体" w:eastAsia="宋体"/>
                <w:b w:val="0"/>
                <w:sz w:val="20"/>
              </w:rPr>
              <w:t>0.68</w:t>
            </w:r>
          </w:p>
        </w:tc>
        <w:tc>
          <w:tcPr>
            <w:tcW w:type="dxa" w:w="1039"/>
          </w:tcPr>
          <w:p>
            <w:pPr>
              <w:jc w:val="center"/>
            </w:pPr>
            <w:r>
              <w:rPr>
                <w:rFonts w:ascii="宋体" w:hAnsi="宋体" w:eastAsia="宋体"/>
                <w:b w:val="0"/>
                <w:sz w:val="20"/>
              </w:rPr>
              <w:t>0.84</w:t>
            </w:r>
          </w:p>
        </w:tc>
        <w:tc>
          <w:tcPr>
            <w:tcW w:type="dxa" w:w="1039"/>
          </w:tcPr>
          <w:p>
            <w:pPr>
              <w:jc w:val="center"/>
            </w:pPr>
            <w:r>
              <w:rPr>
                <w:rFonts w:ascii="宋体" w:hAnsi="宋体" w:eastAsia="宋体"/>
                <w:b w:val="0"/>
                <w:sz w:val="20"/>
              </w:rPr>
              <w:t>0.58</w:t>
            </w:r>
          </w:p>
        </w:tc>
        <w:tc>
          <w:tcPr>
            <w:tcW w:type="dxa" w:w="1039"/>
          </w:tcPr>
          <w:p>
            <w:pPr>
              <w:jc w:val="center"/>
            </w:pPr>
            <w:r>
              <w:rPr>
                <w:rFonts w:ascii="宋体" w:hAnsi="宋体" w:eastAsia="宋体"/>
                <w:b w:val="0"/>
                <w:sz w:val="20"/>
              </w:rPr>
              <w:t>0.70</w:t>
            </w:r>
          </w:p>
        </w:tc>
        <w:tc>
          <w:tcPr>
            <w:tcW w:type="dxa" w:w="1039"/>
          </w:tcPr>
          <w:p>
            <w:pPr>
              <w:jc w:val="center"/>
            </w:pPr>
            <w:r>
              <w:rPr>
                <w:rFonts w:ascii="宋体" w:hAnsi="宋体" w:eastAsia="宋体"/>
                <w:b w:val="0"/>
                <w:sz w:val="20"/>
              </w:rPr>
              <w:t>0.55</w:t>
            </w:r>
          </w:p>
        </w:tc>
      </w:tr>
      <w:tr>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c>
          <w:tcPr>
            <w:tcW w:type="dxa" w:w="1039"/>
          </w:tcPr>
          <w:p>
            <w:pPr>
              <w:jc w:val="center"/>
            </w:pPr>
            <w:r>
              <w:rPr>
                <w:rFonts w:ascii="宋体" w:hAnsi="宋体" w:eastAsia="宋体"/>
                <w:b w:val="0"/>
                <w:sz w:val="20"/>
              </w:rPr>
              <w:t>...</w:t>
            </w:r>
          </w:p>
        </w:tc>
      </w:tr>
    </w:tbl>
    <w:p>
      <w:r>
        <w:rPr>
          <w:rFonts w:ascii="宋体" w:hAnsi="宋体" w:eastAsia="宋体"/>
          <w:b w:val="0"/>
          <w:sz w:val="24"/>
        </w:rPr>
        <w:t>（注：具体排名和得分基于采集数据计算，详见第五章）</w:t>
      </w:r>
    </w:p>
    <w:p>
      <w:pPr>
        <w:pStyle w:val="Heading3"/>
      </w:pPr>
      <w:r>
        <w:t>附录D：DEA效率分析结果表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宋体" w:hAnsi="宋体" w:eastAsia="宋体"/>
                <w:b w:val="0"/>
                <w:sz w:val="20"/>
              </w:rPr>
              <w:t>省份</w:t>
            </w:r>
          </w:p>
        </w:tc>
        <w:tc>
          <w:tcPr>
            <w:tcW w:type="dxa" w:w="1385"/>
          </w:tcPr>
          <w:p>
            <w:pPr>
              <w:jc w:val="center"/>
            </w:pPr>
            <w:r>
              <w:rPr>
                <w:rFonts w:ascii="宋体" w:hAnsi="宋体" w:eastAsia="宋体"/>
                <w:b w:val="0"/>
                <w:sz w:val="20"/>
              </w:rPr>
              <w:t>综合效率TE</w:t>
            </w:r>
          </w:p>
        </w:tc>
        <w:tc>
          <w:tcPr>
            <w:tcW w:type="dxa" w:w="1385"/>
          </w:tcPr>
          <w:p>
            <w:pPr>
              <w:jc w:val="center"/>
            </w:pPr>
            <w:r>
              <w:rPr>
                <w:rFonts w:ascii="宋体" w:hAnsi="宋体" w:eastAsia="宋体"/>
                <w:b w:val="0"/>
                <w:sz w:val="20"/>
              </w:rPr>
              <w:t>纯技术效率PTE</w:t>
            </w:r>
          </w:p>
        </w:tc>
        <w:tc>
          <w:tcPr>
            <w:tcW w:type="dxa" w:w="1385"/>
          </w:tcPr>
          <w:p>
            <w:pPr>
              <w:jc w:val="center"/>
            </w:pPr>
            <w:r>
              <w:rPr>
                <w:rFonts w:ascii="宋体" w:hAnsi="宋体" w:eastAsia="宋体"/>
                <w:b w:val="0"/>
                <w:sz w:val="20"/>
              </w:rPr>
              <w:t>规模效率SE</w:t>
            </w:r>
          </w:p>
        </w:tc>
        <w:tc>
          <w:tcPr>
            <w:tcW w:type="dxa" w:w="1385"/>
          </w:tcPr>
          <w:p>
            <w:pPr>
              <w:jc w:val="center"/>
            </w:pPr>
            <w:r>
              <w:rPr>
                <w:rFonts w:ascii="宋体" w:hAnsi="宋体" w:eastAsia="宋体"/>
                <w:b w:val="0"/>
                <w:sz w:val="20"/>
              </w:rPr>
              <w:t>效率类型</w:t>
            </w:r>
          </w:p>
        </w:tc>
        <w:tc>
          <w:tcPr>
            <w:tcW w:type="dxa" w:w="1385"/>
          </w:tcPr>
          <w:p>
            <w:pPr>
              <w:jc w:val="center"/>
            </w:pPr>
            <w:r>
              <w:rPr>
                <w:rFonts w:ascii="宋体" w:hAnsi="宋体" w:eastAsia="宋体"/>
                <w:b w:val="0"/>
                <w:sz w:val="20"/>
              </w:rPr>
              <w:t>优化方向</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双高型</w:t>
            </w:r>
          </w:p>
        </w:tc>
        <w:tc>
          <w:tcPr>
            <w:tcW w:type="dxa" w:w="1385"/>
          </w:tcPr>
          <w:p>
            <w:pPr>
              <w:jc w:val="center"/>
            </w:pPr>
            <w:r>
              <w:rPr>
                <w:rFonts w:ascii="宋体" w:hAnsi="宋体" w:eastAsia="宋体"/>
                <w:b w:val="0"/>
                <w:sz w:val="20"/>
              </w:rPr>
              <w:t>保持</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双高型</w:t>
            </w:r>
          </w:p>
        </w:tc>
        <w:tc>
          <w:tcPr>
            <w:tcW w:type="dxa" w:w="1385"/>
          </w:tcPr>
          <w:p>
            <w:pPr>
              <w:jc w:val="center"/>
            </w:pPr>
            <w:r>
              <w:rPr>
                <w:rFonts w:ascii="宋体" w:hAnsi="宋体" w:eastAsia="宋体"/>
                <w:b w:val="0"/>
                <w:sz w:val="20"/>
              </w:rPr>
              <w:t>保持</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双高型</w:t>
            </w:r>
          </w:p>
        </w:tc>
        <w:tc>
          <w:tcPr>
            <w:tcW w:type="dxa" w:w="1385"/>
          </w:tcPr>
          <w:p>
            <w:pPr>
              <w:jc w:val="center"/>
            </w:pPr>
            <w:r>
              <w:rPr>
                <w:rFonts w:ascii="宋体" w:hAnsi="宋体" w:eastAsia="宋体"/>
                <w:b w:val="0"/>
                <w:sz w:val="20"/>
              </w:rPr>
              <w:t>保持</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双高型</w:t>
            </w:r>
          </w:p>
        </w:tc>
        <w:tc>
          <w:tcPr>
            <w:tcW w:type="dxa" w:w="1385"/>
          </w:tcPr>
          <w:p>
            <w:pPr>
              <w:jc w:val="center"/>
            </w:pPr>
            <w:r>
              <w:rPr>
                <w:rFonts w:ascii="宋体" w:hAnsi="宋体" w:eastAsia="宋体"/>
                <w:b w:val="0"/>
                <w:sz w:val="20"/>
              </w:rPr>
              <w:t>保持</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0.875</w:t>
            </w:r>
          </w:p>
        </w:tc>
        <w:tc>
          <w:tcPr>
            <w:tcW w:type="dxa" w:w="1385"/>
          </w:tcPr>
          <w:p>
            <w:pPr>
              <w:jc w:val="center"/>
            </w:pPr>
            <w:r>
              <w:rPr>
                <w:rFonts w:ascii="宋体" w:hAnsi="宋体" w:eastAsia="宋体"/>
                <w:b w:val="0"/>
                <w:sz w:val="20"/>
              </w:rPr>
              <w:t>0.920</w:t>
            </w:r>
          </w:p>
        </w:tc>
        <w:tc>
          <w:tcPr>
            <w:tcW w:type="dxa" w:w="1385"/>
          </w:tcPr>
          <w:p>
            <w:pPr>
              <w:jc w:val="center"/>
            </w:pPr>
            <w:r>
              <w:rPr>
                <w:rFonts w:ascii="宋体" w:hAnsi="宋体" w:eastAsia="宋体"/>
                <w:b w:val="0"/>
                <w:sz w:val="20"/>
              </w:rPr>
              <w:t>0.951</w:t>
            </w:r>
          </w:p>
        </w:tc>
        <w:tc>
          <w:tcPr>
            <w:tcW w:type="dxa" w:w="1385"/>
          </w:tcPr>
          <w:p>
            <w:pPr>
              <w:jc w:val="center"/>
            </w:pPr>
            <w:r>
              <w:rPr>
                <w:rFonts w:ascii="宋体" w:hAnsi="宋体" w:eastAsia="宋体"/>
                <w:b w:val="0"/>
                <w:sz w:val="20"/>
              </w:rPr>
              <w:t>技术短板型</w:t>
            </w:r>
          </w:p>
        </w:tc>
        <w:tc>
          <w:tcPr>
            <w:tcW w:type="dxa" w:w="1385"/>
          </w:tcPr>
          <w:p>
            <w:pPr>
              <w:jc w:val="center"/>
            </w:pPr>
            <w:r>
              <w:rPr>
                <w:rFonts w:ascii="宋体" w:hAnsi="宋体" w:eastAsia="宋体"/>
                <w:b w:val="0"/>
                <w:sz w:val="20"/>
              </w:rPr>
              <w:t>提升管理效率</w:t>
            </w:r>
          </w:p>
        </w:tc>
      </w:tr>
      <w:tr>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r>
    </w:tbl>
    <w:p>
      <w:pPr>
        <w:pStyle w:val="Heading3"/>
      </w:pPr>
      <w:r>
        <w:t>附录E：与开放数林指数排名对比表</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val="0"/>
                <w:sz w:val="20"/>
              </w:rPr>
              <w:t>省份</w:t>
            </w:r>
          </w:p>
        </w:tc>
        <w:tc>
          <w:tcPr>
            <w:tcW w:type="dxa" w:w="1662"/>
          </w:tcPr>
          <w:p>
            <w:pPr>
              <w:jc w:val="center"/>
            </w:pPr>
            <w:r>
              <w:rPr>
                <w:rFonts w:ascii="宋体" w:hAnsi="宋体" w:eastAsia="宋体"/>
                <w:b w:val="0"/>
                <w:sz w:val="20"/>
              </w:rPr>
              <w:t>本研究排名</w:t>
            </w:r>
          </w:p>
        </w:tc>
        <w:tc>
          <w:tcPr>
            <w:tcW w:type="dxa" w:w="1662"/>
          </w:tcPr>
          <w:p>
            <w:pPr>
              <w:jc w:val="center"/>
            </w:pPr>
            <w:r>
              <w:rPr>
                <w:rFonts w:ascii="宋体" w:hAnsi="宋体" w:eastAsia="宋体"/>
                <w:b w:val="0"/>
                <w:sz w:val="20"/>
              </w:rPr>
              <w:t>开放数林排名</w:t>
            </w:r>
          </w:p>
        </w:tc>
        <w:tc>
          <w:tcPr>
            <w:tcW w:type="dxa" w:w="1662"/>
          </w:tcPr>
          <w:p>
            <w:pPr>
              <w:jc w:val="center"/>
            </w:pPr>
            <w:r>
              <w:rPr>
                <w:rFonts w:ascii="宋体" w:hAnsi="宋体" w:eastAsia="宋体"/>
                <w:b w:val="0"/>
                <w:sz w:val="20"/>
              </w:rPr>
              <w:t>排名差异</w:t>
            </w:r>
          </w:p>
        </w:tc>
        <w:tc>
          <w:tcPr>
            <w:tcW w:type="dxa" w:w="1662"/>
          </w:tcPr>
          <w:p>
            <w:pPr>
              <w:jc w:val="center"/>
            </w:pPr>
            <w:r>
              <w:rPr>
                <w:rFonts w:ascii="宋体" w:hAnsi="宋体" w:eastAsia="宋体"/>
                <w:b w:val="0"/>
                <w:sz w:val="20"/>
              </w:rPr>
              <w:t>差异解释</w:t>
            </w:r>
          </w:p>
        </w:tc>
      </w:tr>
      <w:tr>
        <w:tc>
          <w:tcPr>
            <w:tcW w:type="dxa" w:w="1662"/>
          </w:tcPr>
          <w:p>
            <w:pPr>
              <w:jc w:val="center"/>
            </w:pPr>
            <w:r>
              <w:rPr>
                <w:rFonts w:ascii="宋体" w:hAnsi="宋体" w:eastAsia="宋体"/>
                <w:b w:val="0"/>
                <w:sz w:val="20"/>
              </w:rPr>
              <w:t>浙江</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0</w:t>
            </w:r>
          </w:p>
        </w:tc>
        <w:tc>
          <w:tcPr>
            <w:tcW w:type="dxa" w:w="1662"/>
          </w:tcPr>
          <w:p>
            <w:pPr>
              <w:jc w:val="center"/>
            </w:pPr>
            <w:r>
              <w:rPr>
                <w:rFonts w:ascii="宋体" w:hAnsi="宋体" w:eastAsia="宋体"/>
                <w:b w:val="0"/>
                <w:sz w:val="20"/>
              </w:rPr>
              <w:t>一致</w:t>
            </w:r>
          </w:p>
        </w:tc>
      </w:tr>
      <w:tr>
        <w:tc>
          <w:tcPr>
            <w:tcW w:type="dxa" w:w="1662"/>
          </w:tcPr>
          <w:p>
            <w:pPr>
              <w:jc w:val="center"/>
            </w:pPr>
            <w:r>
              <w:rPr>
                <w:rFonts w:ascii="宋体" w:hAnsi="宋体" w:eastAsia="宋体"/>
                <w:b w:val="0"/>
                <w:sz w:val="20"/>
              </w:rPr>
              <w:t>广东</w:t>
            </w:r>
          </w:p>
        </w:tc>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本研究利用效果权重更高</w:t>
            </w:r>
          </w:p>
        </w:tc>
      </w:tr>
      <w:tr>
        <w:tc>
          <w:tcPr>
            <w:tcW w:type="dxa" w:w="1662"/>
          </w:tcPr>
          <w:p>
            <w:pPr>
              <w:jc w:val="center"/>
            </w:pPr>
            <w:r>
              <w:rPr>
                <w:rFonts w:ascii="宋体" w:hAnsi="宋体" w:eastAsia="宋体"/>
                <w:b w:val="0"/>
                <w:sz w:val="20"/>
              </w:rPr>
              <w:t>上海</w:t>
            </w:r>
          </w:p>
        </w:tc>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开放数林平台层权重更高</w:t>
            </w:r>
          </w:p>
        </w:tc>
      </w:tr>
      <w:tr>
        <w:tc>
          <w:tcPr>
            <w:tcW w:type="dxa" w:w="1662"/>
          </w:tcPr>
          <w:p>
            <w:pPr>
              <w:jc w:val="center"/>
            </w:pPr>
            <w:r>
              <w:rPr>
                <w:rFonts w:ascii="宋体" w:hAnsi="宋体" w:eastAsia="宋体"/>
                <w:b w:val="0"/>
                <w:sz w:val="20"/>
              </w:rPr>
              <w:t>山东</w:t>
            </w:r>
          </w:p>
        </w:tc>
        <w:tc>
          <w:tcPr>
            <w:tcW w:type="dxa" w:w="1662"/>
          </w:tcPr>
          <w:p>
            <w:pPr>
              <w:jc w:val="center"/>
            </w:pPr>
            <w:r>
              <w:rPr>
                <w:rFonts w:ascii="宋体" w:hAnsi="宋体" w:eastAsia="宋体"/>
                <w:b w:val="0"/>
                <w:sz w:val="20"/>
              </w:rPr>
              <w:t>5</w:t>
            </w:r>
          </w:p>
        </w:tc>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开放数林平台层权重更高</w:t>
            </w:r>
          </w:p>
        </w:tc>
      </w:tr>
      <w:tr>
        <w:tc>
          <w:tcPr>
            <w:tcW w:type="dxa" w:w="1662"/>
          </w:tcPr>
          <w:p>
            <w:pPr>
              <w:jc w:val="center"/>
            </w:pPr>
            <w:r>
              <w:rPr>
                <w:rFonts w:ascii="宋体" w:hAnsi="宋体" w:eastAsia="宋体"/>
                <w:b w:val="0"/>
                <w:sz w:val="20"/>
              </w:rPr>
              <w:t>...</w:t>
            </w:r>
          </w:p>
        </w:tc>
        <w:tc>
          <w:tcPr>
            <w:tcW w:type="dxa" w:w="1662"/>
          </w:tcPr>
          <w:p>
            <w:pPr>
              <w:jc w:val="center"/>
            </w:pPr>
            <w:r>
              <w:rPr>
                <w:rFonts w:ascii="宋体" w:hAnsi="宋体" w:eastAsia="宋体"/>
                <w:b w:val="0"/>
                <w:sz w:val="20"/>
              </w:rPr>
              <w:t>...</w:t>
            </w:r>
          </w:p>
        </w:tc>
        <w:tc>
          <w:tcPr>
            <w:tcW w:type="dxa" w:w="1662"/>
          </w:tcPr>
          <w:p>
            <w:pPr>
              <w:jc w:val="center"/>
            </w:pPr>
            <w:r>
              <w:rPr>
                <w:rFonts w:ascii="宋体" w:hAnsi="宋体" w:eastAsia="宋体"/>
                <w:b w:val="0"/>
                <w:sz w:val="20"/>
              </w:rPr>
              <w:t>...</w:t>
            </w:r>
          </w:p>
        </w:tc>
        <w:tc>
          <w:tcPr>
            <w:tcW w:type="dxa" w:w="1662"/>
          </w:tcPr>
          <w:p>
            <w:pPr>
              <w:jc w:val="center"/>
            </w:pPr>
            <w:r>
              <w:rPr>
                <w:rFonts w:ascii="宋体" w:hAnsi="宋体" w:eastAsia="宋体"/>
                <w:b w:val="0"/>
                <w:sz w:val="20"/>
              </w:rPr>
              <w:t>...</w:t>
            </w:r>
          </w:p>
        </w:tc>
        <w:tc>
          <w:tcPr>
            <w:tcW w:type="dxa" w:w="1662"/>
          </w:tcPr>
          <w:p>
            <w:pPr>
              <w:jc w:val="center"/>
            </w:pPr>
            <w:r>
              <w:rPr>
                <w:rFonts w:ascii="宋体" w:hAnsi="宋体" w:eastAsia="宋体"/>
                <w:b w:val="0"/>
                <w:sz w:val="20"/>
              </w:rPr>
              <w:t>...</w:t>
            </w:r>
          </w:p>
        </w:tc>
      </w:tr>
    </w:tbl>
    <w:p>
      <w:pPr>
        <w:pStyle w:val="Heading3"/>
      </w:pPr>
      <w:r>
        <w:t>附录F：DEMATEL中心度与原因度分析表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宋体" w:hAnsi="宋体" w:eastAsia="宋体"/>
                <w:b w:val="0"/>
                <w:sz w:val="20"/>
              </w:rPr>
              <w:t>因素</w:t>
            </w:r>
          </w:p>
        </w:tc>
        <w:tc>
          <w:tcPr>
            <w:tcW w:type="dxa" w:w="1385"/>
          </w:tcPr>
          <w:p>
            <w:pPr>
              <w:jc w:val="center"/>
            </w:pPr>
            <w:r>
              <w:rPr>
                <w:rFonts w:ascii="宋体" w:hAnsi="宋体" w:eastAsia="宋体"/>
                <w:b w:val="0"/>
                <w:sz w:val="20"/>
              </w:rPr>
              <w:t>影响度D</w:t>
            </w:r>
          </w:p>
        </w:tc>
        <w:tc>
          <w:tcPr>
            <w:tcW w:type="dxa" w:w="1385"/>
          </w:tcPr>
          <w:p>
            <w:pPr>
              <w:jc w:val="center"/>
            </w:pPr>
            <w:r>
              <w:rPr>
                <w:rFonts w:ascii="宋体" w:hAnsi="宋体" w:eastAsia="宋体"/>
                <w:b w:val="0"/>
                <w:sz w:val="20"/>
              </w:rPr>
              <w:t>被影响度R</w:t>
            </w:r>
          </w:p>
        </w:tc>
        <w:tc>
          <w:tcPr>
            <w:tcW w:type="dxa" w:w="1385"/>
          </w:tcPr>
          <w:p>
            <w:pPr>
              <w:jc w:val="center"/>
            </w:pPr>
            <w:r>
              <w:rPr>
                <w:rFonts w:ascii="宋体" w:hAnsi="宋体" w:eastAsia="宋体"/>
                <w:b w:val="0"/>
                <w:sz w:val="20"/>
              </w:rPr>
              <w:t>中心度M</w:t>
            </w:r>
          </w:p>
        </w:tc>
        <w:tc>
          <w:tcPr>
            <w:tcW w:type="dxa" w:w="1385"/>
          </w:tcPr>
          <w:p>
            <w:pPr>
              <w:jc w:val="center"/>
            </w:pPr>
            <w:r>
              <w:rPr>
                <w:rFonts w:ascii="宋体" w:hAnsi="宋体" w:eastAsia="宋体"/>
                <w:b w:val="0"/>
                <w:sz w:val="20"/>
              </w:rPr>
              <w:t>原因度N</w:t>
            </w:r>
          </w:p>
        </w:tc>
        <w:tc>
          <w:tcPr>
            <w:tcW w:type="dxa" w:w="1385"/>
          </w:tcPr>
          <w:p>
            <w:pPr>
              <w:jc w:val="center"/>
            </w:pPr>
            <w:r>
              <w:rPr>
                <w:rFonts w:ascii="宋体" w:hAnsi="宋体" w:eastAsia="宋体"/>
                <w:b w:val="0"/>
                <w:sz w:val="20"/>
              </w:rPr>
              <w:t>类型</w:t>
            </w:r>
          </w:p>
        </w:tc>
      </w:tr>
      <w:tr>
        <w:tc>
          <w:tcPr>
            <w:tcW w:type="dxa" w:w="1385"/>
          </w:tcPr>
          <w:p>
            <w:pPr>
              <w:jc w:val="center"/>
            </w:pPr>
            <w:r>
              <w:rPr>
                <w:rFonts w:ascii="宋体" w:hAnsi="宋体" w:eastAsia="宋体"/>
                <w:b w:val="0"/>
                <w:sz w:val="20"/>
              </w:rPr>
              <w:t>制度环境(I)</w:t>
            </w:r>
          </w:p>
        </w:tc>
        <w:tc>
          <w:tcPr>
            <w:tcW w:type="dxa" w:w="1385"/>
          </w:tcPr>
          <w:p>
            <w:pPr>
              <w:jc w:val="center"/>
            </w:pPr>
            <w:r>
              <w:rPr>
                <w:rFonts w:ascii="宋体" w:hAnsi="宋体" w:eastAsia="宋体"/>
                <w:b w:val="0"/>
                <w:sz w:val="20"/>
              </w:rPr>
              <w:t>1.56</w:t>
            </w:r>
          </w:p>
        </w:tc>
        <w:tc>
          <w:tcPr>
            <w:tcW w:type="dxa" w:w="1385"/>
          </w:tcPr>
          <w:p>
            <w:pPr>
              <w:jc w:val="center"/>
            </w:pPr>
            <w:r>
              <w:rPr>
                <w:rFonts w:ascii="宋体" w:hAnsi="宋体" w:eastAsia="宋体"/>
                <w:b w:val="0"/>
                <w:sz w:val="20"/>
              </w:rPr>
              <w:t>0.84</w:t>
            </w:r>
          </w:p>
        </w:tc>
        <w:tc>
          <w:tcPr>
            <w:tcW w:type="dxa" w:w="1385"/>
          </w:tcPr>
          <w:p>
            <w:pPr>
              <w:jc w:val="center"/>
            </w:pPr>
            <w:r>
              <w:rPr>
                <w:rFonts w:ascii="宋体" w:hAnsi="宋体" w:eastAsia="宋体"/>
                <w:b w:val="0"/>
                <w:sz w:val="20"/>
              </w:rPr>
              <w:t>2.40</w:t>
            </w:r>
          </w:p>
        </w:tc>
        <w:tc>
          <w:tcPr>
            <w:tcW w:type="dxa" w:w="1385"/>
          </w:tcPr>
          <w:p>
            <w:pPr>
              <w:jc w:val="center"/>
            </w:pPr>
            <w:r>
              <w:rPr>
                <w:rFonts w:ascii="宋体" w:hAnsi="宋体" w:eastAsia="宋体"/>
                <w:b w:val="0"/>
                <w:sz w:val="20"/>
              </w:rPr>
              <w:t>0.72</w:t>
            </w:r>
          </w:p>
        </w:tc>
        <w:tc>
          <w:tcPr>
            <w:tcW w:type="dxa" w:w="1385"/>
          </w:tcPr>
          <w:p>
            <w:pPr>
              <w:jc w:val="center"/>
            </w:pPr>
            <w:r>
              <w:rPr>
                <w:rFonts w:ascii="宋体" w:hAnsi="宋体" w:eastAsia="宋体"/>
                <w:b w:val="0"/>
                <w:sz w:val="20"/>
              </w:rPr>
              <w:t>原因因素</w:t>
            </w:r>
          </w:p>
        </w:tc>
      </w:tr>
      <w:tr>
        <w:tc>
          <w:tcPr>
            <w:tcW w:type="dxa" w:w="1385"/>
          </w:tcPr>
          <w:p>
            <w:pPr>
              <w:jc w:val="center"/>
            </w:pPr>
            <w:r>
              <w:rPr>
                <w:rFonts w:ascii="宋体" w:hAnsi="宋体" w:eastAsia="宋体"/>
                <w:b w:val="0"/>
                <w:sz w:val="20"/>
              </w:rPr>
              <w:t>技术能力(T)</w:t>
            </w:r>
          </w:p>
        </w:tc>
        <w:tc>
          <w:tcPr>
            <w:tcW w:type="dxa" w:w="1385"/>
          </w:tcPr>
          <w:p>
            <w:pPr>
              <w:jc w:val="center"/>
            </w:pPr>
            <w:r>
              <w:rPr>
                <w:rFonts w:ascii="宋体" w:hAnsi="宋体" w:eastAsia="宋体"/>
                <w:b w:val="0"/>
                <w:sz w:val="20"/>
              </w:rPr>
              <w:t>1.42</w:t>
            </w:r>
          </w:p>
        </w:tc>
        <w:tc>
          <w:tcPr>
            <w:tcW w:type="dxa" w:w="1385"/>
          </w:tcPr>
          <w:p>
            <w:pPr>
              <w:jc w:val="center"/>
            </w:pPr>
            <w:r>
              <w:rPr>
                <w:rFonts w:ascii="宋体" w:hAnsi="宋体" w:eastAsia="宋体"/>
                <w:b w:val="0"/>
                <w:sz w:val="20"/>
              </w:rPr>
              <w:t>0.84</w:t>
            </w:r>
          </w:p>
        </w:tc>
        <w:tc>
          <w:tcPr>
            <w:tcW w:type="dxa" w:w="1385"/>
          </w:tcPr>
          <w:p>
            <w:pPr>
              <w:jc w:val="center"/>
            </w:pPr>
            <w:r>
              <w:rPr>
                <w:rFonts w:ascii="宋体" w:hAnsi="宋体" w:eastAsia="宋体"/>
                <w:b w:val="0"/>
                <w:sz w:val="20"/>
              </w:rPr>
              <w:t>2.26</w:t>
            </w:r>
          </w:p>
        </w:tc>
        <w:tc>
          <w:tcPr>
            <w:tcW w:type="dxa" w:w="1385"/>
          </w:tcPr>
          <w:p>
            <w:pPr>
              <w:jc w:val="center"/>
            </w:pPr>
            <w:r>
              <w:rPr>
                <w:rFonts w:ascii="宋体" w:hAnsi="宋体" w:eastAsia="宋体"/>
                <w:b w:val="0"/>
                <w:sz w:val="20"/>
              </w:rPr>
              <w:t>0.58</w:t>
            </w:r>
          </w:p>
        </w:tc>
        <w:tc>
          <w:tcPr>
            <w:tcW w:type="dxa" w:w="1385"/>
          </w:tcPr>
          <w:p>
            <w:pPr>
              <w:jc w:val="center"/>
            </w:pPr>
            <w:r>
              <w:rPr>
                <w:rFonts w:ascii="宋体" w:hAnsi="宋体" w:eastAsia="宋体"/>
                <w:b w:val="0"/>
                <w:sz w:val="20"/>
              </w:rPr>
              <w:t>原因因素</w:t>
            </w:r>
          </w:p>
        </w:tc>
      </w:tr>
      <w:tr>
        <w:tc>
          <w:tcPr>
            <w:tcW w:type="dxa" w:w="1385"/>
          </w:tcPr>
          <w:p>
            <w:pPr>
              <w:jc w:val="center"/>
            </w:pPr>
            <w:r>
              <w:rPr>
                <w:rFonts w:ascii="宋体" w:hAnsi="宋体" w:eastAsia="宋体"/>
                <w:b w:val="0"/>
                <w:sz w:val="20"/>
              </w:rPr>
              <w:t>区域经济(E)</w:t>
            </w:r>
          </w:p>
        </w:tc>
        <w:tc>
          <w:tcPr>
            <w:tcW w:type="dxa" w:w="1385"/>
          </w:tcPr>
          <w:p>
            <w:pPr>
              <w:jc w:val="center"/>
            </w:pPr>
            <w:r>
              <w:rPr>
                <w:rFonts w:ascii="宋体" w:hAnsi="宋体" w:eastAsia="宋体"/>
                <w:b w:val="0"/>
                <w:sz w:val="20"/>
              </w:rPr>
              <w:t>1.25</w:t>
            </w:r>
          </w:p>
        </w:tc>
        <w:tc>
          <w:tcPr>
            <w:tcW w:type="dxa" w:w="1385"/>
          </w:tcPr>
          <w:p>
            <w:pPr>
              <w:jc w:val="center"/>
            </w:pPr>
            <w:r>
              <w:rPr>
                <w:rFonts w:ascii="宋体" w:hAnsi="宋体" w:eastAsia="宋体"/>
                <w:b w:val="0"/>
                <w:sz w:val="20"/>
              </w:rPr>
              <w:t>0.80</w:t>
            </w:r>
          </w:p>
        </w:tc>
        <w:tc>
          <w:tcPr>
            <w:tcW w:type="dxa" w:w="1385"/>
          </w:tcPr>
          <w:p>
            <w:pPr>
              <w:jc w:val="center"/>
            </w:pPr>
            <w:r>
              <w:rPr>
                <w:rFonts w:ascii="宋体" w:hAnsi="宋体" w:eastAsia="宋体"/>
                <w:b w:val="0"/>
                <w:sz w:val="20"/>
              </w:rPr>
              <w:t>2.05</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原因因素</w:t>
            </w:r>
          </w:p>
        </w:tc>
      </w:tr>
      <w:tr>
        <w:tc>
          <w:tcPr>
            <w:tcW w:type="dxa" w:w="1385"/>
          </w:tcPr>
          <w:p>
            <w:pPr>
              <w:jc w:val="center"/>
            </w:pPr>
            <w:r>
              <w:rPr>
                <w:rFonts w:ascii="宋体" w:hAnsi="宋体" w:eastAsia="宋体"/>
                <w:b w:val="0"/>
                <w:sz w:val="20"/>
              </w:rPr>
              <w:t>数据质量(Q)</w:t>
            </w:r>
          </w:p>
        </w:tc>
        <w:tc>
          <w:tcPr>
            <w:tcW w:type="dxa" w:w="1385"/>
          </w:tcPr>
          <w:p>
            <w:pPr>
              <w:jc w:val="center"/>
            </w:pPr>
            <w:r>
              <w:rPr>
                <w:rFonts w:ascii="宋体" w:hAnsi="宋体" w:eastAsia="宋体"/>
                <w:b w:val="0"/>
                <w:sz w:val="20"/>
              </w:rPr>
              <w:t>1.25</w:t>
            </w:r>
          </w:p>
        </w:tc>
        <w:tc>
          <w:tcPr>
            <w:tcW w:type="dxa" w:w="1385"/>
          </w:tcPr>
          <w:p>
            <w:pPr>
              <w:jc w:val="center"/>
            </w:pPr>
            <w:r>
              <w:rPr>
                <w:rFonts w:ascii="宋体" w:hAnsi="宋体" w:eastAsia="宋体"/>
                <w:b w:val="0"/>
                <w:sz w:val="20"/>
              </w:rPr>
              <w:t>1.60</w:t>
            </w:r>
          </w:p>
        </w:tc>
        <w:tc>
          <w:tcPr>
            <w:tcW w:type="dxa" w:w="1385"/>
          </w:tcPr>
          <w:p>
            <w:pPr>
              <w:jc w:val="center"/>
            </w:pPr>
            <w:r>
              <w:rPr>
                <w:rFonts w:ascii="宋体" w:hAnsi="宋体" w:eastAsia="宋体"/>
                <w:b w:val="0"/>
                <w:sz w:val="20"/>
              </w:rPr>
              <w:t>2.85</w:t>
            </w:r>
          </w:p>
        </w:tc>
        <w:tc>
          <w:tcPr>
            <w:tcW w:type="dxa" w:w="1385"/>
          </w:tcPr>
          <w:p>
            <w:pPr>
              <w:jc w:val="center"/>
            </w:pPr>
            <w:r>
              <w:rPr>
                <w:rFonts w:ascii="宋体" w:hAnsi="宋体" w:eastAsia="宋体"/>
                <w:b w:val="0"/>
                <w:sz w:val="20"/>
              </w:rPr>
              <w:t>-0.35</w:t>
            </w:r>
          </w:p>
        </w:tc>
        <w:tc>
          <w:tcPr>
            <w:tcW w:type="dxa" w:w="1385"/>
          </w:tcPr>
          <w:p>
            <w:pPr>
              <w:jc w:val="center"/>
            </w:pPr>
            <w:r>
              <w:rPr>
                <w:rFonts w:ascii="宋体" w:hAnsi="宋体" w:eastAsia="宋体"/>
                <w:b w:val="0"/>
                <w:sz w:val="20"/>
              </w:rPr>
              <w:t>结果因素</w:t>
            </w:r>
          </w:p>
        </w:tc>
      </w:tr>
      <w:tr>
        <w:tc>
          <w:tcPr>
            <w:tcW w:type="dxa" w:w="1385"/>
          </w:tcPr>
          <w:p>
            <w:pPr>
              <w:jc w:val="center"/>
            </w:pPr>
            <w:r>
              <w:rPr>
                <w:rFonts w:ascii="宋体" w:hAnsi="宋体" w:eastAsia="宋体"/>
                <w:b w:val="0"/>
                <w:sz w:val="20"/>
              </w:rPr>
              <w:t>平台服务(S)</w:t>
            </w:r>
          </w:p>
        </w:tc>
        <w:tc>
          <w:tcPr>
            <w:tcW w:type="dxa" w:w="1385"/>
          </w:tcPr>
          <w:p>
            <w:pPr>
              <w:jc w:val="center"/>
            </w:pPr>
            <w:r>
              <w:rPr>
                <w:rFonts w:ascii="宋体" w:hAnsi="宋体" w:eastAsia="宋体"/>
                <w:b w:val="0"/>
                <w:sz w:val="20"/>
              </w:rPr>
              <w:t>1.18</w:t>
            </w:r>
          </w:p>
        </w:tc>
        <w:tc>
          <w:tcPr>
            <w:tcW w:type="dxa" w:w="1385"/>
          </w:tcPr>
          <w:p>
            <w:pPr>
              <w:jc w:val="center"/>
            </w:pPr>
            <w:r>
              <w:rPr>
                <w:rFonts w:ascii="宋体" w:hAnsi="宋体" w:eastAsia="宋体"/>
                <w:b w:val="0"/>
                <w:sz w:val="20"/>
              </w:rPr>
              <w:t>1.44</w:t>
            </w:r>
          </w:p>
        </w:tc>
        <w:tc>
          <w:tcPr>
            <w:tcW w:type="dxa" w:w="1385"/>
          </w:tcPr>
          <w:p>
            <w:pPr>
              <w:jc w:val="center"/>
            </w:pPr>
            <w:r>
              <w:rPr>
                <w:rFonts w:ascii="宋体" w:hAnsi="宋体" w:eastAsia="宋体"/>
                <w:b w:val="0"/>
                <w:sz w:val="20"/>
              </w:rPr>
              <w:t>2.62</w:t>
            </w:r>
          </w:p>
        </w:tc>
        <w:tc>
          <w:tcPr>
            <w:tcW w:type="dxa" w:w="1385"/>
          </w:tcPr>
          <w:p>
            <w:pPr>
              <w:jc w:val="center"/>
            </w:pPr>
            <w:r>
              <w:rPr>
                <w:rFonts w:ascii="宋体" w:hAnsi="宋体" w:eastAsia="宋体"/>
                <w:b w:val="0"/>
                <w:sz w:val="20"/>
              </w:rPr>
              <w:t>-0.26</w:t>
            </w:r>
          </w:p>
        </w:tc>
        <w:tc>
          <w:tcPr>
            <w:tcW w:type="dxa" w:w="1385"/>
          </w:tcPr>
          <w:p>
            <w:pPr>
              <w:jc w:val="center"/>
            </w:pPr>
            <w:r>
              <w:rPr>
                <w:rFonts w:ascii="宋体" w:hAnsi="宋体" w:eastAsia="宋体"/>
                <w:b w:val="0"/>
                <w:sz w:val="20"/>
              </w:rPr>
              <w:t>结果因素</w:t>
            </w:r>
          </w:p>
        </w:tc>
      </w:tr>
      <w:tr>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c>
          <w:tcPr>
            <w:tcW w:type="dxa" w:w="1385"/>
          </w:tcPr>
          <w:p>
            <w:pPr>
              <w:jc w:val="center"/>
            </w:pPr>
            <w:r>
              <w:rPr>
                <w:rFonts w:ascii="宋体" w:hAnsi="宋体" w:eastAsia="宋体"/>
                <w:b w:val="0"/>
                <w:sz w:val="20"/>
              </w:rPr>
              <w:t>...</w:t>
            </w:r>
          </w:p>
        </w:tc>
      </w:tr>
    </w:tbl>
    <w:p>
      <w:pPr>
        <w:pStyle w:val="Heading3"/>
      </w:pPr>
      <w:r>
        <w:t>附录G：fsQCA真值表及组态路径分析表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宋体" w:hAnsi="宋体" w:eastAsia="宋体"/>
                <w:b w:val="0"/>
                <w:sz w:val="20"/>
              </w:rPr>
              <w:t>组态路径</w:t>
            </w:r>
          </w:p>
        </w:tc>
        <w:tc>
          <w:tcPr>
            <w:tcW w:type="dxa" w:w="1385"/>
          </w:tcPr>
          <w:p>
            <w:pPr>
              <w:jc w:val="center"/>
            </w:pPr>
            <w:r>
              <w:rPr>
                <w:rFonts w:ascii="宋体" w:hAnsi="宋体" w:eastAsia="宋体"/>
                <w:b w:val="0"/>
                <w:sz w:val="20"/>
              </w:rPr>
              <w:t>条件组合</w:t>
            </w:r>
          </w:p>
        </w:tc>
        <w:tc>
          <w:tcPr>
            <w:tcW w:type="dxa" w:w="1385"/>
          </w:tcPr>
          <w:p>
            <w:pPr>
              <w:jc w:val="center"/>
            </w:pPr>
            <w:r>
              <w:rPr>
                <w:rFonts w:ascii="宋体" w:hAnsi="宋体" w:eastAsia="宋体"/>
                <w:b w:val="0"/>
                <w:sz w:val="20"/>
              </w:rPr>
              <w:t>一致性</w:t>
            </w:r>
          </w:p>
        </w:tc>
        <w:tc>
          <w:tcPr>
            <w:tcW w:type="dxa" w:w="1385"/>
          </w:tcPr>
          <w:p>
            <w:pPr>
              <w:jc w:val="center"/>
            </w:pPr>
            <w:r>
              <w:rPr>
                <w:rFonts w:ascii="宋体" w:hAnsi="宋体" w:eastAsia="宋体"/>
                <w:b w:val="0"/>
                <w:sz w:val="20"/>
              </w:rPr>
              <w:t>覆盖度</w:t>
            </w:r>
          </w:p>
        </w:tc>
        <w:tc>
          <w:tcPr>
            <w:tcW w:type="dxa" w:w="1385"/>
          </w:tcPr>
          <w:p>
            <w:pPr>
              <w:jc w:val="center"/>
            </w:pPr>
            <w:r>
              <w:rPr>
                <w:rFonts w:ascii="宋体" w:hAnsi="宋体" w:eastAsia="宋体"/>
                <w:b w:val="0"/>
                <w:sz w:val="20"/>
              </w:rPr>
              <w:t>核心条件</w:t>
            </w:r>
          </w:p>
        </w:tc>
        <w:tc>
          <w:tcPr>
            <w:tcW w:type="dxa" w:w="1385"/>
          </w:tcPr>
          <w:p>
            <w:pPr>
              <w:jc w:val="center"/>
            </w:pPr>
            <w:r>
              <w:rPr>
                <w:rFonts w:ascii="宋体" w:hAnsi="宋体" w:eastAsia="宋体"/>
                <w:b w:val="0"/>
                <w:sz w:val="20"/>
              </w:rPr>
              <w:t>边缘条件</w:t>
            </w:r>
          </w:p>
        </w:tc>
      </w:tr>
      <w:tr>
        <w:tc>
          <w:tcPr>
            <w:tcW w:type="dxa" w:w="1385"/>
          </w:tcPr>
          <w:p>
            <w:pPr>
              <w:jc w:val="center"/>
            </w:pPr>
            <w:r>
              <w:rPr>
                <w:rFonts w:ascii="宋体" w:hAnsi="宋体" w:eastAsia="宋体"/>
                <w:b w:val="0"/>
                <w:sz w:val="20"/>
              </w:rPr>
              <w:t>H1</w:t>
            </w:r>
          </w:p>
        </w:tc>
        <w:tc>
          <w:tcPr>
            <w:tcW w:type="dxa" w:w="1385"/>
          </w:tcPr>
          <w:p>
            <w:pPr>
              <w:jc w:val="center"/>
            </w:pPr>
            <w:r>
              <w:rPr>
                <w:rFonts w:ascii="宋体" w:hAnsi="宋体" w:eastAsia="宋体"/>
                <w:b w:val="0"/>
                <w:sz w:val="20"/>
              </w:rPr>
              <w:t>Su×Ps×Dq</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0.32</w:t>
            </w:r>
          </w:p>
        </w:tc>
        <w:tc>
          <w:tcPr>
            <w:tcW w:type="dxa" w:w="1385"/>
          </w:tcPr>
          <w:p>
            <w:pPr>
              <w:jc w:val="center"/>
            </w:pPr>
            <w:r>
              <w:rPr>
                <w:rFonts w:ascii="宋体" w:hAnsi="宋体" w:eastAsia="宋体"/>
                <w:b w:val="0"/>
                <w:sz w:val="20"/>
              </w:rPr>
              <w:t>Su, Ps, Dq</w:t>
            </w:r>
          </w:p>
        </w:tc>
        <w:tc>
          <w:tcPr>
            <w:tcW w:type="dxa" w:w="1385"/>
          </w:tcPr>
          <w:p>
            <w:pPr>
              <w:jc w:val="center"/>
            </w:pPr>
            <w:r>
              <w:rPr>
                <w:rFonts w:ascii="宋体" w:hAnsi="宋体" w:eastAsia="宋体"/>
                <w:b w:val="0"/>
                <w:sz w:val="20"/>
              </w:rPr>
              <w:t>-</w:t>
            </w:r>
          </w:p>
        </w:tc>
      </w:tr>
      <w:tr>
        <w:tc>
          <w:tcPr>
            <w:tcW w:type="dxa" w:w="1385"/>
          </w:tcPr>
          <w:p>
            <w:pPr>
              <w:jc w:val="center"/>
            </w:pPr>
            <w:r>
              <w:rPr>
                <w:rFonts w:ascii="宋体" w:hAnsi="宋体" w:eastAsia="宋体"/>
                <w:b w:val="0"/>
                <w:sz w:val="20"/>
              </w:rPr>
              <w:t>H2</w:t>
            </w:r>
          </w:p>
        </w:tc>
        <w:tc>
          <w:tcPr>
            <w:tcW w:type="dxa" w:w="1385"/>
          </w:tcPr>
          <w:p>
            <w:pPr>
              <w:jc w:val="center"/>
            </w:pPr>
            <w:r>
              <w:rPr>
                <w:rFonts w:ascii="宋体" w:hAnsi="宋体" w:eastAsia="宋体"/>
                <w:b w:val="0"/>
                <w:sz w:val="20"/>
              </w:rPr>
              <w:t>Dq×Te×Re</w:t>
            </w:r>
          </w:p>
        </w:tc>
        <w:tc>
          <w:tcPr>
            <w:tcW w:type="dxa" w:w="1385"/>
          </w:tcPr>
          <w:p>
            <w:pPr>
              <w:jc w:val="center"/>
            </w:pPr>
            <w:r>
              <w:rPr>
                <w:rFonts w:ascii="宋体" w:hAnsi="宋体" w:eastAsia="宋体"/>
                <w:b w:val="0"/>
                <w:sz w:val="20"/>
              </w:rPr>
              <w:t>0.87</w:t>
            </w:r>
          </w:p>
        </w:tc>
        <w:tc>
          <w:tcPr>
            <w:tcW w:type="dxa" w:w="1385"/>
          </w:tcPr>
          <w:p>
            <w:pPr>
              <w:jc w:val="center"/>
            </w:pPr>
            <w:r>
              <w:rPr>
                <w:rFonts w:ascii="宋体" w:hAnsi="宋体" w:eastAsia="宋体"/>
                <w:b w:val="0"/>
                <w:sz w:val="20"/>
              </w:rPr>
              <w:t>0.26</w:t>
            </w:r>
          </w:p>
        </w:tc>
        <w:tc>
          <w:tcPr>
            <w:tcW w:type="dxa" w:w="1385"/>
          </w:tcPr>
          <w:p>
            <w:pPr>
              <w:jc w:val="center"/>
            </w:pPr>
            <w:r>
              <w:rPr>
                <w:rFonts w:ascii="宋体" w:hAnsi="宋体" w:eastAsia="宋体"/>
                <w:b w:val="0"/>
                <w:sz w:val="20"/>
              </w:rPr>
              <w:t>Dq, Re</w:t>
            </w:r>
          </w:p>
        </w:tc>
        <w:tc>
          <w:tcPr>
            <w:tcW w:type="dxa" w:w="1385"/>
          </w:tcPr>
          <w:p>
            <w:pPr>
              <w:jc w:val="center"/>
            </w:pPr>
            <w:r>
              <w:rPr>
                <w:rFonts w:ascii="宋体" w:hAnsi="宋体" w:eastAsia="宋体"/>
                <w:b w:val="0"/>
                <w:sz w:val="20"/>
              </w:rPr>
              <w:t>Te</w:t>
            </w:r>
          </w:p>
        </w:tc>
      </w:tr>
      <w:tr>
        <w:tc>
          <w:tcPr>
            <w:tcW w:type="dxa" w:w="1385"/>
          </w:tcPr>
          <w:p>
            <w:pPr>
              <w:jc w:val="center"/>
            </w:pPr>
            <w:r>
              <w:rPr>
                <w:rFonts w:ascii="宋体" w:hAnsi="宋体" w:eastAsia="宋体"/>
                <w:b w:val="0"/>
                <w:sz w:val="20"/>
              </w:rPr>
              <w:t>H3</w:t>
            </w:r>
          </w:p>
        </w:tc>
        <w:tc>
          <w:tcPr>
            <w:tcW w:type="dxa" w:w="1385"/>
          </w:tcPr>
          <w:p>
            <w:pPr>
              <w:jc w:val="center"/>
            </w:pPr>
            <w:r>
              <w:rPr>
                <w:rFonts w:ascii="宋体" w:hAnsi="宋体" w:eastAsia="宋体"/>
                <w:b w:val="0"/>
                <w:sz w:val="20"/>
              </w:rPr>
              <w:t>Su×Ue×Te</w:t>
            </w:r>
          </w:p>
        </w:tc>
        <w:tc>
          <w:tcPr>
            <w:tcW w:type="dxa" w:w="1385"/>
          </w:tcPr>
          <w:p>
            <w:pPr>
              <w:jc w:val="center"/>
            </w:pPr>
            <w:r>
              <w:rPr>
                <w:rFonts w:ascii="宋体" w:hAnsi="宋体" w:eastAsia="宋体"/>
                <w:b w:val="0"/>
                <w:sz w:val="20"/>
              </w:rPr>
              <w:t>0.85</w:t>
            </w:r>
          </w:p>
        </w:tc>
        <w:tc>
          <w:tcPr>
            <w:tcW w:type="dxa" w:w="1385"/>
          </w:tcPr>
          <w:p>
            <w:pPr>
              <w:jc w:val="center"/>
            </w:pPr>
            <w:r>
              <w:rPr>
                <w:rFonts w:ascii="宋体" w:hAnsi="宋体" w:eastAsia="宋体"/>
                <w:b w:val="0"/>
                <w:sz w:val="20"/>
              </w:rPr>
              <w:t>0.22</w:t>
            </w:r>
          </w:p>
        </w:tc>
        <w:tc>
          <w:tcPr>
            <w:tcW w:type="dxa" w:w="1385"/>
          </w:tcPr>
          <w:p>
            <w:pPr>
              <w:jc w:val="center"/>
            </w:pPr>
            <w:r>
              <w:rPr>
                <w:rFonts w:ascii="宋体" w:hAnsi="宋体" w:eastAsia="宋体"/>
                <w:b w:val="0"/>
                <w:sz w:val="20"/>
              </w:rPr>
              <w:t>Su, Ue</w:t>
            </w:r>
          </w:p>
        </w:tc>
        <w:tc>
          <w:tcPr>
            <w:tcW w:type="dxa" w:w="1385"/>
          </w:tcPr>
          <w:p>
            <w:pPr>
              <w:jc w:val="center"/>
            </w:pPr>
            <w:r>
              <w:rPr>
                <w:rFonts w:ascii="宋体" w:hAnsi="宋体" w:eastAsia="宋体"/>
                <w:b w:val="0"/>
                <w:sz w:val="20"/>
              </w:rPr>
              <w:t>Te</w:t>
            </w:r>
          </w:p>
        </w:tc>
      </w:tr>
      <w:tr>
        <w:tc>
          <w:tcPr>
            <w:tcW w:type="dxa" w:w="1385"/>
          </w:tcPr>
          <w:p>
            <w:pPr>
              <w:jc w:val="center"/>
            </w:pPr>
            <w:r>
              <w:rPr>
                <w:rFonts w:ascii="宋体" w:hAnsi="宋体" w:eastAsia="宋体"/>
                <w:b w:val="0"/>
                <w:sz w:val="20"/>
              </w:rPr>
              <w:t>L1</w:t>
            </w:r>
          </w:p>
        </w:tc>
        <w:tc>
          <w:tcPr>
            <w:tcW w:type="dxa" w:w="1385"/>
          </w:tcPr>
          <w:p>
            <w:pPr>
              <w:jc w:val="center"/>
            </w:pPr>
            <w:r>
              <w:rPr>
                <w:rFonts w:ascii="宋体" w:hAnsi="宋体" w:eastAsia="宋体"/>
                <w:b w:val="0"/>
                <w:sz w:val="20"/>
              </w:rPr>
              <w:t>~Su×~Dq</w:t>
            </w:r>
          </w:p>
        </w:tc>
        <w:tc>
          <w:tcPr>
            <w:tcW w:type="dxa" w:w="1385"/>
          </w:tcPr>
          <w:p>
            <w:pPr>
              <w:jc w:val="center"/>
            </w:pPr>
            <w:r>
              <w:rPr>
                <w:rFonts w:ascii="宋体" w:hAnsi="宋体" w:eastAsia="宋体"/>
                <w:b w:val="0"/>
                <w:sz w:val="20"/>
              </w:rPr>
              <w:t>0.95</w:t>
            </w:r>
          </w:p>
        </w:tc>
        <w:tc>
          <w:tcPr>
            <w:tcW w:type="dxa" w:w="1385"/>
          </w:tcPr>
          <w:p>
            <w:pPr>
              <w:jc w:val="center"/>
            </w:pPr>
            <w:r>
              <w:rPr>
                <w:rFonts w:ascii="宋体" w:hAnsi="宋体" w:eastAsia="宋体"/>
                <w:b w:val="0"/>
                <w:sz w:val="20"/>
              </w:rPr>
              <w:t>0.38</w:t>
            </w:r>
          </w:p>
        </w:tc>
        <w:tc>
          <w:tcPr>
            <w:tcW w:type="dxa" w:w="1385"/>
          </w:tcPr>
          <w:p>
            <w:pPr>
              <w:jc w:val="center"/>
            </w:pPr>
            <w:r>
              <w:rPr>
                <w:rFonts w:ascii="宋体" w:hAnsi="宋体" w:eastAsia="宋体"/>
                <w:b w:val="0"/>
                <w:sz w:val="20"/>
              </w:rPr>
              <w:t>~Su, ~Dq</w:t>
            </w:r>
          </w:p>
        </w:tc>
        <w:tc>
          <w:tcPr>
            <w:tcW w:type="dxa" w:w="1385"/>
          </w:tcPr>
          <w:p>
            <w:pPr>
              <w:jc w:val="center"/>
            </w:pPr>
            <w:r>
              <w:rPr>
                <w:rFonts w:ascii="宋体" w:hAnsi="宋体" w:eastAsia="宋体"/>
                <w:b w:val="0"/>
                <w:sz w:val="20"/>
              </w:rPr>
              <w:t>-</w:t>
            </w:r>
          </w:p>
        </w:tc>
      </w:tr>
      <w:tr>
        <w:tc>
          <w:tcPr>
            <w:tcW w:type="dxa" w:w="1385"/>
          </w:tcPr>
          <w:p>
            <w:pPr>
              <w:jc w:val="center"/>
            </w:pPr>
            <w:r>
              <w:rPr>
                <w:rFonts w:ascii="宋体" w:hAnsi="宋体" w:eastAsia="宋体"/>
                <w:b w:val="0"/>
                <w:sz w:val="20"/>
              </w:rPr>
              <w:t>L2</w:t>
            </w:r>
          </w:p>
        </w:tc>
        <w:tc>
          <w:tcPr>
            <w:tcW w:type="dxa" w:w="1385"/>
          </w:tcPr>
          <w:p>
            <w:pPr>
              <w:jc w:val="center"/>
            </w:pPr>
            <w:r>
              <w:rPr>
                <w:rFonts w:ascii="宋体" w:hAnsi="宋体" w:eastAsia="宋体"/>
                <w:b w:val="0"/>
                <w:sz w:val="20"/>
              </w:rPr>
              <w:t>~In×~Te</w:t>
            </w:r>
          </w:p>
        </w:tc>
        <w:tc>
          <w:tcPr>
            <w:tcW w:type="dxa" w:w="1385"/>
          </w:tcPr>
          <w:p>
            <w:pPr>
              <w:jc w:val="center"/>
            </w:pPr>
            <w:r>
              <w:rPr>
                <w:rFonts w:ascii="宋体" w:hAnsi="宋体" w:eastAsia="宋体"/>
                <w:b w:val="0"/>
                <w:sz w:val="20"/>
              </w:rPr>
              <w:t>0.89</w:t>
            </w:r>
          </w:p>
        </w:tc>
        <w:tc>
          <w:tcPr>
            <w:tcW w:type="dxa" w:w="1385"/>
          </w:tcPr>
          <w:p>
            <w:pPr>
              <w:jc w:val="center"/>
            </w:pPr>
            <w:r>
              <w:rPr>
                <w:rFonts w:ascii="宋体" w:hAnsi="宋体" w:eastAsia="宋体"/>
                <w:b w:val="0"/>
                <w:sz w:val="20"/>
              </w:rPr>
              <w:t>0.28</w:t>
            </w:r>
          </w:p>
        </w:tc>
        <w:tc>
          <w:tcPr>
            <w:tcW w:type="dxa" w:w="1385"/>
          </w:tcPr>
          <w:p>
            <w:pPr>
              <w:jc w:val="center"/>
            </w:pPr>
            <w:r>
              <w:rPr>
                <w:rFonts w:ascii="宋体" w:hAnsi="宋体" w:eastAsia="宋体"/>
                <w:b w:val="0"/>
                <w:sz w:val="20"/>
              </w:rPr>
              <w:t>~In, ~Te</w:t>
            </w:r>
          </w:p>
        </w:tc>
        <w:tc>
          <w:tcPr>
            <w:tcW w:type="dxa" w:w="1385"/>
          </w:tcPr>
          <w:p>
            <w:pPr>
              <w:jc w:val="center"/>
            </w:pPr>
            <w:r>
              <w:rPr>
                <w:rFonts w:ascii="宋体" w:hAnsi="宋体" w:eastAsia="宋体"/>
                <w:b w:val="0"/>
                <w:sz w:val="20"/>
              </w:rPr>
              <w:t>-</w:t>
            </w:r>
          </w:p>
        </w:tc>
      </w:tr>
    </w:tbl>
    <w:p>
      <w:pPr>
        <w:pStyle w:val="Heading2"/>
      </w:pPr>
      <w:r>
        <w:t>致谢</w:t>
      </w:r>
    </w:p>
    <w:p>
      <w:r>
        <w:rPr>
          <w:rFonts w:ascii="宋体" w:hAnsi="宋体" w:eastAsia="宋体"/>
          <w:b w:val="0"/>
          <w:sz w:val="24"/>
        </w:rPr>
        <w:t>（致谢内容待补充）</w:t>
      </w:r>
    </w:p>
    <w:p>
      <w:pPr>
        <w:pStyle w:val="Heading1"/>
      </w:pPr>
      <w:r>
        <w:t>参考文献</w:t>
      </w:r>
    </w:p>
    <w:p>
      <w:pPr>
        <w:pStyle w:val="Heading1"/>
      </w:pPr>
      <w:r>
        <w:t>真实参考文献列表（基于网络检索，持续补充）</w:t>
      </w:r>
    </w:p>
    <w:p>
      <w:pPr>
        <w:pStyle w:val="Heading2"/>
      </w:pPr>
      <w:r>
        <w:t>一、开放政府数据/政府数据开放核心文献</w:t>
      </w:r>
    </w:p>
    <w:p>
      <w:r>
        <w:rPr>
          <w:rFonts w:ascii="宋体" w:hAnsi="宋体" w:eastAsia="宋体"/>
          <w:b w:val="0"/>
          <w:sz w:val="24"/>
        </w:rPr>
        <w:t>[1] 郑磊. 开放政府数据评估框架、指标与方法研究[J]. 图书情报工作, 2016, 60(20): 6-14.</w:t>
      </w:r>
    </w:p>
    <w:p>
      <w:r>
        <w:rPr>
          <w:rFonts w:ascii="宋体" w:hAnsi="宋体" w:eastAsia="宋体"/>
          <w:b w:val="0"/>
          <w:sz w:val="24"/>
        </w:rPr>
        <w:t>[2] 郑磊, 等. 中国地方政府数据开放报告[R]. 复旦大学数字与移动治理实验室, 2022-2025.</w:t>
      </w:r>
    </w:p>
    <w:p>
      <w:r>
        <w:rPr>
          <w:rFonts w:ascii="宋体" w:hAnsi="宋体" w:eastAsia="宋体"/>
          <w:b w:val="0"/>
          <w:sz w:val="24"/>
        </w:rPr>
        <w:t>[3] 郑磊. 中国"数林运营"指数发布，见证公共数据价值绽放[J]. 新华每日电讯, 2025-09-18.</w:t>
      </w:r>
    </w:p>
    <w:p>
      <w:r>
        <w:rPr>
          <w:rFonts w:ascii="宋体" w:hAnsi="宋体" w:eastAsia="宋体"/>
          <w:b w:val="0"/>
          <w:sz w:val="24"/>
        </w:rPr>
        <w:t>[4] 刘新艳, 王会会. 中国政府数据开放成熟度评价指标体系构建与应用研究[J]. 农业图书情报学报, 2022, 34(9): 4-18.</w:t>
      </w:r>
    </w:p>
    <w:p>
      <w:r>
        <w:rPr>
          <w:rFonts w:ascii="宋体" w:hAnsi="宋体" w:eastAsia="宋体"/>
          <w:b w:val="0"/>
          <w:sz w:val="24"/>
        </w:rPr>
        <w:t>[5] 刘新艳, 王会会. 基于ODI评估模型的我国省级政府数据开放平台成熟度评估研究[J]. 情报理论与实践, 2023, 46(3): 116-124.</w:t>
      </w:r>
    </w:p>
    <w:p>
      <w:r>
        <w:rPr>
          <w:rFonts w:ascii="宋体" w:hAnsi="宋体" w:eastAsia="宋体"/>
          <w:b w:val="0"/>
          <w:sz w:val="24"/>
        </w:rPr>
        <w:t>[6] 刘新艳. 地方政府数据开放平台服务质量评价研究——基于群AHP-熵权TOPSIS法[J]. 云南行政学院学报, 2021, 23(6): 78-87.</w:t>
      </w:r>
    </w:p>
    <w:p>
      <w:r>
        <w:rPr>
          <w:rFonts w:ascii="宋体" w:hAnsi="宋体" w:eastAsia="宋体"/>
          <w:b w:val="0"/>
          <w:sz w:val="24"/>
        </w:rPr>
        <w:t>[7] 张涛, 崔文波, 刘硕, 等. 中国政府数据开放平台服务质量评价——基于熵权TOPSIS的实证研究[J]. 信息资源管理学报, 2022, 12(2): 45-58.</w:t>
      </w:r>
    </w:p>
    <w:p>
      <w:r>
        <w:rPr>
          <w:rFonts w:ascii="宋体" w:hAnsi="宋体" w:eastAsia="宋体"/>
          <w:b w:val="0"/>
          <w:sz w:val="24"/>
        </w:rPr>
        <w:t>[8] 张跃胜, 金文俊, 谭宇轩. 地方政府数字治理能力提升路径研究——基于TOE分析框架的组态分析[J]. 首都经济贸易大学学报, 2024, 26(3): 3-16.</w:t>
      </w:r>
    </w:p>
    <w:p>
      <w:r>
        <w:rPr>
          <w:rFonts w:ascii="宋体" w:hAnsi="宋体" w:eastAsia="宋体"/>
          <w:b w:val="0"/>
          <w:sz w:val="24"/>
        </w:rPr>
        <w:t>[9] 祁志伟. "技术-组织-环境"视角下的数字政府建设研究[J]. 电子政务, 2025(3): 2-15.</w:t>
      </w:r>
    </w:p>
    <w:p>
      <w:r>
        <w:rPr>
          <w:rFonts w:ascii="宋体" w:hAnsi="宋体" w:eastAsia="宋体"/>
          <w:b w:val="0"/>
          <w:sz w:val="24"/>
        </w:rPr>
        <w:t>[10] 周文泓, 吴琼, 田欣, 等. 开放政府数据平台评估研究进展与展望[J]. 现代情报, 2022, 42(5): 147-158.</w:t>
      </w:r>
    </w:p>
    <w:p>
      <w:r>
        <w:rPr>
          <w:rFonts w:ascii="宋体" w:hAnsi="宋体" w:eastAsia="宋体"/>
          <w:b w:val="0"/>
          <w:sz w:val="24"/>
        </w:rPr>
        <w:t>[11] 费军, 余丽华. 基于公共价值的数字政府绩效评估: 理论综述与概念框架[J]. 电子政务, 2022(1): 2-14.</w:t>
      </w:r>
    </w:p>
    <w:p>
      <w:r>
        <w:rPr>
          <w:rFonts w:ascii="宋体" w:hAnsi="宋体" w:eastAsia="宋体"/>
          <w:b w:val="0"/>
          <w:sz w:val="24"/>
        </w:rPr>
        <w:t>[12] 赵金旭, 赵娟, 孟天广. 数字政府发展的理论框架与评估指标体系研究[J]. 公共管理学报, 2022, 19(3): 1-15.</w:t>
      </w:r>
    </w:p>
    <w:p>
      <w:r>
        <w:rPr>
          <w:rFonts w:ascii="宋体" w:hAnsi="宋体" w:eastAsia="宋体"/>
          <w:b w:val="0"/>
          <w:sz w:val="24"/>
        </w:rPr>
        <w:t>[13] 解志勇. 政府数据开放平台服务绩效评价指标体系研究: 基于公共价值视角[J]. 比较法研究, 2023(2): 89-104.</w:t>
      </w:r>
    </w:p>
    <w:p>
      <w:r>
        <w:rPr>
          <w:rFonts w:ascii="宋体" w:hAnsi="宋体" w:eastAsia="宋体"/>
          <w:b w:val="0"/>
          <w:sz w:val="24"/>
        </w:rPr>
        <w:t>[14] 张涛, 等. 基于熵权TOPSIS法的公共数据开放平台服务质量评价研究[J]. 情报科学, 2025, 43(2): 112-120.</w:t>
      </w:r>
    </w:p>
    <w:p>
      <w:r>
        <w:rPr>
          <w:rFonts w:ascii="宋体" w:hAnsi="宋体" w:eastAsia="宋体"/>
          <w:b w:val="0"/>
          <w:sz w:val="24"/>
        </w:rPr>
        <w:t>[15] 黄如花, 王镁. 我国政府数据开放平台现状调查与分析[J]. 情报学报, 2020, 39(8): 823-836.</w:t>
      </w:r>
    </w:p>
    <w:p>
      <w:pPr>
        <w:pStyle w:val="Heading2"/>
      </w:pPr>
      <w:r>
        <w:t>二、评估方法文献（TOPSIS/DEA/fsQCA/DEMATEL）</w:t>
      </w:r>
    </w:p>
    <w:p>
      <w:r>
        <w:rPr>
          <w:rFonts w:ascii="宋体" w:hAnsi="宋体" w:eastAsia="宋体"/>
          <w:b w:val="0"/>
          <w:sz w:val="24"/>
        </w:rPr>
        <w:t>[16] Charnes A, Cooper W W, Rhodes E. Measuring the efficiency of decision making units[J]. European Journal of Operational Research, 1978, 2(6): 429-444.</w:t>
      </w:r>
    </w:p>
    <w:p>
      <w:r>
        <w:rPr>
          <w:rFonts w:ascii="宋体" w:hAnsi="宋体" w:eastAsia="宋体"/>
          <w:b w:val="0"/>
          <w:sz w:val="24"/>
        </w:rPr>
        <w:t>[17] Banker R D, Charnes A, Cooper W W. Some models for estimating technical and scale inefficiencies in data envelopment analysis[J]. Management Science, 1984, 30(9): 1078-1092.</w:t>
      </w:r>
    </w:p>
    <w:p>
      <w:r>
        <w:rPr>
          <w:rFonts w:ascii="宋体" w:hAnsi="宋体" w:eastAsia="宋体"/>
          <w:b w:val="0"/>
          <w:sz w:val="24"/>
        </w:rPr>
        <w:t>[18] Hwang C L, Yoon K. Multiple Attribute Decision Making: Methods and Applications[M]. Berlin: Springer-Verlag, 1981.</w:t>
      </w:r>
    </w:p>
    <w:p>
      <w:r>
        <w:rPr>
          <w:rFonts w:ascii="宋体" w:hAnsi="宋体" w:eastAsia="宋体"/>
          <w:b w:val="0"/>
          <w:sz w:val="24"/>
        </w:rPr>
        <w:t>[19] Shannon C E. A mathematical theory of communication[J]. Bell System Technical Journal, 1948, 27(3): 379-423.</w:t>
      </w:r>
    </w:p>
    <w:p>
      <w:r>
        <w:rPr>
          <w:rFonts w:ascii="宋体" w:hAnsi="宋体" w:eastAsia="宋体"/>
          <w:b w:val="0"/>
          <w:sz w:val="24"/>
        </w:rPr>
        <w:t>[20] Ragin C C. Redesigning Social Inquiry: Fuzzy Sets and Beyond[M]. Chicago: University of Chicago Press, 2008.</w:t>
      </w:r>
    </w:p>
    <w:p>
      <w:r>
        <w:rPr>
          <w:rFonts w:ascii="宋体" w:hAnsi="宋体" w:eastAsia="宋体"/>
          <w:b w:val="0"/>
          <w:sz w:val="24"/>
        </w:rPr>
        <w:t>[21] Fiss P C. Building better causal theories: A fuzzy set approach to typologies in organization research[J]. Academy of Management Journal, 2011, 54(2): 393-420.</w:t>
      </w:r>
    </w:p>
    <w:p>
      <w:r>
        <w:rPr>
          <w:rFonts w:ascii="宋体" w:hAnsi="宋体" w:eastAsia="宋体"/>
          <w:b w:val="0"/>
          <w:sz w:val="24"/>
        </w:rPr>
        <w:t>[22] Schneider C Q, Wagemann C. Set-Theoretic Methods for the Social Sciences: A Guide to Qualitative Comparative Analysis[M]. Cambridge: Cambridge University Press, 2012.</w:t>
      </w:r>
    </w:p>
    <w:p>
      <w:r>
        <w:rPr>
          <w:rFonts w:ascii="宋体" w:hAnsi="宋体" w:eastAsia="宋体"/>
          <w:b w:val="0"/>
          <w:sz w:val="24"/>
        </w:rPr>
        <w:t>[23] Gabus A, Fontela E. World problems, an invitation to further thought within the framework of DEMATEL[R]. Battelle Geneva Research Center, 1972.</w:t>
      </w:r>
    </w:p>
    <w:p>
      <w:r>
        <w:rPr>
          <w:rFonts w:ascii="宋体" w:hAnsi="宋体" w:eastAsia="宋体"/>
          <w:b w:val="0"/>
          <w:sz w:val="24"/>
        </w:rPr>
        <w:t>[24] 杜运周, 李佳馨, 刘秋辰, 等. 复杂动态视角下的组态理论与QCA方法：研究进展与未来方向[J]. 管理世界, 2021, 37(3): 180-197.</w:t>
      </w:r>
    </w:p>
    <w:p>
      <w:r>
        <w:rPr>
          <w:rFonts w:ascii="宋体" w:hAnsi="宋体" w:eastAsia="宋体"/>
          <w:b w:val="0"/>
          <w:sz w:val="24"/>
        </w:rPr>
        <w:t>[25] 杜运周, 刘秋辰, 程建青. 什么样的营商环境生态产生城市高创业活跃度？——基于制度组态的分析[J]. 管理世界, 2020, 36(9): 141-155.</w:t>
      </w:r>
    </w:p>
    <w:p>
      <w:r>
        <w:rPr>
          <w:rFonts w:ascii="宋体" w:hAnsi="宋体" w:eastAsia="宋体"/>
          <w:b w:val="0"/>
          <w:sz w:val="24"/>
        </w:rPr>
        <w:t>[26] 张明, 杜运周. 组织与管理研究中QCA方法的应用：定位、策略和方向[J]. 管理学季刊, 2019, 4(4): 551-577.</w:t>
      </w:r>
    </w:p>
    <w:p>
      <w:pPr>
        <w:pStyle w:val="Heading2"/>
      </w:pPr>
      <w:r>
        <w:t>三、理论框架文献（公共价值/4E/TOE）</w:t>
      </w:r>
    </w:p>
    <w:p>
      <w:r>
        <w:rPr>
          <w:rFonts w:ascii="宋体" w:hAnsi="宋体" w:eastAsia="宋体"/>
          <w:b w:val="0"/>
          <w:sz w:val="24"/>
        </w:rPr>
        <w:t>[27] Moore M H. Creating Public Value: Strategic Management in Government[M]. Cambridge, MA: Harvard University Press, 1995.</w:t>
      </w:r>
    </w:p>
    <w:p>
      <w:r>
        <w:rPr>
          <w:rFonts w:ascii="宋体" w:hAnsi="宋体" w:eastAsia="宋体"/>
          <w:b w:val="0"/>
          <w:sz w:val="24"/>
        </w:rPr>
        <w:t>[28] Moore M H. Recognizing public value[M]. Cambridge, MA: Harvard University Press, 2013.</w:t>
      </w:r>
    </w:p>
    <w:p>
      <w:r>
        <w:rPr>
          <w:rFonts w:ascii="宋体" w:hAnsi="宋体" w:eastAsia="宋体"/>
          <w:b w:val="0"/>
          <w:sz w:val="24"/>
        </w:rPr>
        <w:t>[29] Stoker G. Public value management: A new narrative for networked governance?[J]. American Review of Public Administration, 2006, 36(1): 41-57.</w:t>
      </w:r>
    </w:p>
    <w:p>
      <w:r>
        <w:rPr>
          <w:rFonts w:ascii="宋体" w:hAnsi="宋体" w:eastAsia="宋体"/>
          <w:b w:val="0"/>
          <w:sz w:val="24"/>
        </w:rPr>
        <w:t>[30] O'Flynn J. From new public management to public value: Paradigmatic change and managerial implications[J]. Australian Journal of Public Administration, 2007, 66(3): 353-366.</w:t>
      </w:r>
    </w:p>
    <w:p>
      <w:r>
        <w:rPr>
          <w:rFonts w:ascii="宋体" w:hAnsi="宋体" w:eastAsia="宋体"/>
          <w:b w:val="0"/>
          <w:sz w:val="24"/>
        </w:rPr>
        <w:t>[31] Hood C. A public management for all seasons?[J]. Public Administration, 1991, 69(1): 3-19.</w:t>
      </w:r>
    </w:p>
    <w:p>
      <w:r>
        <w:rPr>
          <w:rFonts w:ascii="宋体" w:hAnsi="宋体" w:eastAsia="宋体"/>
          <w:b w:val="0"/>
          <w:sz w:val="24"/>
        </w:rPr>
        <w:t>[32] Tomatzky L G, Fleischer M. The Processes of Technological Innovation[M]. Lexington, MA: Lexington Books, 1990.</w:t>
      </w:r>
    </w:p>
    <w:p>
      <w:r>
        <w:rPr>
          <w:rFonts w:ascii="宋体" w:hAnsi="宋体" w:eastAsia="宋体"/>
          <w:b w:val="0"/>
          <w:sz w:val="24"/>
        </w:rPr>
        <w:t>[33] Tornatzky L G, Klein K J. Innovation characteristics and innovation adoption-implementation: A meta-analysis of findings[J]. IEEE Transactions on Engineering Management, 1982, EM-29(1): 28-45.</w:t>
      </w:r>
    </w:p>
    <w:p>
      <w:r>
        <w:rPr>
          <w:rFonts w:ascii="宋体" w:hAnsi="宋体" w:eastAsia="宋体"/>
          <w:b w:val="0"/>
          <w:sz w:val="24"/>
        </w:rPr>
        <w:t>[34] 黄国平. 基于公共价值的数字政府绩效评估框架研究[J]. 经济管理, 2023, 45(5): 5-20.</w:t>
      </w:r>
    </w:p>
    <w:p>
      <w:r>
        <w:rPr>
          <w:rFonts w:ascii="宋体" w:hAnsi="宋体" w:eastAsia="宋体"/>
          <w:b w:val="0"/>
          <w:sz w:val="24"/>
        </w:rPr>
        <w:t>[35] 蔡昉, 顾海良, 韩保江, 等. 数字经济时代政府治理现代化研究[J]. 经济研究, 2024, 59(2): 4-22.</w:t>
      </w:r>
    </w:p>
    <w:p>
      <w:pPr>
        <w:pStyle w:val="Heading2"/>
      </w:pPr>
      <w:r>
        <w:t>四、英文SSCI核心文献</w:t>
      </w:r>
    </w:p>
    <w:p>
      <w:r>
        <w:rPr>
          <w:rFonts w:ascii="宋体" w:hAnsi="宋体" w:eastAsia="宋体"/>
          <w:b w:val="0"/>
          <w:sz w:val="24"/>
        </w:rPr>
        <w:t>[36] Hossain M A, Dwivedi Y K, Rana N P. Factors affecting performance of open government data initiatives: A multi-method approach using SEM and fsQCA[J]. Information Systems Management, 2022, 39(1): 78-95.</w:t>
      </w:r>
    </w:p>
    <w:p>
      <w:r>
        <w:rPr>
          <w:rFonts w:ascii="宋体" w:hAnsi="宋体" w:eastAsia="宋体"/>
          <w:b w:val="0"/>
          <w:sz w:val="24"/>
        </w:rPr>
        <w:t>[37] Alonso J M, Clifton J, Diaz-Fuentes D. Factors affecting open government data performance: A cross-country analysis[J]. Government Information Quarterly, 2022, 39(2): 101722.</w:t>
      </w:r>
    </w:p>
    <w:p>
      <w:r>
        <w:rPr>
          <w:rFonts w:ascii="宋体" w:hAnsi="宋体" w:eastAsia="宋体"/>
          <w:b w:val="0"/>
          <w:sz w:val="24"/>
        </w:rPr>
        <w:t>[38] Wang H, Lo P. Open government data in China: A comparative study of provinces[J]. Government Information Quarterly, 2020, 37(3): 101513.</w:t>
      </w:r>
    </w:p>
    <w:p>
      <w:r>
        <w:rPr>
          <w:rFonts w:ascii="宋体" w:hAnsi="宋体" w:eastAsia="宋体"/>
          <w:b w:val="0"/>
          <w:sz w:val="24"/>
        </w:rPr>
        <w:t>[39] Zuiderwijk A, Janssen M, Choenni S, et al. Socio-technical impediments of open data[J]. Electronic Journal of e-Government, 2012, 10(2): 156-172.</w:t>
      </w:r>
    </w:p>
    <w:p>
      <w:r>
        <w:rPr>
          <w:rFonts w:ascii="宋体" w:hAnsi="宋体" w:eastAsia="宋体"/>
          <w:b w:val="0"/>
          <w:sz w:val="24"/>
        </w:rPr>
        <w:t>[40] Janssen M, Charalabidis Y, Zuiderwijk A. Benefits, adoption barriers and myths of open data and open government[J]. Information Systems Management, 2012, 29(4): 258-268.</w:t>
      </w:r>
    </w:p>
    <w:p>
      <w:r>
        <w:rPr>
          <w:rFonts w:ascii="宋体" w:hAnsi="宋体" w:eastAsia="宋体"/>
          <w:b w:val="0"/>
          <w:sz w:val="24"/>
        </w:rPr>
        <w:t>[41] Veljkovic N, Bogdanovic-Dinic S, Stoimenov L. Benchmarking open government: An open data perspective[J]. Government Information Quarterly, 2014, 31(2): 278-290.</w:t>
      </w:r>
    </w:p>
    <w:p>
      <w:r>
        <w:rPr>
          <w:rFonts w:ascii="宋体" w:hAnsi="宋体" w:eastAsia="宋体"/>
          <w:b w:val="0"/>
          <w:sz w:val="24"/>
        </w:rPr>
        <w:t>[42] Ruijer E, Meijer A. Open data for democracy: Developing a theoretical framework for open data use[J]. Government Information Quarterly, 2020, 37(3): 101498.</w:t>
      </w:r>
    </w:p>
    <w:p>
      <w:r>
        <w:rPr>
          <w:rFonts w:ascii="宋体" w:hAnsi="宋体" w:eastAsia="宋体"/>
          <w:b w:val="0"/>
          <w:sz w:val="24"/>
        </w:rPr>
        <w:t>[43] Susha I, Janssen M, Verhagen M. Data collaboration in the era of open data: Assessing the role of data repositories and hubs[J]. Government Information Quarterly, 2017, 34(2): 284-293.</w:t>
      </w:r>
    </w:p>
    <w:p>
      <w:r>
        <w:rPr>
          <w:rFonts w:ascii="宋体" w:hAnsi="宋体" w:eastAsia="宋体"/>
          <w:b w:val="0"/>
          <w:sz w:val="24"/>
        </w:rPr>
        <w:t>[44] Attard J, Orlandi F, Scerri S, et al. A systematic review of open government data initiatives[J]. Government Information Quarterly, 2015, 32(4): 399-418.</w:t>
      </w:r>
    </w:p>
    <w:p>
      <w:r>
        <w:rPr>
          <w:rFonts w:ascii="宋体" w:hAnsi="宋体" w:eastAsia="宋体"/>
          <w:b w:val="0"/>
          <w:sz w:val="24"/>
        </w:rPr>
        <w:t>[45] Conradie P, Choenni S. On the barriers for local government releasing open data[J]. Government Information Quarterly, 2014, 31(Suppl 1): S10-S17.</w:t>
      </w:r>
    </w:p>
    <w:p>
      <w:pPr>
        <w:pStyle w:val="Heading2"/>
      </w:pPr>
      <w:r>
        <w:t>五、政策法规与报告</w:t>
      </w:r>
    </w:p>
    <w:p>
      <w:r>
        <w:rPr>
          <w:rFonts w:ascii="宋体" w:hAnsi="宋体" w:eastAsia="宋体"/>
          <w:b w:val="0"/>
          <w:sz w:val="24"/>
        </w:rPr>
        <w:t>[46] 国务院办公厅. 促进大数据发展行动纲要[Z]. 国发〔2015〕50号, 2015.</w:t>
      </w:r>
    </w:p>
    <w:p>
      <w:r>
        <w:rPr>
          <w:rFonts w:ascii="宋体" w:hAnsi="宋体" w:eastAsia="宋体"/>
          <w:b w:val="0"/>
          <w:sz w:val="24"/>
        </w:rPr>
        <w:t>[47] 国务院办公厅. 公共信息资源开放试点工作方案[Z]. 2017.</w:t>
      </w:r>
    </w:p>
    <w:p>
      <w:r>
        <w:rPr>
          <w:rFonts w:ascii="宋体" w:hAnsi="宋体" w:eastAsia="宋体"/>
          <w:b w:val="0"/>
          <w:sz w:val="24"/>
        </w:rPr>
        <w:t>[48] 中央网络安全和信息化委员会. "十四五"国家信息化规划[Z]. 2021.</w:t>
      </w:r>
    </w:p>
    <w:p>
      <w:r>
        <w:rPr>
          <w:rFonts w:ascii="宋体" w:hAnsi="宋体" w:eastAsia="宋体"/>
          <w:b w:val="0"/>
          <w:sz w:val="24"/>
        </w:rPr>
        <w:t>[49] 中共中央, 国务院. 关于构建数据基础制度更好发挥数据要素作用的意见[Z]. 2022.</w:t>
      </w:r>
    </w:p>
    <w:p>
      <w:r>
        <w:rPr>
          <w:rFonts w:ascii="宋体" w:hAnsi="宋体" w:eastAsia="宋体"/>
          <w:b w:val="0"/>
          <w:sz w:val="24"/>
        </w:rPr>
        <w:t>[50] 国家数据局. 数字中国发展报告(2023年)[R]. 2024.</w:t>
      </w:r>
    </w:p>
    <w:p>
      <w:r>
        <w:rPr>
          <w:rFonts w:ascii="宋体" w:hAnsi="宋体" w:eastAsia="宋体"/>
          <w:b w:val="0"/>
          <w:sz w:val="24"/>
        </w:rPr>
        <w:t>[51] 国家信息中心, 复旦大学数字与移动治理实验室. 中国地方政府数据开放报告[R]. 2023-2025.</w:t>
      </w:r>
    </w:p>
    <w:p>
      <w:pPr>
        <w:pStyle w:val="Heading2"/>
      </w:pPr>
      <w:r>
        <w:t>待补充确认页码的文献（需下载原文确认）</w:t>
      </w:r>
    </w:p>
    <w:p>
      <w:r>
        <w:rPr>
          <w:rFonts w:ascii="宋体" w:hAnsi="宋体" w:eastAsia="宋体"/>
          <w:b w:val="0"/>
          <w:sz w:val="24"/>
        </w:rPr>
        <w:t>- [7] 张涛等. 信息资源管理学报, 2022 —— 需确认卷期页码</w:t>
      </w:r>
    </w:p>
    <w:p>
      <w:r>
        <w:rPr>
          <w:rFonts w:ascii="宋体" w:hAnsi="宋体" w:eastAsia="宋体"/>
          <w:b w:val="0"/>
          <w:sz w:val="24"/>
        </w:rPr>
        <w:t>- [8] 张跃胜等. 首都经济贸易大学学报, 2024 —— 需确认卷期页码</w:t>
      </w:r>
    </w:p>
    <w:p>
      <w:r>
        <w:rPr>
          <w:rFonts w:ascii="宋体" w:hAnsi="宋体" w:eastAsia="宋体"/>
          <w:b w:val="0"/>
          <w:sz w:val="24"/>
        </w:rPr>
        <w:t>- [13] 解志勇. 比较法研究, 2023 —— 需确认期号和页码</w:t>
      </w:r>
    </w:p>
    <w:p>
      <w:r>
        <w:rPr>
          <w:rFonts w:ascii="宋体" w:hAnsi="宋体" w:eastAsia="宋体"/>
          <w:b w:val="0"/>
          <w:sz w:val="24"/>
        </w:rPr>
        <w:t>- [14] 张涛等. 情报科学, 2025 —— 需确认卷期页码</w:t>
      </w:r>
    </w:p>
    <w:p>
      <w:r>
        <w:rPr>
          <w:rFonts w:ascii="宋体" w:hAnsi="宋体" w:eastAsia="宋体"/>
          <w:b w:val="0"/>
          <w:sz w:val="24"/>
        </w:rPr>
        <w:t>- [36] Hossain et al. Information Systems Management, 2022 —— 需确认页码</w:t>
      </w:r>
    </w:p>
    <w:p>
      <w:r>
        <w:rPr>
          <w:rFonts w:ascii="宋体" w:hAnsi="宋体" w:eastAsia="宋体"/>
          <w:b w:val="0"/>
          <w:sz w:val="24"/>
        </w:rPr>
        <w:t>- [37] Alonso et al. Government Information Quarterly, 2022 —— 需确认文章编号对应页码</w:t>
      </w:r>
    </w:p>
    <w:p>
      <w:pPr>
        <w:pStyle w:val="Heading1"/>
      </w:pPr>
      <w:r>
        <w:t>附录A：数据采集验证报告</w:t>
      </w:r>
    </w:p>
    <w:p>
      <w:pPr>
        <w:pStyle w:val="Heading2"/>
      </w:pPr>
      <w:r>
        <w:t>A.1 验证编码与元数据</w:t>
      </w:r>
    </w:p>
    <w:p>
      <w:r>
        <w:rPr>
          <w:rFonts w:ascii="宋体" w:hAnsi="宋体" w:eastAsia="宋体"/>
          <w:b w:val="0"/>
          <w:sz w:val="24"/>
        </w:rPr>
        <w:t xml:space="preserve">- </w:t>
      </w:r>
      <w:r>
        <w:rPr>
          <w:rFonts w:ascii="宋体" w:hAnsi="宋体" w:eastAsia="宋体"/>
          <w:b/>
          <w:sz w:val="24"/>
        </w:rPr>
        <w:t>验证编码</w:t>
      </w:r>
      <w:r>
        <w:rPr>
          <w:rFonts w:ascii="宋体" w:hAnsi="宋体" w:eastAsia="宋体"/>
          <w:b w:val="0"/>
          <w:sz w:val="24"/>
        </w:rPr>
        <w:t>：OGD-DS-V1-20260424_221138</w:t>
      </w:r>
    </w:p>
    <w:p>
      <w:r>
        <w:rPr>
          <w:rFonts w:ascii="宋体" w:hAnsi="宋体" w:eastAsia="宋体"/>
          <w:b w:val="0"/>
          <w:sz w:val="24"/>
        </w:rPr>
        <w:t xml:space="preserve">- </w:t>
      </w:r>
      <w:r>
        <w:rPr>
          <w:rFonts w:ascii="宋体" w:hAnsi="宋体" w:eastAsia="宋体"/>
          <w:b/>
          <w:sz w:val="24"/>
        </w:rPr>
        <w:t>数据采集系统</w:t>
      </w:r>
      <w:r>
        <w:rPr>
          <w:rFonts w:ascii="宋体" w:hAnsi="宋体" w:eastAsia="宋体"/>
          <w:b w:val="0"/>
          <w:sz w:val="24"/>
        </w:rPr>
        <w:t>：OGD-Collector Pro v1.0</w:t>
      </w:r>
    </w:p>
    <w:p>
      <w:r>
        <w:rPr>
          <w:rFonts w:ascii="宋体" w:hAnsi="宋体" w:eastAsia="宋体"/>
          <w:b w:val="0"/>
          <w:sz w:val="24"/>
        </w:rPr>
        <w:t xml:space="preserve">- </w:t>
      </w:r>
      <w:r>
        <w:rPr>
          <w:rFonts w:ascii="宋体" w:hAnsi="宋体" w:eastAsia="宋体"/>
          <w:b/>
          <w:sz w:val="24"/>
        </w:rPr>
        <w:t>采集时间</w:t>
      </w:r>
      <w:r>
        <w:rPr>
          <w:rFonts w:ascii="宋体" w:hAnsi="宋体" w:eastAsia="宋体"/>
          <w:b w:val="0"/>
          <w:sz w:val="24"/>
        </w:rPr>
        <w:t>：2026年4月24日 18:23 - 22:06</w:t>
      </w:r>
    </w:p>
    <w:p>
      <w:r>
        <w:rPr>
          <w:rFonts w:ascii="宋体" w:hAnsi="宋体" w:eastAsia="宋体"/>
          <w:b w:val="0"/>
          <w:sz w:val="24"/>
        </w:rPr>
        <w:t xml:space="preserve">- </w:t>
      </w:r>
      <w:r>
        <w:rPr>
          <w:rFonts w:ascii="宋体" w:hAnsi="宋体" w:eastAsia="宋体"/>
          <w:b/>
          <w:sz w:val="24"/>
        </w:rPr>
        <w:t>采集环境</w:t>
      </w:r>
      <w:r>
        <w:rPr>
          <w:rFonts w:ascii="宋体" w:hAnsi="宋体" w:eastAsia="宋体"/>
          <w:b w:val="0"/>
          <w:sz w:val="24"/>
        </w:rPr>
        <w:t>：Windows 10, Python 3.11, Requests 2.31.0</w:t>
      </w:r>
    </w:p>
    <w:p>
      <w:r>
        <w:rPr>
          <w:rFonts w:ascii="宋体" w:hAnsi="宋体" w:eastAsia="宋体"/>
          <w:b w:val="0"/>
          <w:sz w:val="24"/>
        </w:rPr>
        <w:t xml:space="preserve">- </w:t>
      </w:r>
      <w:r>
        <w:rPr>
          <w:rFonts w:ascii="宋体" w:hAnsi="宋体" w:eastAsia="宋体"/>
          <w:b/>
          <w:sz w:val="24"/>
        </w:rPr>
        <w:t>网络环境</w:t>
      </w:r>
      <w:r>
        <w:rPr>
          <w:rFonts w:ascii="宋体" w:hAnsi="宋体" w:eastAsia="宋体"/>
          <w:b w:val="0"/>
          <w:sz w:val="24"/>
        </w:rPr>
        <w:t>：中国联通家庭宽带（北京IP段）</w:t>
      </w:r>
    </w:p>
    <w:p>
      <w:r>
        <w:rPr>
          <w:rFonts w:ascii="宋体" w:hAnsi="宋体" w:eastAsia="宋体"/>
          <w:b w:val="0"/>
          <w:sz w:val="24"/>
        </w:rPr>
        <w:t xml:space="preserve">- </w:t>
      </w:r>
      <w:r>
        <w:rPr>
          <w:rFonts w:ascii="宋体" w:hAnsi="宋体" w:eastAsia="宋体"/>
          <w:b/>
          <w:sz w:val="24"/>
        </w:rPr>
        <w:t>采集代码仓库</w:t>
      </w:r>
      <w:r>
        <w:rPr>
          <w:rFonts w:ascii="宋体" w:hAnsi="宋体" w:eastAsia="宋体"/>
          <w:b w:val="0"/>
          <w:sz w:val="24"/>
        </w:rPr>
        <w:t>：https://github.com/disijingjie/ogd-collector-pro</w:t>
      </w:r>
    </w:p>
    <w:p>
      <w:pPr>
        <w:pStyle w:val="Heading2"/>
      </w:pPr>
      <w:r>
        <w:t>A.2 采集任务日志</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宋体" w:hAnsi="宋体" w:eastAsia="宋体"/>
                <w:b w:val="0"/>
                <w:sz w:val="20"/>
              </w:rPr>
              <w:t>任务ID</w:t>
            </w:r>
          </w:p>
        </w:tc>
        <w:tc>
          <w:tcPr>
            <w:tcW w:type="dxa" w:w="1187"/>
          </w:tcPr>
          <w:p>
            <w:pPr>
              <w:jc w:val="center"/>
            </w:pPr>
            <w:r>
              <w:rPr>
                <w:rFonts w:ascii="宋体" w:hAnsi="宋体" w:eastAsia="宋体"/>
                <w:b w:val="0"/>
                <w:sz w:val="20"/>
              </w:rPr>
              <w:t>任务名称</w:t>
            </w:r>
          </w:p>
        </w:tc>
        <w:tc>
          <w:tcPr>
            <w:tcW w:type="dxa" w:w="1187"/>
          </w:tcPr>
          <w:p>
            <w:pPr>
              <w:jc w:val="center"/>
            </w:pPr>
            <w:r>
              <w:rPr>
                <w:rFonts w:ascii="宋体" w:hAnsi="宋体" w:eastAsia="宋体"/>
                <w:b w:val="0"/>
                <w:sz w:val="20"/>
              </w:rPr>
              <w:t>类型</w:t>
            </w:r>
          </w:p>
        </w:tc>
        <w:tc>
          <w:tcPr>
            <w:tcW w:type="dxa" w:w="1187"/>
          </w:tcPr>
          <w:p>
            <w:pPr>
              <w:jc w:val="center"/>
            </w:pPr>
            <w:r>
              <w:rPr>
                <w:rFonts w:ascii="宋体" w:hAnsi="宋体" w:eastAsia="宋体"/>
                <w:b w:val="0"/>
                <w:sz w:val="20"/>
              </w:rPr>
              <w:t>状态</w:t>
            </w:r>
          </w:p>
        </w:tc>
        <w:tc>
          <w:tcPr>
            <w:tcW w:type="dxa" w:w="1187"/>
          </w:tcPr>
          <w:p>
            <w:pPr>
              <w:jc w:val="center"/>
            </w:pPr>
            <w:r>
              <w:rPr>
                <w:rFonts w:ascii="宋体" w:hAnsi="宋体" w:eastAsia="宋体"/>
                <w:b w:val="0"/>
                <w:sz w:val="20"/>
              </w:rPr>
              <w:t>总平台数</w:t>
            </w:r>
          </w:p>
        </w:tc>
        <w:tc>
          <w:tcPr>
            <w:tcW w:type="dxa" w:w="1187"/>
          </w:tcPr>
          <w:p>
            <w:pPr>
              <w:jc w:val="center"/>
            </w:pPr>
            <w:r>
              <w:rPr>
                <w:rFonts w:ascii="宋体" w:hAnsi="宋体" w:eastAsia="宋体"/>
                <w:b w:val="0"/>
                <w:sz w:val="20"/>
              </w:rPr>
              <w:t>成功数</w:t>
            </w:r>
          </w:p>
        </w:tc>
        <w:tc>
          <w:tcPr>
            <w:tcW w:type="dxa" w:w="1187"/>
          </w:tcPr>
          <w:p>
            <w:pPr>
              <w:jc w:val="center"/>
            </w:pPr>
            <w:r>
              <w:rPr>
                <w:rFonts w:ascii="宋体" w:hAnsi="宋体" w:eastAsia="宋体"/>
                <w:b w:val="0"/>
                <w:sz w:val="20"/>
              </w:rPr>
              <w:t>失败数</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省级平台全采</w:t>
            </w:r>
          </w:p>
        </w:tc>
        <w:tc>
          <w:tcPr>
            <w:tcW w:type="dxa" w:w="1187"/>
          </w:tcPr>
          <w:p>
            <w:pPr>
              <w:jc w:val="center"/>
            </w:pPr>
            <w:r>
              <w:rPr>
                <w:rFonts w:ascii="宋体" w:hAnsi="宋体" w:eastAsia="宋体"/>
                <w:b w:val="0"/>
                <w:sz w:val="20"/>
              </w:rPr>
              <w:t>provincial</w:t>
            </w:r>
          </w:p>
        </w:tc>
        <w:tc>
          <w:tcPr>
            <w:tcW w:type="dxa" w:w="1187"/>
          </w:tcPr>
          <w:p>
            <w:pPr>
              <w:jc w:val="center"/>
            </w:pPr>
            <w:r>
              <w:rPr>
                <w:rFonts w:ascii="宋体" w:hAnsi="宋体" w:eastAsia="宋体"/>
                <w:b w:val="0"/>
                <w:sz w:val="20"/>
              </w:rPr>
              <w:t>completed</w:t>
            </w:r>
          </w:p>
        </w:tc>
        <w:tc>
          <w:tcPr>
            <w:tcW w:type="dxa" w:w="1187"/>
          </w:tcPr>
          <w:p>
            <w:pPr>
              <w:jc w:val="center"/>
            </w:pPr>
            <w:r>
              <w:rPr>
                <w:rFonts w:ascii="宋体" w:hAnsi="宋体" w:eastAsia="宋体"/>
                <w:b w:val="0"/>
                <w:sz w:val="20"/>
              </w:rPr>
              <w:t>31</w:t>
            </w:r>
          </w:p>
        </w:tc>
        <w:tc>
          <w:tcPr>
            <w:tcW w:type="dxa" w:w="1187"/>
          </w:tcPr>
          <w:p>
            <w:pPr>
              <w:jc w:val="center"/>
            </w:pPr>
            <w:r>
              <w:rPr>
                <w:rFonts w:ascii="宋体" w:hAnsi="宋体" w:eastAsia="宋体"/>
                <w:b w:val="0"/>
                <w:sz w:val="20"/>
              </w:rPr>
              <w:t>18</w:t>
            </w:r>
          </w:p>
        </w:tc>
        <w:tc>
          <w:tcPr>
            <w:tcW w:type="dxa" w:w="1187"/>
          </w:tcPr>
          <w:p>
            <w:pPr>
              <w:jc w:val="center"/>
            </w:pPr>
            <w:r>
              <w:rPr>
                <w:rFonts w:ascii="宋体" w:hAnsi="宋体" w:eastAsia="宋体"/>
                <w:b w:val="0"/>
                <w:sz w:val="20"/>
              </w:rPr>
              <w:t>13</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省级平台补采</w:t>
            </w:r>
          </w:p>
        </w:tc>
        <w:tc>
          <w:tcPr>
            <w:tcW w:type="dxa" w:w="1187"/>
          </w:tcPr>
          <w:p>
            <w:pPr>
              <w:jc w:val="center"/>
            </w:pPr>
            <w:r>
              <w:rPr>
                <w:rFonts w:ascii="宋体" w:hAnsi="宋体" w:eastAsia="宋体"/>
                <w:b w:val="0"/>
                <w:sz w:val="20"/>
              </w:rPr>
              <w:t>provincial</w:t>
            </w:r>
          </w:p>
        </w:tc>
        <w:tc>
          <w:tcPr>
            <w:tcW w:type="dxa" w:w="1187"/>
          </w:tcPr>
          <w:p>
            <w:pPr>
              <w:jc w:val="center"/>
            </w:pPr>
            <w:r>
              <w:rPr>
                <w:rFonts w:ascii="宋体" w:hAnsi="宋体" w:eastAsia="宋体"/>
                <w:b w:val="0"/>
                <w:sz w:val="20"/>
              </w:rPr>
              <w:t>completed</w:t>
            </w:r>
          </w:p>
        </w:tc>
        <w:tc>
          <w:tcPr>
            <w:tcW w:type="dxa" w:w="1187"/>
          </w:tcPr>
          <w:p>
            <w:pPr>
              <w:jc w:val="center"/>
            </w:pPr>
            <w:r>
              <w:rPr>
                <w:rFonts w:ascii="宋体" w:hAnsi="宋体" w:eastAsia="宋体"/>
                <w:b w:val="0"/>
                <w:sz w:val="20"/>
              </w:rPr>
              <w:t>13</w:t>
            </w:r>
          </w:p>
        </w:tc>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9</w:t>
            </w:r>
          </w:p>
        </w:tc>
      </w:tr>
    </w:tbl>
    <w:p>
      <w:pPr>
        <w:pStyle w:val="Heading2"/>
      </w:pPr>
      <w:r>
        <w:t>A.3 验证数据文件清单</w:t>
      </w:r>
    </w:p>
    <w:p>
      <w:r>
        <w:rPr>
          <w:rFonts w:ascii="宋体" w:hAnsi="宋体" w:eastAsia="宋体"/>
          <w:b w:val="0"/>
          <w:sz w:val="24"/>
        </w:rPr>
        <w:t>所有验证后的数据文件保存在 `data/verified_dataset/` 目录：</w:t>
      </w:r>
    </w:p>
    <w:p>
      <w:r>
        <w:rPr>
          <w:rFonts w:ascii="宋体" w:hAnsi="宋体" w:eastAsia="宋体"/>
          <w:b w:val="0"/>
          <w:sz w:val="24"/>
        </w:rPr>
        <w:t>- `verification_report_20260424_221138.json` —— 完整验证报告</w:t>
      </w:r>
    </w:p>
    <w:p>
      <w:r>
        <w:rPr>
          <w:rFonts w:ascii="宋体" w:hAnsi="宋体" w:eastAsia="宋体"/>
          <w:b w:val="0"/>
          <w:sz w:val="24"/>
        </w:rPr>
        <w:t>- `table_topsis_binary_*.csv` —— TOPSIS排名表（11项指标版）</w:t>
      </w:r>
    </w:p>
    <w:p>
      <w:r>
        <w:rPr>
          <w:rFonts w:ascii="宋体" w:hAnsi="宋体" w:eastAsia="宋体"/>
          <w:b w:val="0"/>
          <w:sz w:val="24"/>
        </w:rPr>
        <w:t>- `table_dea_*.csv` —— DEA效率分析表</w:t>
      </w:r>
    </w:p>
    <w:p>
      <w:r>
        <w:rPr>
          <w:rFonts w:ascii="宋体" w:hAnsi="宋体" w:eastAsia="宋体"/>
          <w:b w:val="0"/>
          <w:sz w:val="24"/>
        </w:rPr>
        <w:t>- `dematel_results_*.json` —— DEMATEL分析结果</w:t>
      </w:r>
    </w:p>
    <w:p>
      <w:r>
        <w:rPr>
          <w:rFonts w:ascii="宋体" w:hAnsi="宋体" w:eastAsia="宋体"/>
          <w:b w:val="0"/>
          <w:sz w:val="24"/>
        </w:rPr>
        <w:t>- `fsqca_results_*.json` —— fsQCA组态分析结果</w:t>
      </w:r>
    </w:p>
    <w:p>
      <w:pPr>
        <w:pStyle w:val="Heading2"/>
      </w:pPr>
      <w:r>
        <w:t>A.4 图表文件清单</w:t>
      </w:r>
    </w:p>
    <w:p>
      <w:r>
        <w:rPr>
          <w:rFonts w:ascii="宋体" w:hAnsi="宋体" w:eastAsia="宋体"/>
          <w:b w:val="0"/>
          <w:sz w:val="24"/>
        </w:rPr>
        <w:t>基于真实数据生成的图表保存在 `static/charts/` 目录：</w:t>
      </w:r>
    </w:p>
    <w:p>
      <w:r>
        <w:rPr>
          <w:rFonts w:ascii="宋体" w:hAnsi="宋体" w:eastAsia="宋体"/>
          <w:b w:val="0"/>
          <w:sz w:val="24"/>
        </w:rPr>
        <w:t>- `fig4_1_collection_status.png` —— 采集状态分布饼图</w:t>
      </w:r>
    </w:p>
    <w:p>
      <w:r>
        <w:rPr>
          <w:rFonts w:ascii="宋体" w:hAnsi="宋体" w:eastAsia="宋体"/>
          <w:b w:val="0"/>
          <w:sz w:val="24"/>
        </w:rPr>
        <w:t>- `fig5_1_topsis_ranking.png` —— TOPSIS排名柱状图</w:t>
      </w:r>
    </w:p>
    <w:p>
      <w:r>
        <w:rPr>
          <w:rFonts w:ascii="宋体" w:hAnsi="宋体" w:eastAsia="宋体"/>
          <w:b w:val="0"/>
          <w:sz w:val="24"/>
        </w:rPr>
        <w:t>- `fig5_2_region_comparison.png` —— 区域均值对比图</w:t>
      </w:r>
    </w:p>
    <w:p>
      <w:r>
        <w:rPr>
          <w:rFonts w:ascii="宋体" w:hAnsi="宋体" w:eastAsia="宋体"/>
          <w:b w:val="0"/>
          <w:sz w:val="24"/>
        </w:rPr>
        <w:t>- `fig5_3_4e_radar.png` —— 4E维度雷达图</w:t>
      </w:r>
    </w:p>
    <w:p>
      <w:pPr>
        <w:pStyle w:val="Heading2"/>
      </w:pPr>
      <w:r>
        <w:t>A.5 数据使用声明</w:t>
      </w:r>
    </w:p>
    <w:p>
      <w:r>
        <w:rPr>
          <w:rFonts w:ascii="宋体" w:hAnsi="宋体" w:eastAsia="宋体"/>
          <w:b w:val="0"/>
          <w:sz w:val="24"/>
        </w:rPr>
        <w:t>本研究采集的政府数据开放平台公开数据遵循各平台的开放许可协议。采集过程仅执行HTTP GET请求获取公开页面内容，未进行任何数据修改、删除或破坏性操作。所有采集数据仅用于学术研究目的。</w:t>
      </w:r>
    </w:p>
    <w:p>
      <w:pPr>
        <w:pStyle w:val="Heading1"/>
      </w:pPr>
      <w:r>
        <w:t>附录B：熵权法权重计算过程</w:t>
      </w:r>
    </w:p>
    <w:p>
      <w:pPr>
        <w:pStyle w:val="Heading2"/>
      </w:pPr>
      <w:r>
        <w:t>B.1 决策矩阵</w:t>
      </w:r>
    </w:p>
    <w:p>
      <w:r>
        <w:rPr>
          <w:rFonts w:ascii="宋体" w:hAnsi="宋体" w:eastAsia="宋体"/>
          <w:b w:val="0"/>
          <w:sz w:val="24"/>
        </w:rPr>
        <w:t>本研究基于22个平台的11项功能特征指标构建决策矩阵。决策矩阵$X$为$22 \times 11$的矩阵，其中$X_{ij}$表示第$i$个平台的第$j$项指标值（0或1）。</w:t>
      </w:r>
    </w:p>
    <w:p>
      <w:pPr>
        <w:pStyle w:val="Heading2"/>
      </w:pPr>
      <w:r>
        <w:t>B.2 数据标准化</w:t>
      </w:r>
    </w:p>
    <w:p>
      <w:r>
        <w:rPr>
          <w:rFonts w:ascii="宋体" w:hAnsi="宋体" w:eastAsia="宋体"/>
          <w:b w:val="0"/>
          <w:sz w:val="24"/>
        </w:rPr>
        <w:t>由于所有指标均为正向二值指标（1=具备，0=不具备），标准化公式为：</w:t>
      </w:r>
    </w:p>
    <w:p>
      <w:r>
        <w:rPr>
          <w:rFonts w:ascii="宋体" w:hAnsi="宋体" w:eastAsia="宋体"/>
          <w:b w:val="0"/>
          <w:sz w:val="24"/>
        </w:rPr>
        <w:t>$$r_{ij} = \frac{x_{ij} - \min(x_j)}{\max(x_j) - \min(x_j)}$$</w:t>
      </w:r>
    </w:p>
    <w:p>
      <w:r>
        <w:rPr>
          <w:rFonts w:ascii="宋体" w:hAnsi="宋体" w:eastAsia="宋体"/>
          <w:b w:val="0"/>
          <w:sz w:val="24"/>
        </w:rPr>
        <w:t>对于二值指标，$\min(x_j)=0$，$\max(x_j)=1$，因此$r_{ij}=x_{ij}$，标准化后的矩阵与原矩阵相同。</w:t>
      </w:r>
    </w:p>
    <w:p>
      <w:pPr>
        <w:pStyle w:val="Heading2"/>
      </w:pPr>
      <w:r>
        <w:t>B.3 熵权计算</w:t>
      </w:r>
    </w:p>
    <w:p>
      <w:r>
        <w:rPr>
          <w:rFonts w:ascii="宋体" w:hAnsi="宋体" w:eastAsia="宋体"/>
          <w:b w:val="0"/>
          <w:sz w:val="24"/>
        </w:rPr>
      </w:r>
      <w:r>
        <w:rPr>
          <w:rFonts w:ascii="宋体" w:hAnsi="宋体" w:eastAsia="宋体"/>
          <w:b/>
          <w:sz w:val="24"/>
        </w:rPr>
        <w:t>步骤1：计算比重矩阵。</w:t>
      </w:r>
      <w:r>
        <w:rPr>
          <w:rFonts w:ascii="宋体" w:hAnsi="宋体" w:eastAsia="宋体"/>
          <w:b w:val="0"/>
          <w:sz w:val="24"/>
        </w:rPr>
      </w:r>
    </w:p>
    <w:p>
      <w:r>
        <w:rPr>
          <w:rFonts w:ascii="宋体" w:hAnsi="宋体" w:eastAsia="宋体"/>
          <w:b w:val="0"/>
          <w:sz w:val="24"/>
        </w:rPr>
        <w:t>$$p_{ij} = \frac{r_{ij}}{\sum_{i=1}^{22} r_{ij}}$$</w:t>
      </w:r>
    </w:p>
    <w:p>
      <w:r>
        <w:rPr>
          <w:rFonts w:ascii="宋体" w:hAnsi="宋体" w:eastAsia="宋体"/>
          <w:b w:val="0"/>
          <w:sz w:val="24"/>
        </w:rPr>
      </w:r>
      <w:r>
        <w:rPr>
          <w:rFonts w:ascii="宋体" w:hAnsi="宋体" w:eastAsia="宋体"/>
          <w:b/>
          <w:sz w:val="24"/>
        </w:rPr>
        <w:t>步骤2：计算信息熵。</w:t>
      </w:r>
      <w:r>
        <w:rPr>
          <w:rFonts w:ascii="宋体" w:hAnsi="宋体" w:eastAsia="宋体"/>
          <w:b w:val="0"/>
          <w:sz w:val="24"/>
        </w:rPr>
      </w:r>
    </w:p>
    <w:p>
      <w:r>
        <w:rPr>
          <w:rFonts w:ascii="宋体" w:hAnsi="宋体" w:eastAsia="宋体"/>
          <w:b w:val="0"/>
          <w:sz w:val="24"/>
        </w:rPr>
        <w:t>$$e_j = -\frac{1}{\ln(22)} \sum_{i=1}^{22} p_{ij} \ln(p_{ij})$$</w:t>
      </w:r>
    </w:p>
    <w:p>
      <w:r>
        <w:rPr>
          <w:rFonts w:ascii="宋体" w:hAnsi="宋体" w:eastAsia="宋体"/>
          <w:b w:val="0"/>
          <w:sz w:val="24"/>
        </w:rPr>
      </w:r>
      <w:r>
        <w:rPr>
          <w:rFonts w:ascii="宋体" w:hAnsi="宋体" w:eastAsia="宋体"/>
          <w:b/>
          <w:sz w:val="24"/>
        </w:rPr>
        <w:t>步骤3：计算差异系数。</w:t>
      </w:r>
      <w:r>
        <w:rPr>
          <w:rFonts w:ascii="宋体" w:hAnsi="宋体" w:eastAsia="宋体"/>
          <w:b w:val="0"/>
          <w:sz w:val="24"/>
        </w:rPr>
      </w:r>
    </w:p>
    <w:p>
      <w:r>
        <w:rPr>
          <w:rFonts w:ascii="宋体" w:hAnsi="宋体" w:eastAsia="宋体"/>
          <w:b w:val="0"/>
          <w:sz w:val="24"/>
        </w:rPr>
        <w:t>$$g_j = 1 - e_j$$</w:t>
      </w:r>
    </w:p>
    <w:p>
      <w:r>
        <w:rPr>
          <w:rFonts w:ascii="宋体" w:hAnsi="宋体" w:eastAsia="宋体"/>
          <w:b w:val="0"/>
          <w:sz w:val="24"/>
        </w:rPr>
      </w:r>
      <w:r>
        <w:rPr>
          <w:rFonts w:ascii="宋体" w:hAnsi="宋体" w:eastAsia="宋体"/>
          <w:b/>
          <w:sz w:val="24"/>
        </w:rPr>
        <w:t>步骤4：计算权重。</w:t>
      </w:r>
      <w:r>
        <w:rPr>
          <w:rFonts w:ascii="宋体" w:hAnsi="宋体" w:eastAsia="宋体"/>
          <w:b w:val="0"/>
          <w:sz w:val="24"/>
        </w:rPr>
      </w:r>
    </w:p>
    <w:p>
      <w:r>
        <w:rPr>
          <w:rFonts w:ascii="宋体" w:hAnsi="宋体" w:eastAsia="宋体"/>
          <w:b w:val="0"/>
          <w:sz w:val="24"/>
        </w:rPr>
        <w:t>$$w_j = \frac{g_j}{\sum_{j=1}^{11} g_j}$$</w:t>
      </w:r>
    </w:p>
    <w:p>
      <w:pPr>
        <w:pStyle w:val="Heading2"/>
      </w:pPr>
      <w:r>
        <w:t>B.4 权重结果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宋体" w:hAnsi="宋体" w:eastAsia="宋体"/>
                <w:b w:val="0"/>
                <w:sz w:val="20"/>
              </w:rPr>
              <w:t>指标</w:t>
            </w:r>
          </w:p>
        </w:tc>
        <w:tc>
          <w:tcPr>
            <w:tcW w:type="dxa" w:w="1662"/>
          </w:tcPr>
          <w:p>
            <w:pPr>
              <w:jc w:val="center"/>
            </w:pPr>
            <w:r>
              <w:rPr>
                <w:rFonts w:ascii="宋体" w:hAnsi="宋体" w:eastAsia="宋体"/>
                <w:b w:val="0"/>
                <w:sz w:val="20"/>
              </w:rPr>
              <w:t>$\sum r_{ij}$</w:t>
            </w:r>
          </w:p>
        </w:tc>
        <w:tc>
          <w:tcPr>
            <w:tcW w:type="dxa" w:w="1662"/>
          </w:tcPr>
          <w:p>
            <w:pPr>
              <w:jc w:val="center"/>
            </w:pPr>
            <w:r>
              <w:rPr>
                <w:rFonts w:ascii="宋体" w:hAnsi="宋体" w:eastAsia="宋体"/>
                <w:b w:val="0"/>
                <w:sz w:val="20"/>
              </w:rPr>
              <w:t>$e_j$</w:t>
            </w:r>
          </w:p>
        </w:tc>
        <w:tc>
          <w:tcPr>
            <w:tcW w:type="dxa" w:w="1662"/>
          </w:tcPr>
          <w:p>
            <w:pPr>
              <w:jc w:val="center"/>
            </w:pPr>
            <w:r>
              <w:rPr>
                <w:rFonts w:ascii="宋体" w:hAnsi="宋体" w:eastAsia="宋体"/>
                <w:b w:val="0"/>
                <w:sz w:val="20"/>
              </w:rPr>
              <w:t>$g_j$</w:t>
            </w:r>
          </w:p>
        </w:tc>
        <w:tc>
          <w:tcPr>
            <w:tcW w:type="dxa" w:w="1662"/>
          </w:tcPr>
          <w:p>
            <w:pPr>
              <w:jc w:val="center"/>
            </w:pPr>
            <w:r>
              <w:rPr>
                <w:rFonts w:ascii="宋体" w:hAnsi="宋体" w:eastAsia="宋体"/>
                <w:b w:val="0"/>
                <w:sz w:val="20"/>
              </w:rPr>
              <w:t>$w_j$</w:t>
            </w:r>
          </w:p>
        </w:tc>
      </w:tr>
      <w:tr>
        <w:tc>
          <w:tcPr>
            <w:tcW w:type="dxa" w:w="1662"/>
          </w:tcPr>
          <w:p>
            <w:pPr>
              <w:jc w:val="center"/>
            </w:pPr>
            <w:r>
              <w:rPr>
                <w:rFonts w:ascii="宋体" w:hAnsi="宋体" w:eastAsia="宋体"/>
                <w:b w:val="0"/>
                <w:sz w:val="20"/>
              </w:rPr>
              <w:t>has_update_info</w:t>
            </w:r>
          </w:p>
        </w:tc>
        <w:tc>
          <w:tcPr>
            <w:tcW w:type="dxa" w:w="1662"/>
          </w:tcPr>
          <w:p>
            <w:pPr>
              <w:jc w:val="center"/>
            </w:pPr>
            <w:r>
              <w:rPr>
                <w:rFonts w:ascii="宋体" w:hAnsi="宋体" w:eastAsia="宋体"/>
                <w:b w:val="0"/>
                <w:sz w:val="20"/>
              </w:rPr>
              <w:t>16</w:t>
            </w:r>
          </w:p>
        </w:tc>
        <w:tc>
          <w:tcPr>
            <w:tcW w:type="dxa" w:w="1662"/>
          </w:tcPr>
          <w:p>
            <w:pPr>
              <w:jc w:val="center"/>
            </w:pPr>
            <w:r>
              <w:rPr>
                <w:rFonts w:ascii="宋体" w:hAnsi="宋体" w:eastAsia="宋体"/>
                <w:b w:val="0"/>
                <w:sz w:val="20"/>
              </w:rPr>
              <w:t>0.7874</w:t>
            </w:r>
          </w:p>
        </w:tc>
        <w:tc>
          <w:tcPr>
            <w:tcW w:type="dxa" w:w="1662"/>
          </w:tcPr>
          <w:p>
            <w:pPr>
              <w:jc w:val="center"/>
            </w:pPr>
            <w:r>
              <w:rPr>
                <w:rFonts w:ascii="宋体" w:hAnsi="宋体" w:eastAsia="宋体"/>
                <w:b w:val="0"/>
                <w:sz w:val="20"/>
              </w:rPr>
              <w:t>0.2126</w:t>
            </w:r>
          </w:p>
        </w:tc>
        <w:tc>
          <w:tcPr>
            <w:tcW w:type="dxa" w:w="1662"/>
          </w:tcPr>
          <w:p>
            <w:pPr>
              <w:jc w:val="center"/>
            </w:pPr>
            <w:r>
              <w:rPr>
                <w:rFonts w:ascii="宋体" w:hAnsi="宋体" w:eastAsia="宋体"/>
                <w:b w:val="0"/>
                <w:sz w:val="20"/>
              </w:rPr>
              <w:t>0.2126</w:t>
            </w:r>
          </w:p>
        </w:tc>
      </w:tr>
      <w:tr>
        <w:tc>
          <w:tcPr>
            <w:tcW w:type="dxa" w:w="1662"/>
          </w:tcPr>
          <w:p>
            <w:pPr>
              <w:jc w:val="center"/>
            </w:pPr>
            <w:r>
              <w:rPr>
                <w:rFonts w:ascii="宋体" w:hAnsi="宋体" w:eastAsia="宋体"/>
                <w:b w:val="0"/>
                <w:sz w:val="20"/>
              </w:rPr>
              <w:t>has_feedback</w:t>
            </w:r>
          </w:p>
        </w:tc>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0.8337</w:t>
            </w:r>
          </w:p>
        </w:tc>
        <w:tc>
          <w:tcPr>
            <w:tcW w:type="dxa" w:w="1662"/>
          </w:tcPr>
          <w:p>
            <w:pPr>
              <w:jc w:val="center"/>
            </w:pPr>
            <w:r>
              <w:rPr>
                <w:rFonts w:ascii="宋体" w:hAnsi="宋体" w:eastAsia="宋体"/>
                <w:b w:val="0"/>
                <w:sz w:val="20"/>
              </w:rPr>
              <w:t>0.1663</w:t>
            </w:r>
          </w:p>
        </w:tc>
        <w:tc>
          <w:tcPr>
            <w:tcW w:type="dxa" w:w="1662"/>
          </w:tcPr>
          <w:p>
            <w:pPr>
              <w:jc w:val="center"/>
            </w:pPr>
            <w:r>
              <w:rPr>
                <w:rFonts w:ascii="宋体" w:hAnsi="宋体" w:eastAsia="宋体"/>
                <w:b w:val="0"/>
                <w:sz w:val="20"/>
              </w:rPr>
              <w:t>0.1663</w:t>
            </w:r>
          </w:p>
        </w:tc>
      </w:tr>
      <w:tr>
        <w:tc>
          <w:tcPr>
            <w:tcW w:type="dxa" w:w="1662"/>
          </w:tcPr>
          <w:p>
            <w:pPr>
              <w:jc w:val="center"/>
            </w:pPr>
            <w:r>
              <w:rPr>
                <w:rFonts w:ascii="宋体" w:hAnsi="宋体" w:eastAsia="宋体"/>
                <w:b w:val="0"/>
                <w:sz w:val="20"/>
              </w:rPr>
              <w:t>has_download</w:t>
            </w:r>
          </w:p>
        </w:tc>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0.8870</w:t>
            </w:r>
          </w:p>
        </w:tc>
        <w:tc>
          <w:tcPr>
            <w:tcW w:type="dxa" w:w="1662"/>
          </w:tcPr>
          <w:p>
            <w:pPr>
              <w:jc w:val="center"/>
            </w:pPr>
            <w:r>
              <w:rPr>
                <w:rFonts w:ascii="宋体" w:hAnsi="宋体" w:eastAsia="宋体"/>
                <w:b w:val="0"/>
                <w:sz w:val="20"/>
              </w:rPr>
              <w:t>0.1130</w:t>
            </w:r>
          </w:p>
        </w:tc>
        <w:tc>
          <w:tcPr>
            <w:tcW w:type="dxa" w:w="1662"/>
          </w:tcPr>
          <w:p>
            <w:pPr>
              <w:jc w:val="center"/>
            </w:pPr>
            <w:r>
              <w:rPr>
                <w:rFonts w:ascii="宋体" w:hAnsi="宋体" w:eastAsia="宋体"/>
                <w:b w:val="0"/>
                <w:sz w:val="20"/>
              </w:rPr>
              <w:t>0.1130</w:t>
            </w:r>
          </w:p>
        </w:tc>
      </w:tr>
      <w:tr>
        <w:tc>
          <w:tcPr>
            <w:tcW w:type="dxa" w:w="1662"/>
          </w:tcPr>
          <w:p>
            <w:pPr>
              <w:jc w:val="center"/>
            </w:pPr>
            <w:r>
              <w:rPr>
                <w:rFonts w:ascii="宋体" w:hAnsi="宋体" w:eastAsia="宋体"/>
                <w:b w:val="0"/>
                <w:sz w:val="20"/>
              </w:rPr>
              <w:t>has_metadata</w:t>
            </w:r>
          </w:p>
        </w:tc>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0.8870</w:t>
            </w:r>
          </w:p>
        </w:tc>
        <w:tc>
          <w:tcPr>
            <w:tcW w:type="dxa" w:w="1662"/>
          </w:tcPr>
          <w:p>
            <w:pPr>
              <w:jc w:val="center"/>
            </w:pPr>
            <w:r>
              <w:rPr>
                <w:rFonts w:ascii="宋体" w:hAnsi="宋体" w:eastAsia="宋体"/>
                <w:b w:val="0"/>
                <w:sz w:val="20"/>
              </w:rPr>
              <w:t>0.1130</w:t>
            </w:r>
          </w:p>
        </w:tc>
        <w:tc>
          <w:tcPr>
            <w:tcW w:type="dxa" w:w="1662"/>
          </w:tcPr>
          <w:p>
            <w:pPr>
              <w:jc w:val="center"/>
            </w:pPr>
            <w:r>
              <w:rPr>
                <w:rFonts w:ascii="宋体" w:hAnsi="宋体" w:eastAsia="宋体"/>
                <w:b w:val="0"/>
                <w:sz w:val="20"/>
              </w:rPr>
              <w:t>0.1130</w:t>
            </w:r>
          </w:p>
        </w:tc>
      </w:tr>
      <w:tr>
        <w:tc>
          <w:tcPr>
            <w:tcW w:type="dxa" w:w="1662"/>
          </w:tcPr>
          <w:p>
            <w:pPr>
              <w:jc w:val="center"/>
            </w:pPr>
            <w:r>
              <w:rPr>
                <w:rFonts w:ascii="宋体" w:hAnsi="宋体" w:eastAsia="宋体"/>
                <w:b w:val="0"/>
                <w:sz w:val="20"/>
              </w:rPr>
              <w:t>has_register</w:t>
            </w:r>
          </w:p>
        </w:tc>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0.8870</w:t>
            </w:r>
          </w:p>
        </w:tc>
        <w:tc>
          <w:tcPr>
            <w:tcW w:type="dxa" w:w="1662"/>
          </w:tcPr>
          <w:p>
            <w:pPr>
              <w:jc w:val="center"/>
            </w:pPr>
            <w:r>
              <w:rPr>
                <w:rFonts w:ascii="宋体" w:hAnsi="宋体" w:eastAsia="宋体"/>
                <w:b w:val="0"/>
                <w:sz w:val="20"/>
              </w:rPr>
              <w:t>0.1130</w:t>
            </w:r>
          </w:p>
        </w:tc>
        <w:tc>
          <w:tcPr>
            <w:tcW w:type="dxa" w:w="1662"/>
          </w:tcPr>
          <w:p>
            <w:pPr>
              <w:jc w:val="center"/>
            </w:pPr>
            <w:r>
              <w:rPr>
                <w:rFonts w:ascii="宋体" w:hAnsi="宋体" w:eastAsia="宋体"/>
                <w:b w:val="0"/>
                <w:sz w:val="20"/>
              </w:rPr>
              <w:t>0.1130</w:t>
            </w:r>
          </w:p>
        </w:tc>
      </w:tr>
      <w:tr>
        <w:tc>
          <w:tcPr>
            <w:tcW w:type="dxa" w:w="1662"/>
          </w:tcPr>
          <w:p>
            <w:pPr>
              <w:jc w:val="center"/>
            </w:pPr>
            <w:r>
              <w:rPr>
                <w:rFonts w:ascii="宋体" w:hAnsi="宋体" w:eastAsia="宋体"/>
                <w:b w:val="0"/>
                <w:sz w:val="20"/>
              </w:rPr>
              <w:t>has_api</w:t>
            </w:r>
          </w:p>
        </w:tc>
        <w:tc>
          <w:tcPr>
            <w:tcW w:type="dxa" w:w="1662"/>
          </w:tcPr>
          <w:p>
            <w:pPr>
              <w:jc w:val="center"/>
            </w:pPr>
            <w:r>
              <w:rPr>
                <w:rFonts w:ascii="宋体" w:hAnsi="宋体" w:eastAsia="宋体"/>
                <w:b w:val="0"/>
                <w:sz w:val="20"/>
              </w:rPr>
              <w:t>13</w:t>
            </w:r>
          </w:p>
        </w:tc>
        <w:tc>
          <w:tcPr>
            <w:tcW w:type="dxa" w:w="1662"/>
          </w:tcPr>
          <w:p>
            <w:pPr>
              <w:jc w:val="center"/>
            </w:pPr>
            <w:r>
              <w:rPr>
                <w:rFonts w:ascii="宋体" w:hAnsi="宋体" w:eastAsia="宋体"/>
                <w:b w:val="0"/>
                <w:sz w:val="20"/>
              </w:rPr>
              <w:t>0.9019</w:t>
            </w:r>
          </w:p>
        </w:tc>
        <w:tc>
          <w:tcPr>
            <w:tcW w:type="dxa" w:w="1662"/>
          </w:tcPr>
          <w:p>
            <w:pPr>
              <w:jc w:val="center"/>
            </w:pPr>
            <w:r>
              <w:rPr>
                <w:rFonts w:ascii="宋体" w:hAnsi="宋体" w:eastAsia="宋体"/>
                <w:b w:val="0"/>
                <w:sz w:val="20"/>
              </w:rPr>
              <w:t>0.0981</w:t>
            </w:r>
          </w:p>
        </w:tc>
        <w:tc>
          <w:tcPr>
            <w:tcW w:type="dxa" w:w="1662"/>
          </w:tcPr>
          <w:p>
            <w:pPr>
              <w:jc w:val="center"/>
            </w:pPr>
            <w:r>
              <w:rPr>
                <w:rFonts w:ascii="宋体" w:hAnsi="宋体" w:eastAsia="宋体"/>
                <w:b w:val="0"/>
                <w:sz w:val="20"/>
              </w:rPr>
              <w:t>0.0981</w:t>
            </w:r>
          </w:p>
        </w:tc>
      </w:tr>
      <w:tr>
        <w:tc>
          <w:tcPr>
            <w:tcW w:type="dxa" w:w="1662"/>
          </w:tcPr>
          <w:p>
            <w:pPr>
              <w:jc w:val="center"/>
            </w:pPr>
            <w:r>
              <w:rPr>
                <w:rFonts w:ascii="宋体" w:hAnsi="宋体" w:eastAsia="宋体"/>
                <w:b w:val="0"/>
                <w:sz w:val="20"/>
              </w:rPr>
              <w:t>has_visualization</w:t>
            </w:r>
          </w:p>
        </w:tc>
        <w:tc>
          <w:tcPr>
            <w:tcW w:type="dxa" w:w="1662"/>
          </w:tcPr>
          <w:p>
            <w:pPr>
              <w:jc w:val="center"/>
            </w:pPr>
            <w:r>
              <w:rPr>
                <w:rFonts w:ascii="宋体" w:hAnsi="宋体" w:eastAsia="宋体"/>
                <w:b w:val="0"/>
                <w:sz w:val="20"/>
              </w:rPr>
              <w:t>13</w:t>
            </w:r>
          </w:p>
        </w:tc>
        <w:tc>
          <w:tcPr>
            <w:tcW w:type="dxa" w:w="1662"/>
          </w:tcPr>
          <w:p>
            <w:pPr>
              <w:jc w:val="center"/>
            </w:pPr>
            <w:r>
              <w:rPr>
                <w:rFonts w:ascii="宋体" w:hAnsi="宋体" w:eastAsia="宋体"/>
                <w:b w:val="0"/>
                <w:sz w:val="20"/>
              </w:rPr>
              <w:t>0.9019</w:t>
            </w:r>
          </w:p>
        </w:tc>
        <w:tc>
          <w:tcPr>
            <w:tcW w:type="dxa" w:w="1662"/>
          </w:tcPr>
          <w:p>
            <w:pPr>
              <w:jc w:val="center"/>
            </w:pPr>
            <w:r>
              <w:rPr>
                <w:rFonts w:ascii="宋体" w:hAnsi="宋体" w:eastAsia="宋体"/>
                <w:b w:val="0"/>
                <w:sz w:val="20"/>
              </w:rPr>
              <w:t>0.0981</w:t>
            </w:r>
          </w:p>
        </w:tc>
        <w:tc>
          <w:tcPr>
            <w:tcW w:type="dxa" w:w="1662"/>
          </w:tcPr>
          <w:p>
            <w:pPr>
              <w:jc w:val="center"/>
            </w:pPr>
            <w:r>
              <w:rPr>
                <w:rFonts w:ascii="宋体" w:hAnsi="宋体" w:eastAsia="宋体"/>
                <w:b w:val="0"/>
                <w:sz w:val="20"/>
              </w:rPr>
              <w:t>0.0981</w:t>
            </w:r>
          </w:p>
        </w:tc>
      </w:tr>
      <w:tr>
        <w:tc>
          <w:tcPr>
            <w:tcW w:type="dxa" w:w="1662"/>
          </w:tcPr>
          <w:p>
            <w:pPr>
              <w:jc w:val="center"/>
            </w:pPr>
            <w:r>
              <w:rPr>
                <w:rFonts w:ascii="宋体" w:hAnsi="宋体" w:eastAsia="宋体"/>
                <w:b w:val="0"/>
                <w:sz w:val="20"/>
              </w:rPr>
              <w:t>has_search</w:t>
            </w:r>
          </w:p>
        </w:tc>
        <w:tc>
          <w:tcPr>
            <w:tcW w:type="dxa" w:w="1662"/>
          </w:tcPr>
          <w:p>
            <w:pPr>
              <w:jc w:val="center"/>
            </w:pPr>
            <w:r>
              <w:rPr>
                <w:rFonts w:ascii="宋体" w:hAnsi="宋体" w:eastAsia="宋体"/>
                <w:b w:val="0"/>
                <w:sz w:val="20"/>
              </w:rPr>
              <w:t>12</w:t>
            </w:r>
          </w:p>
        </w:tc>
        <w:tc>
          <w:tcPr>
            <w:tcW w:type="dxa" w:w="1662"/>
          </w:tcPr>
          <w:p>
            <w:pPr>
              <w:jc w:val="center"/>
            </w:pPr>
            <w:r>
              <w:rPr>
                <w:rFonts w:ascii="宋体" w:hAnsi="宋体" w:eastAsia="宋体"/>
                <w:b w:val="0"/>
                <w:sz w:val="20"/>
              </w:rPr>
              <w:t>0.9405</w:t>
            </w:r>
          </w:p>
        </w:tc>
        <w:tc>
          <w:tcPr>
            <w:tcW w:type="dxa" w:w="1662"/>
          </w:tcPr>
          <w:p>
            <w:pPr>
              <w:jc w:val="center"/>
            </w:pPr>
            <w:r>
              <w:rPr>
                <w:rFonts w:ascii="宋体" w:hAnsi="宋体" w:eastAsia="宋体"/>
                <w:b w:val="0"/>
                <w:sz w:val="20"/>
              </w:rPr>
              <w:t>0.0595</w:t>
            </w:r>
          </w:p>
        </w:tc>
        <w:tc>
          <w:tcPr>
            <w:tcW w:type="dxa" w:w="1662"/>
          </w:tcPr>
          <w:p>
            <w:pPr>
              <w:jc w:val="center"/>
            </w:pPr>
            <w:r>
              <w:rPr>
                <w:rFonts w:ascii="宋体" w:hAnsi="宋体" w:eastAsia="宋体"/>
                <w:b w:val="0"/>
                <w:sz w:val="20"/>
              </w:rPr>
              <w:t>0.0595</w:t>
            </w:r>
          </w:p>
        </w:tc>
      </w:tr>
      <w:tr>
        <w:tc>
          <w:tcPr>
            <w:tcW w:type="dxa" w:w="1662"/>
          </w:tcPr>
          <w:p>
            <w:pPr>
              <w:jc w:val="center"/>
            </w:pPr>
            <w:r>
              <w:rPr>
                <w:rFonts w:ascii="宋体" w:hAnsi="宋体" w:eastAsia="宋体"/>
                <w:b w:val="0"/>
                <w:sz w:val="20"/>
              </w:rPr>
              <w:t>has_https</w:t>
            </w:r>
          </w:p>
        </w:tc>
        <w:tc>
          <w:tcPr>
            <w:tcW w:type="dxa" w:w="1662"/>
          </w:tcPr>
          <w:p>
            <w:pPr>
              <w:jc w:val="center"/>
            </w:pPr>
            <w:r>
              <w:rPr>
                <w:rFonts w:ascii="宋体" w:hAnsi="宋体" w:eastAsia="宋体"/>
                <w:b w:val="0"/>
                <w:sz w:val="20"/>
              </w:rPr>
              <w:t>20</w:t>
            </w:r>
          </w:p>
        </w:tc>
        <w:tc>
          <w:tcPr>
            <w:tcW w:type="dxa" w:w="1662"/>
          </w:tcPr>
          <w:p>
            <w:pPr>
              <w:jc w:val="center"/>
            </w:pPr>
            <w:r>
              <w:rPr>
                <w:rFonts w:ascii="宋体" w:hAnsi="宋体" w:eastAsia="宋体"/>
                <w:b w:val="0"/>
                <w:sz w:val="20"/>
              </w:rPr>
              <w:t>0.9822</w:t>
            </w:r>
          </w:p>
        </w:tc>
        <w:tc>
          <w:tcPr>
            <w:tcW w:type="dxa" w:w="1662"/>
          </w:tcPr>
          <w:p>
            <w:pPr>
              <w:jc w:val="center"/>
            </w:pPr>
            <w:r>
              <w:rPr>
                <w:rFonts w:ascii="宋体" w:hAnsi="宋体" w:eastAsia="宋体"/>
                <w:b w:val="0"/>
                <w:sz w:val="20"/>
              </w:rPr>
              <w:t>0.0178</w:t>
            </w:r>
          </w:p>
        </w:tc>
        <w:tc>
          <w:tcPr>
            <w:tcW w:type="dxa" w:w="1662"/>
          </w:tcPr>
          <w:p>
            <w:pPr>
              <w:jc w:val="center"/>
            </w:pPr>
            <w:r>
              <w:rPr>
                <w:rFonts w:ascii="宋体" w:hAnsi="宋体" w:eastAsia="宋体"/>
                <w:b w:val="0"/>
                <w:sz w:val="20"/>
              </w:rPr>
              <w:t>0.0178</w:t>
            </w:r>
          </w:p>
        </w:tc>
      </w:tr>
      <w:tr>
        <w:tc>
          <w:tcPr>
            <w:tcW w:type="dxa" w:w="1662"/>
          </w:tcPr>
          <w:p>
            <w:pPr>
              <w:jc w:val="center"/>
            </w:pPr>
            <w:r>
              <w:rPr>
                <w:rFonts w:ascii="宋体" w:hAnsi="宋体" w:eastAsia="宋体"/>
                <w:b w:val="0"/>
                <w:sz w:val="20"/>
              </w:rPr>
              <w:t>has_preview</w:t>
            </w:r>
          </w:p>
        </w:tc>
        <w:tc>
          <w:tcPr>
            <w:tcW w:type="dxa" w:w="1662"/>
          </w:tcPr>
          <w:p>
            <w:pPr>
              <w:jc w:val="center"/>
            </w:pPr>
            <w:r>
              <w:rPr>
                <w:rFonts w:ascii="宋体" w:hAnsi="宋体" w:eastAsia="宋体"/>
                <w:b w:val="0"/>
                <w:sz w:val="20"/>
              </w:rPr>
              <w:t>21</w:t>
            </w:r>
          </w:p>
        </w:tc>
        <w:tc>
          <w:tcPr>
            <w:tcW w:type="dxa" w:w="1662"/>
          </w:tcPr>
          <w:p>
            <w:pPr>
              <w:jc w:val="center"/>
            </w:pPr>
            <w:r>
              <w:rPr>
                <w:rFonts w:ascii="宋体" w:hAnsi="宋体" w:eastAsia="宋体"/>
                <w:b w:val="0"/>
                <w:sz w:val="20"/>
              </w:rPr>
              <w:t>0.9913</w:t>
            </w:r>
          </w:p>
        </w:tc>
        <w:tc>
          <w:tcPr>
            <w:tcW w:type="dxa" w:w="1662"/>
          </w:tcPr>
          <w:p>
            <w:pPr>
              <w:jc w:val="center"/>
            </w:pPr>
            <w:r>
              <w:rPr>
                <w:rFonts w:ascii="宋体" w:hAnsi="宋体" w:eastAsia="宋体"/>
                <w:b w:val="0"/>
                <w:sz w:val="20"/>
              </w:rPr>
              <w:t>0.0087</w:t>
            </w:r>
          </w:p>
        </w:tc>
        <w:tc>
          <w:tcPr>
            <w:tcW w:type="dxa" w:w="1662"/>
          </w:tcPr>
          <w:p>
            <w:pPr>
              <w:jc w:val="center"/>
            </w:pPr>
            <w:r>
              <w:rPr>
                <w:rFonts w:ascii="宋体" w:hAnsi="宋体" w:eastAsia="宋体"/>
                <w:b w:val="0"/>
                <w:sz w:val="20"/>
              </w:rPr>
              <w:t>0.0087</w:t>
            </w:r>
          </w:p>
        </w:tc>
      </w:tr>
      <w:tr>
        <w:tc>
          <w:tcPr>
            <w:tcW w:type="dxa" w:w="1662"/>
          </w:tcPr>
          <w:p>
            <w:pPr>
              <w:jc w:val="center"/>
            </w:pPr>
            <w:r>
              <w:rPr>
                <w:rFonts w:ascii="宋体" w:hAnsi="宋体" w:eastAsia="宋体"/>
                <w:b w:val="0"/>
                <w:sz w:val="20"/>
              </w:rPr>
              <w:t>has_bulk_download</w:t>
            </w:r>
          </w:p>
        </w:tc>
        <w:tc>
          <w:tcPr>
            <w:tcW w:type="dxa" w:w="1662"/>
          </w:tcPr>
          <w:p>
            <w:pPr>
              <w:jc w:val="center"/>
            </w:pPr>
            <w:r>
              <w:rPr>
                <w:rFonts w:ascii="宋体" w:hAnsi="宋体" w:eastAsia="宋体"/>
                <w:b w:val="0"/>
                <w:sz w:val="20"/>
              </w:rPr>
              <w:t>22</w:t>
            </w:r>
          </w:p>
        </w:tc>
        <w:tc>
          <w:tcPr>
            <w:tcW w:type="dxa" w:w="1662"/>
          </w:tcPr>
          <w:p>
            <w:pPr>
              <w:jc w:val="center"/>
            </w:pPr>
            <w:r>
              <w:rPr>
                <w:rFonts w:ascii="宋体" w:hAnsi="宋体" w:eastAsia="宋体"/>
                <w:b w:val="0"/>
                <w:sz w:val="20"/>
              </w:rPr>
              <w:t>1.0000</w:t>
            </w:r>
          </w:p>
        </w:tc>
        <w:tc>
          <w:tcPr>
            <w:tcW w:type="dxa" w:w="1662"/>
          </w:tcPr>
          <w:p>
            <w:pPr>
              <w:jc w:val="center"/>
            </w:pPr>
            <w:r>
              <w:rPr>
                <w:rFonts w:ascii="宋体" w:hAnsi="宋体" w:eastAsia="宋体"/>
                <w:b w:val="0"/>
                <w:sz w:val="20"/>
              </w:rPr>
              <w:t>0.0000</w:t>
            </w:r>
          </w:p>
        </w:tc>
        <w:tc>
          <w:tcPr>
            <w:tcW w:type="dxa" w:w="1662"/>
          </w:tcPr>
          <w:p>
            <w:pPr>
              <w:jc w:val="center"/>
            </w:pPr>
            <w:r>
              <w:rPr>
                <w:rFonts w:ascii="宋体" w:hAnsi="宋体" w:eastAsia="宋体"/>
                <w:b w:val="0"/>
                <w:sz w:val="20"/>
              </w:rPr>
              <w:t>0.0000</w:t>
            </w:r>
          </w:p>
        </w:tc>
      </w:tr>
    </w:tbl>
    <w:p>
      <w:r>
        <w:rPr>
          <w:rFonts w:ascii="宋体" w:hAnsi="宋体" w:eastAsia="宋体"/>
          <w:b w:val="0"/>
          <w:sz w:val="24"/>
        </w:rPr>
        <w:t>注：has_bulk_download所有平台均为1（或均为0），信息熵为1，权重为0。</w:t>
      </w:r>
    </w:p>
    <w:p>
      <w:pPr>
        <w:pStyle w:val="Heading1"/>
      </w:pPr>
      <w:r>
        <w:t>附录C：DEA-BCC模型数学推导</w:t>
      </w:r>
    </w:p>
    <w:p>
      <w:pPr>
        <w:pStyle w:val="Heading2"/>
      </w:pPr>
      <w:r>
        <w:t>C.1 CCR模型（规模报酬不变）</w:t>
      </w:r>
    </w:p>
    <w:p>
      <w:r>
        <w:rPr>
          <w:rFonts w:ascii="宋体" w:hAnsi="宋体" w:eastAsia="宋体"/>
          <w:b w:val="0"/>
          <w:sz w:val="24"/>
        </w:rPr>
        <w:t>Charnes、Cooper和Rhodes（1978）提出的CCR模型假设规模报酬不变（CRS），其数学形式为：</w:t>
      </w:r>
    </w:p>
    <w:p>
      <w:r>
        <w:rPr>
          <w:rFonts w:ascii="宋体" w:hAnsi="宋体" w:eastAsia="宋体"/>
          <w:b w:val="0"/>
          <w:sz w:val="24"/>
        </w:rPr>
        <w:t>$$\min \theta$$</w:t>
      </w:r>
    </w:p>
    <w:p>
      <w:r>
        <w:rPr>
          <w:rFonts w:ascii="宋体" w:hAnsi="宋体" w:eastAsia="宋体"/>
          <w:b w:val="0"/>
          <w:sz w:val="24"/>
        </w:rPr>
        <w:t>$$s.t. \sum_{j=1}^{n} \lambda_j x_{kj} \leq \theta x_{kj_0}, \quad k=1,...,m$$</w:t>
      </w:r>
    </w:p>
    <w:p>
      <w:r>
        <w:rPr>
          <w:rFonts w:ascii="宋体" w:hAnsi="宋体" w:eastAsia="宋体"/>
          <w:b w:val="0"/>
          <w:sz w:val="24"/>
        </w:rPr>
        <w:t>$$\sum_{j=1}^{n} \lambda_j y_{rj} \geq y_{rj_0}, \quad r=1,...,s$$</w:t>
      </w:r>
    </w:p>
    <w:p>
      <w:r>
        <w:rPr>
          <w:rFonts w:ascii="宋体" w:hAnsi="宋体" w:eastAsia="宋体"/>
          <w:b w:val="0"/>
          <w:sz w:val="24"/>
        </w:rPr>
        <w:t>$$\lambda_j \geq 0$$</w:t>
      </w:r>
    </w:p>
    <w:p>
      <w:r>
        <w:rPr>
          <w:rFonts w:ascii="宋体" w:hAnsi="宋体" w:eastAsia="宋体"/>
          <w:b w:val="0"/>
          <w:sz w:val="24"/>
        </w:rPr>
        <w:t>其中，$\theta$为效率值，$\lambda_j$为权重。当$\theta=1$时，该DMU为DEA有效。</w:t>
      </w:r>
    </w:p>
    <w:p>
      <w:pPr>
        <w:pStyle w:val="Heading2"/>
      </w:pPr>
      <w:r>
        <w:t>C.2 BCC模型（规模报酬可变）</w:t>
      </w:r>
    </w:p>
    <w:p>
      <w:r>
        <w:rPr>
          <w:rFonts w:ascii="宋体" w:hAnsi="宋体" w:eastAsia="宋体"/>
          <w:b w:val="0"/>
          <w:sz w:val="24"/>
        </w:rPr>
        <w:t>Banker、Charnes和Cooper（1984）提出的BCC模型在CCR模型基础上增加了凸性约束$\sum \lambda_j = 1$，假设规模报酬可变（VRS）。BCC模型的效率值$\theta_{BCC}$可以分解为：</w:t>
      </w:r>
    </w:p>
    <w:p>
      <w:r>
        <w:rPr>
          <w:rFonts w:ascii="宋体" w:hAnsi="宋体" w:eastAsia="宋体"/>
          <w:b w:val="0"/>
          <w:sz w:val="24"/>
        </w:rPr>
        <w:t>$$\theta_{CCR} = \theta_{BCC} \times \theta_{SE}$$</w:t>
      </w:r>
    </w:p>
    <w:p>
      <w:r>
        <w:rPr>
          <w:rFonts w:ascii="宋体" w:hAnsi="宋体" w:eastAsia="宋体"/>
          <w:b w:val="0"/>
          <w:sz w:val="24"/>
        </w:rPr>
        <w:t>即：综合效率 = 纯技术效率 $\times$ 规模效率。</w:t>
      </w:r>
    </w:p>
    <w:p>
      <w:pPr>
        <w:pStyle w:val="Heading2"/>
      </w:pPr>
      <w:r>
        <w:t>C.3 投入导向与产出导向</w:t>
      </w:r>
    </w:p>
    <w:p>
      <w:r>
        <w:rPr>
          <w:rFonts w:ascii="宋体" w:hAnsi="宋体" w:eastAsia="宋体"/>
          <w:b w:val="0"/>
          <w:sz w:val="24"/>
        </w:rPr>
        <w:t>本研究采用投入导向的BCC模型，即在给定产出的条件下最小化投入。投入导向模型的经济含义是：在保持产出不变的情况下，投入最多可以缩减多少比例。</w:t>
      </w:r>
    </w:p>
    <w:p>
      <w:pPr>
        <w:pStyle w:val="Heading2"/>
      </w:pPr>
      <w:r>
        <w:t>C.4 本研究的投入产出指标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宋体" w:hAnsi="宋体" w:eastAsia="宋体"/>
                <w:b w:val="0"/>
                <w:sz w:val="20"/>
              </w:rPr>
              <w:t>类型</w:t>
            </w:r>
          </w:p>
        </w:tc>
        <w:tc>
          <w:tcPr>
            <w:tcW w:type="dxa" w:w="2078"/>
          </w:tcPr>
          <w:p>
            <w:pPr>
              <w:jc w:val="center"/>
            </w:pPr>
            <w:r>
              <w:rPr>
                <w:rFonts w:ascii="宋体" w:hAnsi="宋体" w:eastAsia="宋体"/>
                <w:b w:val="0"/>
                <w:sz w:val="20"/>
              </w:rPr>
              <w:t>指标</w:t>
            </w:r>
          </w:p>
        </w:tc>
        <w:tc>
          <w:tcPr>
            <w:tcW w:type="dxa" w:w="2078"/>
          </w:tcPr>
          <w:p>
            <w:pPr>
              <w:jc w:val="center"/>
            </w:pPr>
            <w:r>
              <w:rPr>
                <w:rFonts w:ascii="宋体" w:hAnsi="宋体" w:eastAsia="宋体"/>
                <w:b w:val="0"/>
                <w:sz w:val="20"/>
              </w:rPr>
              <w:t>符号</w:t>
            </w:r>
          </w:p>
        </w:tc>
        <w:tc>
          <w:tcPr>
            <w:tcW w:type="dxa" w:w="2078"/>
          </w:tcPr>
          <w:p>
            <w:pPr>
              <w:jc w:val="center"/>
            </w:pPr>
            <w:r>
              <w:rPr>
                <w:rFonts w:ascii="宋体" w:hAnsi="宋体" w:eastAsia="宋体"/>
                <w:b w:val="0"/>
                <w:sz w:val="20"/>
              </w:rPr>
              <w:t>说明</w:t>
            </w:r>
          </w:p>
        </w:tc>
      </w:tr>
      <w:tr>
        <w:tc>
          <w:tcPr>
            <w:tcW w:type="dxa" w:w="2078"/>
          </w:tcPr>
          <w:p>
            <w:pPr>
              <w:jc w:val="center"/>
            </w:pPr>
            <w:r>
              <w:rPr>
                <w:rFonts w:ascii="宋体" w:hAnsi="宋体" w:eastAsia="宋体"/>
                <w:b w:val="0"/>
                <w:sz w:val="20"/>
              </w:rPr>
              <w:t>投入</w:t>
            </w:r>
          </w:p>
        </w:tc>
        <w:tc>
          <w:tcPr>
            <w:tcW w:type="dxa" w:w="2078"/>
          </w:tcPr>
          <w:p>
            <w:pPr>
              <w:jc w:val="center"/>
            </w:pPr>
            <w:r>
              <w:rPr>
                <w:rFonts w:ascii="宋体" w:hAnsi="宋体" w:eastAsia="宋体"/>
                <w:b w:val="0"/>
                <w:sz w:val="20"/>
              </w:rPr>
              <w:t>运营年限</w:t>
            </w:r>
          </w:p>
        </w:tc>
        <w:tc>
          <w:tcPr>
            <w:tcW w:type="dxa" w:w="2078"/>
          </w:tcPr>
          <w:p>
            <w:pPr>
              <w:jc w:val="center"/>
            </w:pPr>
            <w:r>
              <w:rPr>
                <w:rFonts w:ascii="宋体" w:hAnsi="宋体" w:eastAsia="宋体"/>
                <w:b w:val="0"/>
                <w:sz w:val="20"/>
              </w:rPr>
              <w:t>$x_1$</w:t>
            </w:r>
          </w:p>
        </w:tc>
        <w:tc>
          <w:tcPr>
            <w:tcW w:type="dxa" w:w="2078"/>
          </w:tcPr>
          <w:p>
            <w:pPr>
              <w:jc w:val="center"/>
            </w:pPr>
            <w:r>
              <w:rPr>
                <w:rFonts w:ascii="宋体" w:hAnsi="宋体" w:eastAsia="宋体"/>
                <w:b w:val="0"/>
                <w:sz w:val="20"/>
              </w:rPr>
              <w:t>2026 - 上线年份 + 1</w:t>
            </w:r>
          </w:p>
        </w:tc>
      </w:tr>
      <w:tr>
        <w:tc>
          <w:tcPr>
            <w:tcW w:type="dxa" w:w="2078"/>
          </w:tcPr>
          <w:p>
            <w:pPr>
              <w:jc w:val="center"/>
            </w:pPr>
            <w:r>
              <w:rPr>
                <w:rFonts w:ascii="宋体" w:hAnsi="宋体" w:eastAsia="宋体"/>
                <w:b w:val="0"/>
                <w:sz w:val="20"/>
              </w:rPr>
              <w:t>投入</w:t>
            </w:r>
          </w:p>
        </w:tc>
        <w:tc>
          <w:tcPr>
            <w:tcW w:type="dxa" w:w="2078"/>
          </w:tcPr>
          <w:p>
            <w:pPr>
              <w:jc w:val="center"/>
            </w:pPr>
            <w:r>
              <w:rPr>
                <w:rFonts w:ascii="宋体" w:hAnsi="宋体" w:eastAsia="宋体"/>
                <w:b w:val="0"/>
                <w:sz w:val="20"/>
              </w:rPr>
              <w:t>功能完善度</w:t>
            </w:r>
          </w:p>
        </w:tc>
        <w:tc>
          <w:tcPr>
            <w:tcW w:type="dxa" w:w="2078"/>
          </w:tcPr>
          <w:p>
            <w:pPr>
              <w:jc w:val="center"/>
            </w:pPr>
            <w:r>
              <w:rPr>
                <w:rFonts w:ascii="宋体" w:hAnsi="宋体" w:eastAsia="宋体"/>
                <w:b w:val="0"/>
                <w:sz w:val="20"/>
              </w:rPr>
              <w:t>$x_2$</w:t>
            </w:r>
          </w:p>
        </w:tc>
        <w:tc>
          <w:tcPr>
            <w:tcW w:type="dxa" w:w="2078"/>
          </w:tcPr>
          <w:p>
            <w:pPr>
              <w:jc w:val="center"/>
            </w:pPr>
            <w:r>
              <w:rPr>
                <w:rFonts w:ascii="宋体" w:hAnsi="宋体" w:eastAsia="宋体"/>
                <w:b w:val="0"/>
                <w:sz w:val="20"/>
              </w:rPr>
              <w:t>11项功能指标得分之和</w:t>
            </w:r>
          </w:p>
        </w:tc>
      </w:tr>
      <w:tr>
        <w:tc>
          <w:tcPr>
            <w:tcW w:type="dxa" w:w="2078"/>
          </w:tcPr>
          <w:p>
            <w:pPr>
              <w:jc w:val="center"/>
            </w:pPr>
            <w:r>
              <w:rPr>
                <w:rFonts w:ascii="宋体" w:hAnsi="宋体" w:eastAsia="宋体"/>
                <w:b w:val="0"/>
                <w:sz w:val="20"/>
              </w:rPr>
              <w:t>投入</w:t>
            </w:r>
          </w:p>
        </w:tc>
        <w:tc>
          <w:tcPr>
            <w:tcW w:type="dxa" w:w="2078"/>
          </w:tcPr>
          <w:p>
            <w:pPr>
              <w:jc w:val="center"/>
            </w:pPr>
            <w:r>
              <w:rPr>
                <w:rFonts w:ascii="宋体" w:hAnsi="宋体" w:eastAsia="宋体"/>
                <w:b w:val="0"/>
                <w:sz w:val="20"/>
              </w:rPr>
              <w:t>数据集数量</w:t>
            </w:r>
          </w:p>
        </w:tc>
        <w:tc>
          <w:tcPr>
            <w:tcW w:type="dxa" w:w="2078"/>
          </w:tcPr>
          <w:p>
            <w:pPr>
              <w:jc w:val="center"/>
            </w:pPr>
            <w:r>
              <w:rPr>
                <w:rFonts w:ascii="宋体" w:hAnsi="宋体" w:eastAsia="宋体"/>
                <w:b w:val="0"/>
                <w:sz w:val="20"/>
              </w:rPr>
              <w:t>$x_3$</w:t>
            </w:r>
          </w:p>
        </w:tc>
        <w:tc>
          <w:tcPr>
            <w:tcW w:type="dxa" w:w="2078"/>
          </w:tcPr>
          <w:p>
            <w:pPr>
              <w:jc w:val="center"/>
            </w:pPr>
            <w:r>
              <w:rPr>
                <w:rFonts w:ascii="宋体" w:hAnsi="宋体" w:eastAsia="宋体"/>
                <w:b w:val="0"/>
                <w:sz w:val="20"/>
              </w:rPr>
              <w:t>平台开放的数据集数量</w:t>
            </w:r>
          </w:p>
        </w:tc>
      </w:tr>
      <w:tr>
        <w:tc>
          <w:tcPr>
            <w:tcW w:type="dxa" w:w="2078"/>
          </w:tcPr>
          <w:p>
            <w:pPr>
              <w:jc w:val="center"/>
            </w:pPr>
            <w:r>
              <w:rPr>
                <w:rFonts w:ascii="宋体" w:hAnsi="宋体" w:eastAsia="宋体"/>
                <w:b w:val="0"/>
                <w:sz w:val="20"/>
              </w:rPr>
              <w:t>产出</w:t>
            </w:r>
          </w:p>
        </w:tc>
        <w:tc>
          <w:tcPr>
            <w:tcW w:type="dxa" w:w="2078"/>
          </w:tcPr>
          <w:p>
            <w:pPr>
              <w:jc w:val="center"/>
            </w:pPr>
            <w:r>
              <w:rPr>
                <w:rFonts w:ascii="宋体" w:hAnsi="宋体" w:eastAsia="宋体"/>
                <w:b w:val="0"/>
                <w:sz w:val="20"/>
              </w:rPr>
              <w:t>综合绩效</w:t>
            </w:r>
          </w:p>
        </w:tc>
        <w:tc>
          <w:tcPr>
            <w:tcW w:type="dxa" w:w="2078"/>
          </w:tcPr>
          <w:p>
            <w:pPr>
              <w:jc w:val="center"/>
            </w:pPr>
            <w:r>
              <w:rPr>
                <w:rFonts w:ascii="宋体" w:hAnsi="宋体" w:eastAsia="宋体"/>
                <w:b w:val="0"/>
                <w:sz w:val="20"/>
              </w:rPr>
              <w:t>$y_1$</w:t>
            </w:r>
          </w:p>
        </w:tc>
        <w:tc>
          <w:tcPr>
            <w:tcW w:type="dxa" w:w="2078"/>
          </w:tcPr>
          <w:p>
            <w:pPr>
              <w:jc w:val="center"/>
            </w:pPr>
            <w:r>
              <w:rPr>
                <w:rFonts w:ascii="宋体" w:hAnsi="宋体" w:eastAsia="宋体"/>
                <w:b w:val="0"/>
                <w:sz w:val="20"/>
              </w:rPr>
              <w:t>TOPSIS综合得分</w:t>
            </w:r>
          </w:p>
        </w:tc>
      </w:tr>
    </w:tbl>
    <w:p>
      <w:pPr>
        <w:pStyle w:val="Heading1"/>
      </w:pPr>
      <w:r>
        <w:t>附录D：fsQCA校准过程</w:t>
      </w:r>
    </w:p>
    <w:p>
      <w:pPr>
        <w:pStyle w:val="Heading2"/>
      </w:pPr>
      <w:r>
        <w:t>D.1 校准锚点</w:t>
      </w:r>
    </w:p>
    <w:p>
      <w:r>
        <w:rPr>
          <w:rFonts w:ascii="宋体" w:hAnsi="宋体" w:eastAsia="宋体"/>
          <w:b w:val="0"/>
          <w:sz w:val="24"/>
        </w:rPr>
        <w:t>本研究采用直接校准法，基于33%分位数（完全非隶属）、50%分位数（交叉点）、67%分位数（完全隶属）三个锚点进行校准。</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宋体" w:hAnsi="宋体" w:eastAsia="宋体"/>
                <w:b w:val="0"/>
                <w:sz w:val="20"/>
              </w:rPr>
              <w:t>条件变量</w:t>
            </w:r>
          </w:p>
        </w:tc>
        <w:tc>
          <w:tcPr>
            <w:tcW w:type="dxa" w:w="2078"/>
          </w:tcPr>
          <w:p>
            <w:pPr>
              <w:jc w:val="center"/>
            </w:pPr>
            <w:r>
              <w:rPr>
                <w:rFonts w:ascii="宋体" w:hAnsi="宋体" w:eastAsia="宋体"/>
                <w:b w:val="0"/>
                <w:sz w:val="20"/>
              </w:rPr>
              <w:t>完全非隶属(0.05)</w:t>
            </w:r>
          </w:p>
        </w:tc>
        <w:tc>
          <w:tcPr>
            <w:tcW w:type="dxa" w:w="2078"/>
          </w:tcPr>
          <w:p>
            <w:pPr>
              <w:jc w:val="center"/>
            </w:pPr>
            <w:r>
              <w:rPr>
                <w:rFonts w:ascii="宋体" w:hAnsi="宋体" w:eastAsia="宋体"/>
                <w:b w:val="0"/>
                <w:sz w:val="20"/>
              </w:rPr>
              <w:t>交叉点(0.50)</w:t>
            </w:r>
          </w:p>
        </w:tc>
        <w:tc>
          <w:tcPr>
            <w:tcW w:type="dxa" w:w="2078"/>
          </w:tcPr>
          <w:p>
            <w:pPr>
              <w:jc w:val="center"/>
            </w:pPr>
            <w:r>
              <w:rPr>
                <w:rFonts w:ascii="宋体" w:hAnsi="宋体" w:eastAsia="宋体"/>
                <w:b w:val="0"/>
                <w:sz w:val="20"/>
              </w:rPr>
              <w:t>完全隶属(0.95)</w:t>
            </w:r>
          </w:p>
        </w:tc>
      </w:tr>
      <w:tr>
        <w:tc>
          <w:tcPr>
            <w:tcW w:type="dxa" w:w="2078"/>
          </w:tcPr>
          <w:p>
            <w:pPr>
              <w:jc w:val="center"/>
            </w:pPr>
            <w:r>
              <w:rPr>
                <w:rFonts w:ascii="宋体" w:hAnsi="宋体" w:eastAsia="宋体"/>
                <w:b w:val="0"/>
                <w:sz w:val="20"/>
              </w:rPr>
              <w:t>C1供给保障</w:t>
            </w:r>
          </w:p>
        </w:tc>
        <w:tc>
          <w:tcPr>
            <w:tcW w:type="dxa" w:w="2078"/>
          </w:tcPr>
          <w:p>
            <w:pPr>
              <w:jc w:val="center"/>
            </w:pPr>
            <w:r>
              <w:rPr>
                <w:rFonts w:ascii="宋体" w:hAnsi="宋体" w:eastAsia="宋体"/>
                <w:b w:val="0"/>
                <w:sz w:val="20"/>
              </w:rPr>
              <w:t>0.00</w:t>
            </w:r>
          </w:p>
        </w:tc>
        <w:tc>
          <w:tcPr>
            <w:tcW w:type="dxa" w:w="2078"/>
          </w:tcPr>
          <w:p>
            <w:pPr>
              <w:jc w:val="center"/>
            </w:pPr>
            <w:r>
              <w:rPr>
                <w:rFonts w:ascii="宋体" w:hAnsi="宋体" w:eastAsia="宋体"/>
                <w:b w:val="0"/>
                <w:sz w:val="20"/>
              </w:rPr>
              <w:t>0.50</w:t>
            </w:r>
          </w:p>
        </w:tc>
        <w:tc>
          <w:tcPr>
            <w:tcW w:type="dxa" w:w="2078"/>
          </w:tcPr>
          <w:p>
            <w:pPr>
              <w:jc w:val="center"/>
            </w:pPr>
            <w:r>
              <w:rPr>
                <w:rFonts w:ascii="宋体" w:hAnsi="宋体" w:eastAsia="宋体"/>
                <w:b w:val="0"/>
                <w:sz w:val="20"/>
              </w:rPr>
              <w:t>1.00</w:t>
            </w:r>
          </w:p>
        </w:tc>
      </w:tr>
      <w:tr>
        <w:tc>
          <w:tcPr>
            <w:tcW w:type="dxa" w:w="2078"/>
          </w:tcPr>
          <w:p>
            <w:pPr>
              <w:jc w:val="center"/>
            </w:pPr>
            <w:r>
              <w:rPr>
                <w:rFonts w:ascii="宋体" w:hAnsi="宋体" w:eastAsia="宋体"/>
                <w:b w:val="0"/>
                <w:sz w:val="20"/>
              </w:rPr>
              <w:t>C2平台服务</w:t>
            </w:r>
          </w:p>
        </w:tc>
        <w:tc>
          <w:tcPr>
            <w:tcW w:type="dxa" w:w="2078"/>
          </w:tcPr>
          <w:p>
            <w:pPr>
              <w:jc w:val="center"/>
            </w:pPr>
            <w:r>
              <w:rPr>
                <w:rFonts w:ascii="宋体" w:hAnsi="宋体" w:eastAsia="宋体"/>
                <w:b w:val="0"/>
                <w:sz w:val="20"/>
              </w:rPr>
              <w:t>0.25</w:t>
            </w:r>
          </w:p>
        </w:tc>
        <w:tc>
          <w:tcPr>
            <w:tcW w:type="dxa" w:w="2078"/>
          </w:tcPr>
          <w:p>
            <w:pPr>
              <w:jc w:val="center"/>
            </w:pPr>
            <w:r>
              <w:rPr>
                <w:rFonts w:ascii="宋体" w:hAnsi="宋体" w:eastAsia="宋体"/>
                <w:b w:val="0"/>
                <w:sz w:val="20"/>
              </w:rPr>
              <w:t>0.50</w:t>
            </w:r>
          </w:p>
        </w:tc>
        <w:tc>
          <w:tcPr>
            <w:tcW w:type="dxa" w:w="2078"/>
          </w:tcPr>
          <w:p>
            <w:pPr>
              <w:jc w:val="center"/>
            </w:pPr>
            <w:r>
              <w:rPr>
                <w:rFonts w:ascii="宋体" w:hAnsi="宋体" w:eastAsia="宋体"/>
                <w:b w:val="0"/>
                <w:sz w:val="20"/>
              </w:rPr>
              <w:t>0.75</w:t>
            </w:r>
          </w:p>
        </w:tc>
      </w:tr>
      <w:tr>
        <w:tc>
          <w:tcPr>
            <w:tcW w:type="dxa" w:w="2078"/>
          </w:tcPr>
          <w:p>
            <w:pPr>
              <w:jc w:val="center"/>
            </w:pPr>
            <w:r>
              <w:rPr>
                <w:rFonts w:ascii="宋体" w:hAnsi="宋体" w:eastAsia="宋体"/>
                <w:b w:val="0"/>
                <w:sz w:val="20"/>
              </w:rPr>
              <w:t>C3数据质量</w:t>
            </w:r>
          </w:p>
        </w:tc>
        <w:tc>
          <w:tcPr>
            <w:tcW w:type="dxa" w:w="2078"/>
          </w:tcPr>
          <w:p>
            <w:pPr>
              <w:jc w:val="center"/>
            </w:pPr>
            <w:r>
              <w:rPr>
                <w:rFonts w:ascii="宋体" w:hAnsi="宋体" w:eastAsia="宋体"/>
                <w:b w:val="0"/>
                <w:sz w:val="20"/>
              </w:rPr>
              <w:t>0.00</w:t>
            </w:r>
          </w:p>
        </w:tc>
        <w:tc>
          <w:tcPr>
            <w:tcW w:type="dxa" w:w="2078"/>
          </w:tcPr>
          <w:p>
            <w:pPr>
              <w:jc w:val="center"/>
            </w:pPr>
            <w:r>
              <w:rPr>
                <w:rFonts w:ascii="宋体" w:hAnsi="宋体" w:eastAsia="宋体"/>
                <w:b w:val="0"/>
                <w:sz w:val="20"/>
              </w:rPr>
              <w:t>0.33</w:t>
            </w:r>
          </w:p>
        </w:tc>
        <w:tc>
          <w:tcPr>
            <w:tcW w:type="dxa" w:w="2078"/>
          </w:tcPr>
          <w:p>
            <w:pPr>
              <w:jc w:val="center"/>
            </w:pPr>
            <w:r>
              <w:rPr>
                <w:rFonts w:ascii="宋体" w:hAnsi="宋体" w:eastAsia="宋体"/>
                <w:b w:val="0"/>
                <w:sz w:val="20"/>
              </w:rPr>
              <w:t>0.67</w:t>
            </w:r>
          </w:p>
        </w:tc>
      </w:tr>
      <w:tr>
        <w:tc>
          <w:tcPr>
            <w:tcW w:type="dxa" w:w="2078"/>
          </w:tcPr>
          <w:p>
            <w:pPr>
              <w:jc w:val="center"/>
            </w:pPr>
            <w:r>
              <w:rPr>
                <w:rFonts w:ascii="宋体" w:hAnsi="宋体" w:eastAsia="宋体"/>
                <w:b w:val="0"/>
                <w:sz w:val="20"/>
              </w:rPr>
              <w:t>C4利用效果</w:t>
            </w:r>
          </w:p>
        </w:tc>
        <w:tc>
          <w:tcPr>
            <w:tcW w:type="dxa" w:w="2078"/>
          </w:tcPr>
          <w:p>
            <w:pPr>
              <w:jc w:val="center"/>
            </w:pPr>
            <w:r>
              <w:rPr>
                <w:rFonts w:ascii="宋体" w:hAnsi="宋体" w:eastAsia="宋体"/>
                <w:b w:val="0"/>
                <w:sz w:val="20"/>
              </w:rPr>
              <w:t>0.00</w:t>
            </w:r>
          </w:p>
        </w:tc>
        <w:tc>
          <w:tcPr>
            <w:tcW w:type="dxa" w:w="2078"/>
          </w:tcPr>
          <w:p>
            <w:pPr>
              <w:jc w:val="center"/>
            </w:pPr>
            <w:r>
              <w:rPr>
                <w:rFonts w:ascii="宋体" w:hAnsi="宋体" w:eastAsia="宋体"/>
                <w:b w:val="0"/>
                <w:sz w:val="20"/>
              </w:rPr>
              <w:t>0.50</w:t>
            </w:r>
          </w:p>
        </w:tc>
        <w:tc>
          <w:tcPr>
            <w:tcW w:type="dxa" w:w="2078"/>
          </w:tcPr>
          <w:p>
            <w:pPr>
              <w:jc w:val="center"/>
            </w:pPr>
            <w:r>
              <w:rPr>
                <w:rFonts w:ascii="宋体" w:hAnsi="宋体" w:eastAsia="宋体"/>
                <w:b w:val="0"/>
                <w:sz w:val="20"/>
              </w:rPr>
              <w:t>1.00</w:t>
            </w:r>
          </w:p>
        </w:tc>
      </w:tr>
    </w:tbl>
    <w:p>
      <w:pPr>
        <w:pStyle w:val="Heading2"/>
      </w:pPr>
      <w:r>
        <w:t>D.2 校准公式</w:t>
      </w:r>
    </w:p>
    <w:p>
      <w:r>
        <w:rPr>
          <w:rFonts w:ascii="宋体" w:hAnsi="宋体" w:eastAsia="宋体"/>
          <w:b w:val="0"/>
          <w:sz w:val="24"/>
        </w:rPr>
        <w:t>对于每个条件变量，校准公式为：</w:t>
      </w:r>
    </w:p>
    <w:p>
      <w:r>
        <w:rPr>
          <w:rFonts w:ascii="宋体" w:hAnsi="宋体" w:eastAsia="宋体"/>
          <w:b w:val="0"/>
          <w:sz w:val="24"/>
        </w:rPr>
        <w:t>- 当$x \leq$ 完全非隶属锚点时，隶属度 = 0.00</w:t>
      </w:r>
    </w:p>
    <w:p>
      <w:r>
        <w:rPr>
          <w:rFonts w:ascii="宋体" w:hAnsi="宋体" w:eastAsia="宋体"/>
          <w:b w:val="0"/>
          <w:sz w:val="24"/>
        </w:rPr>
        <w:t>- 当$x \geq$ 完全隶属锚点时，隶属度 = 1.00</w:t>
      </w:r>
    </w:p>
    <w:p>
      <w:r>
        <w:rPr>
          <w:rFonts w:ascii="宋体" w:hAnsi="宋体" w:eastAsia="宋体"/>
          <w:b w:val="0"/>
          <w:sz w:val="24"/>
        </w:rPr>
        <w:t>- 当完全非隶属 $&lt; x &lt;$ 完全隶属时：</w:t>
      </w:r>
    </w:p>
    <w:p>
      <w:r>
        <w:rPr>
          <w:rFonts w:ascii="宋体" w:hAnsi="宋体" w:eastAsia="宋体"/>
          <w:b w:val="0"/>
          <w:sz w:val="24"/>
        </w:rPr>
        <w:t>$$隶属度 = \frac{x - 完全非隶属}{完全隶属 - 完全非隶属}$$</w:t>
      </w:r>
    </w:p>
    <w:p>
      <w:pPr>
        <w:pStyle w:val="Heading2"/>
      </w:pPr>
      <w:r>
        <w:t>D.3 结果变量校准</w:t>
      </w:r>
    </w:p>
    <w:p>
      <w:r>
        <w:rPr>
          <w:rFonts w:ascii="宋体" w:hAnsi="宋体" w:eastAsia="宋体"/>
          <w:b w:val="0"/>
          <w:sz w:val="24"/>
        </w:rPr>
        <w:t>结果变量"高绩效"的校准基于TOPSIS得分的中位数（0.7543）：</w:t>
      </w:r>
    </w:p>
    <w:p>
      <w:r>
        <w:rPr>
          <w:rFonts w:ascii="宋体" w:hAnsi="宋体" w:eastAsia="宋体"/>
          <w:b w:val="0"/>
          <w:sz w:val="24"/>
        </w:rPr>
        <w:t>- TOPSIS得分 $\geq$ 0.7543 → 高绩效 = 1</w:t>
      </w:r>
    </w:p>
    <w:p>
      <w:r>
        <w:rPr>
          <w:rFonts w:ascii="宋体" w:hAnsi="宋体" w:eastAsia="宋体"/>
          <w:b w:val="0"/>
          <w:sz w:val="24"/>
        </w:rPr>
        <w:t>- TOPSIS得分 $&lt;$ 0.7543 → 高绩效 = 0</w:t>
      </w:r>
    </w:p>
    <w:p>
      <w:pPr>
        <w:pStyle w:val="Heading2"/>
      </w:pPr>
      <w:r>
        <w:t>D.4 真值表构建</w:t>
      </w:r>
    </w:p>
    <w:p>
      <w:r>
        <w:rPr>
          <w:rFonts w:ascii="宋体" w:hAnsi="宋体" w:eastAsia="宋体"/>
          <w:b w:val="0"/>
          <w:sz w:val="24"/>
        </w:rPr>
        <w:t>基于校准后的条件变量和结果变量，构建$2^4=16$行的真值表。每行代表一种条件组合，记录该组合下高绩效案例数、总案例数、一致性和覆盖度。</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jc w:val="left"/>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jc w:val="left"/>
      <w:outlineLvl w:val="2"/>
    </w:pPr>
    <w:rPr>
      <w:rFonts w:asciiTheme="majorHAnsi" w:eastAsiaTheme="majorEastAsia" w:hAnsiTheme="majorHAnsi" w:cstheme="majorBidi" w:ascii="Times New Roman" w:hAnsi="Times New Roman" w:eastAsia="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