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after="240" w:before="240" w:line="219.08034782608695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בטרנספורמר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להקשיב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22.03.26,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592, 432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Residuals</w:t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 </w:t>
      </w:r>
      <w:r w:rsidDel="00000000" w:rsidR="00000000" w:rsidRPr="00000000">
        <w:rPr>
          <w:rtl w:val="1"/>
        </w:rPr>
        <w:t xml:space="preserve">ולעומק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Hyper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SiameseNorm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DenseFormer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הסטנדרטיים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Moonshot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 </w:t>
      </w:r>
      <w:r w:rsidDel="00000000" w:rsidR="00000000" w:rsidRPr="00000000">
        <w:rPr>
          <w:rtl w:val="1"/>
        </w:rPr>
        <w:t xml:space="preserve">ולעומק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Hyper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SiameseNorm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DenseFormer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הסטנדרטיים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Moonshot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47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משכבה</w:t>
      </w:r>
      <w:r w:rsidDel="00000000" w:rsidR="00000000" w:rsidRPr="00000000">
        <w:rPr>
          <w:rtl w:val="1"/>
        </w:rPr>
        <w:t xml:space="preserve"> 30."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AttnRes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0.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RMSNorm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לרלוונטיות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באינפרנס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backprop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AttnRes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parallelism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AttnRes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-8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5.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qs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Hyper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0"/>
        </w:rPr>
        <w:t xml:space="preserve">AttnRes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https://arxiv.org/abs/2603.15031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180" w:before="120" w:line="276" w:lineRule="auto"/>
        <w:ind w:left="30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