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4"/>
        <w:gridCol w:w="3989"/>
      </w:tblGrid>
      <w:tr>
        <w:trPr>
          <w:trHeight w:val="1168" w:hRule="atLeast"/>
        </w:trPr>
        <w:tc>
          <w:tcPr>
            <w:tcW w:w="4864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jc w:val="left"/>
              <w:rPr>
                <w:sz w:val="36"/>
              </w:rPr>
            </w:pPr>
            <w:r>
              <w:rPr>
                <w:sz w:val="36"/>
              </w:rPr>
              <w:t>Dr. Greg Wilson</w:t>
            </w:r>
          </w:p>
        </w:tc>
        <w:tc>
          <w:tcPr>
            <w:tcW w:w="3989" w:type="dxa"/>
            <w:tcBorders/>
            <w:shd w:color="auto" w:fill="auto" w:val="clear"/>
          </w:tcPr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</w:t>
            </w:r>
          </w:p>
          <w:p>
            <w:pPr>
              <w:pStyle w:val="Standard"/>
              <w:widowControl w:val="false"/>
              <w:jc w:val="right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 xml:space="preserve">Toronto, Ontario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M4L 2T9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righ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jc w:val="right"/>
              <w:rPr>
                <w:rFonts w:cs="Arial"/>
                <w:b w:val="false"/>
                <w:b w:val="false"/>
                <w:bCs w:val="false"/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 xml:space="preserve">+1 </w:t>
            </w:r>
            <w:r>
              <w:rPr>
                <w:rFonts w:cs="Arial"/>
                <w:b w:val="false"/>
                <w:bCs w:val="false"/>
                <w:i/>
                <w:iCs/>
                <w:sz w:val="20"/>
                <w:szCs w:val="20"/>
                <w:lang w:val="it-IT"/>
              </w:rPr>
              <w:t>416 435 9779</w:t>
            </w:r>
          </w:p>
        </w:tc>
      </w:tr>
    </w:tbl>
    <w:p>
      <w:pPr>
        <w:pStyle w:val="Heading"/>
        <w:widowControl w:val="false"/>
        <w:jc w:val="left"/>
        <w:rPr>
          <w:sz w:val="36"/>
        </w:rPr>
      </w:pPr>
      <w:r>
        <w:rPr>
          <w:sz w:val="36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Responsible for recruiting and managing developers, building back-end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designed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Independent consultant. Rewrote the Software Carpentry course under a grant from the Python Software Foundation; developed and taught courses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 on Linux and Windows. Also taught courses and supervised undergraduate honors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1998–2000</w:t>
        <w:tab/>
        <w:t>Independent consultant. Ran Software Carpentry classes at Los Alamos National Laboratory</w:t>
      </w:r>
      <w:r>
        <w:rPr>
          <w:rFonts w:cs="Arial" w:ascii="Arial" w:hAnsi="Arial"/>
          <w:sz w:val="20"/>
          <w:szCs w:val="20"/>
        </w:rPr>
        <w:t>; helped develop a single sign-on product for Nevex Software (acquired by Baltimore Technologies); co-designed Python’s set module.</w:t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  <w:szCs w:val="20"/>
        </w:rPr>
        <w:t>1982</w:t>
      </w:r>
      <w:r>
        <w:rPr>
          <w:rFonts w:cs="Arial" w:ascii="Arial" w:hAnsi="Arial"/>
          <w:sz w:val="20"/>
        </w:rPr>
        <w:t>–1998</w:t>
        <w:tab/>
        <w:t>Worked as a software developer for firms ranging from early-stage startups to IBM, including six years as a research software engineer at the Edinburgh Parallel Computing Centre; 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>PhD in Computer Science,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>MSc in Artificial Intelligence, University of Edinburgh.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Queen’s University.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23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4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5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26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Miscellaneous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Co-founder and editor of </w:t>
      </w:r>
      <w:r>
        <w:rPr>
          <w:rFonts w:cs="Arial" w:ascii="Arial" w:hAnsi="Arial"/>
          <w:i/>
          <w:iCs/>
          <w:sz w:val="20"/>
        </w:rPr>
        <w:t>It Will Never Work in Theory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3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7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8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29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30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31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Competitor in World Computer Chess Championship, 1989.</w:t>
      </w:r>
    </w:p>
    <w:p>
      <w:pPr>
        <w:pStyle w:val="Standard"/>
        <w:numPr>
          <w:ilvl w:val="0"/>
          <w:numId w:val="32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33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</w:t>
      </w:r>
      <w:r>
        <w:rPr>
          <w:rFonts w:cs="Arial" w:ascii="Arial" w:hAnsi="Arial"/>
          <w:i/>
          <w:iCs/>
          <w:sz w:val="20"/>
          <w:szCs w:val="20"/>
        </w:rPr>
        <w:t>Software Design by Example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2022.</w:t>
      </w:r>
    </w:p>
    <w:p>
      <w:pPr>
        <w:pStyle w:val="Standard"/>
        <w:numPr>
          <w:ilvl w:val="0"/>
          <w:numId w:val="3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5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6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2021.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9713119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LibreOffice/7.2.4.1$MacOSX_X86_64 LibreOffice_project/27d75539669ac387bb498e35313b970b7fe9c4f9</Application>
  <AppVersion>15.0000</AppVersion>
  <Pages>3</Pages>
  <Words>1126</Words>
  <Characters>6709</Characters>
  <CharactersWithSpaces>7702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2023-01-12T20:53:08Z</dcterms:modified>
  <cp:revision>23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