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79"/>
        <w:gridCol w:w="6075"/>
      </w:tblGrid>
      <w:tr>
        <w:trPr>
          <w:trHeight w:val="1699" w:hRule="atLeast"/>
        </w:trPr>
        <w:tc>
          <w:tcPr>
            <w:tcW w:w="2779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rPr/>
            </w:pPr>
            <w:r>
              <w:rPr/>
              <w:drawing>
                <wp:inline distT="0" distB="0" distL="0" distR="0">
                  <wp:extent cx="1044575" cy="977900"/>
                  <wp:effectExtent l="0" t="0" r="0" b="0"/>
                  <wp:docPr id="1" name="Picture 2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person wearing glasses and looking at the camer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575" cy="9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5" w:type="dxa"/>
            <w:tcBorders/>
            <w:shd w:color="auto" w:fill="auto" w:val="clear"/>
          </w:tcPr>
          <w:p>
            <w:pPr>
              <w:pStyle w:val="Heading"/>
              <w:widowControl w:val="false"/>
              <w:jc w:val="left"/>
              <w:rPr>
                <w:sz w:val="36"/>
              </w:rPr>
            </w:pPr>
            <w:r>
              <w:rPr>
                <w:sz w:val="36"/>
              </w:rPr>
              <w:t>Dr. Gregory V. Wilson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65 Highfield Road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  <w:sz w:val="20"/>
                <w:szCs w:val="20"/>
              </w:rPr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Toronto, Ontario, Canada</w:t>
            </w:r>
          </w:p>
          <w:p>
            <w:pPr>
              <w:pStyle w:val="Heading"/>
              <w:widowControl w:val="false"/>
              <w:jc w:val="lef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left"/>
              <w:rPr>
                <w:b w:val="false"/>
                <w:b w:val="false"/>
                <w:bCs w:val="false"/>
                <w:sz w:val="20"/>
                <w:szCs w:val="20"/>
                <w:lang w:val="it-IT"/>
              </w:rPr>
            </w:pPr>
            <w:r>
              <w:rPr>
                <w:b w:val="false"/>
                <w:bCs w:val="false"/>
                <w:sz w:val="20"/>
                <w:szCs w:val="20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rPr>
                <w:i/>
                <w:i/>
                <w:iCs/>
                <w:sz w:val="20"/>
                <w:szCs w:val="20"/>
                <w:lang w:val="it-IT"/>
              </w:rPr>
            </w:pPr>
            <w:r>
              <w:rPr>
                <w:i/>
                <w:iCs/>
                <w:sz w:val="20"/>
                <w:szCs w:val="20"/>
                <w:lang w:val="it-IT"/>
              </w:rPr>
              <w:t>416 435 9779</w:t>
            </w:r>
          </w:p>
        </w:tc>
      </w:tr>
    </w:tbl>
    <w:p>
      <w:pPr>
        <w:pStyle w:val="Standard"/>
        <w:jc w:val="center"/>
        <w:rPr>
          <w:rFonts w:ascii="Arial" w:hAnsi="Arial" w:cs="Arial"/>
          <w:b/>
          <w:b/>
          <w:bCs/>
          <w:sz w:val="20"/>
          <w:lang w:val="it-IT"/>
        </w:rPr>
      </w:pPr>
      <w:r>
        <w:rPr>
          <w:rFonts w:cs="Arial" w:ascii="Arial" w:hAnsi="Arial"/>
          <w:b/>
          <w:bCs/>
          <w:sz w:val="20"/>
          <w:lang w:val="it-IT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2021–</w:t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present</w:t>
      </w:r>
      <w:r>
        <w:rPr>
          <w:rFonts w:cs="Arial" w:ascii="Arial" w:hAnsi="Arial"/>
          <w:sz w:val="20"/>
        </w:rPr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Senior Engineering Manager, Deep Genomics. Responsibilities include recruiting, managing junior developers, design and implementation of back-end application software in Python, and training.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2021</w:t>
        <w:tab/>
      </w:r>
      <w:r>
        <w:rPr>
          <w:rFonts w:eastAsia="Times New Roman" w:cs="Arial" w:ascii="Arial" w:hAnsi="Arial"/>
          <w:color w:val="auto"/>
          <w:kern w:val="2"/>
          <w:sz w:val="20"/>
          <w:szCs w:val="24"/>
          <w:lang w:val="en-US" w:eastAsia="zh-CN" w:bidi="ar-SA"/>
        </w:rPr>
        <w:t>Head of Education, Metabase. Responsible for designing and delivering training material and managing content development team.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2018–2021</w:t>
        <w:tab/>
        <w:t>Data Scientist and Professional Educator, RStudio PBC. Created and ran an instructor certification program that trained almost 200 people in its first two years; also responsible for the summer intern and student mentorship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 xml:space="preserve">Assistant Professor, Dept. of Computer Science, University of Toronto. Taught graduate/undergraduate courses; supervised theses; developed a </w:t>
      </w:r>
      <w:r>
        <w:rPr>
          <w:rFonts w:cs="Arial" w:ascii="Arial" w:hAnsi="Arial"/>
          <w:sz w:val="20"/>
          <w:szCs w:val="20"/>
        </w:rPr>
        <w:t>Professional Master’s degree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2004–2006</w:t>
        <w:tab/>
        <w:t>Independent consultant. Wrote a book on data crunching in Python; rewrote the Software Carpentry course under a grant from the Python Software Foundation; developed and taught courses in Computer Science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2000–2004</w:t>
        <w:tab/>
        <w:t>Senior software engineer, Baltimore Technologies (acquired by Hewlett Packard). Helped develop a single sign-on product using C++ and Java on Linux and Windows. Also taught courses and supervised undergraduate honors projects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1998–2000</w:t>
        <w:tab/>
        <w:t xml:space="preserve">Independent consultant. </w:t>
      </w:r>
      <w:r>
        <w:rPr>
          <w:rFonts w:cs="Arial" w:ascii="Arial" w:hAnsi="Arial"/>
          <w:sz w:val="20"/>
        </w:rPr>
        <w:t>R</w:t>
      </w:r>
      <w:r>
        <w:rPr>
          <w:rFonts w:cs="Arial" w:ascii="Arial" w:hAnsi="Arial"/>
          <w:sz w:val="20"/>
        </w:rPr>
        <w:t>an Software Carpentry classes at Los Alamos National Laboratory</w:t>
      </w:r>
      <w:r>
        <w:rPr>
          <w:rFonts w:cs="Arial" w:ascii="Arial" w:hAnsi="Arial"/>
          <w:sz w:val="20"/>
          <w:szCs w:val="20"/>
        </w:rPr>
        <w:t>; helped develop a single sign-on product for Nevex Software (acquired by Baltimore Technologies); co-designe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Python’s set module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  <w:szCs w:val="20"/>
        </w:rPr>
        <w:t>1982</w:t>
      </w:r>
      <w:r>
        <w:rPr>
          <w:rFonts w:cs="Arial" w:ascii="Arial" w:hAnsi="Arial"/>
          <w:sz w:val="20"/>
        </w:rPr>
        <w:t>–1998</w:t>
        <w:tab/>
        <w:t>Worked as a software developer for firms ranging from early-stage startups to IBM, including six years as a research software engineer at the Edinburgh Parallel Computing Centre; wrote and edited books on parallel programming.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 xml:space="preserve">PhD in Computer Science, University of Edinburgh. Thesis was </w:t>
      </w:r>
      <w:r>
        <w:rPr>
          <w:rFonts w:cs="Arial" w:ascii="Arial" w:hAnsi="Arial"/>
          <w:i/>
          <w:iCs/>
          <w:sz w:val="20"/>
        </w:rPr>
        <w:t>Structuring and</w:t>
      </w:r>
    </w:p>
    <w:p>
      <w:pPr>
        <w:pStyle w:val="Standard"/>
        <w:rPr/>
      </w:pPr>
      <w:r>
        <w:rPr>
          <w:rFonts w:cs="Arial" w:ascii="Arial" w:hAnsi="Arial"/>
          <w:i/>
          <w:iCs/>
          <w:sz w:val="20"/>
        </w:rPr>
        <w:tab/>
        <w:tab/>
        <w:t>Supporting Programs on Parallel Computers</w:t>
      </w:r>
      <w:r>
        <w:rPr>
          <w:rFonts w:cs="Arial" w:ascii="Arial" w:hAnsi="Arial"/>
          <w:sz w:val="20"/>
        </w:rPr>
        <w:t>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 xml:space="preserve">MSc in Artificial Intelligence, University of Edinburgh. Thesis was </w:t>
      </w:r>
      <w:r>
        <w:rPr>
          <w:rFonts w:cs="Arial" w:ascii="Arial" w:hAnsi="Arial"/>
          <w:i/>
          <w:iCs/>
          <w:sz w:val="20"/>
        </w:rPr>
        <w:t>An Implementation of a Connection Method Theorem Prover for S5 Modal Logic</w:t>
      </w:r>
      <w:r>
        <w:rPr>
          <w:rFonts w:cs="Arial" w:ascii="Arial" w:hAnsi="Arial"/>
          <w:sz w:val="20"/>
        </w:rPr>
        <w:t>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Faculty of Applied Science, Queen’s University, Ontario.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ACM SIGSOFT Influential Educator of the Year Award, 2020.</w:t>
      </w:r>
    </w:p>
    <w:p>
      <w:pPr>
        <w:pStyle w:val="Standard"/>
        <w:numPr>
          <w:ilvl w:val="0"/>
          <w:numId w:val="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20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2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University of Toronto Computer Science Student Union Teaching Award, 2004.</w:t>
      </w:r>
    </w:p>
    <w:p>
      <w:pPr>
        <w:pStyle w:val="Standard"/>
        <w:numPr>
          <w:ilvl w:val="0"/>
          <w:numId w:val="2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23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24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numPr>
          <w:ilvl w:val="0"/>
          <w:numId w:val="25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A.B. Lillie Prize, 1984 (top student in Mathematics).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Other Achievements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Scholastic Press Canada,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Annick Press, 1999).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Co-creator of AMY (a Django tool for </w:t>
      </w:r>
      <w:r>
        <w:rPr>
          <w:rFonts w:cs="Arial" w:ascii="Arial" w:hAnsi="Arial"/>
          <w:sz w:val="20"/>
        </w:rPr>
        <w:t>coordinating</w:t>
      </w:r>
      <w:r>
        <w:rPr>
          <w:rFonts w:cs="Arial" w:ascii="Arial" w:hAnsi="Arial"/>
          <w:sz w:val="20"/>
        </w:rPr>
        <w:t xml:space="preserve"> workshops), TidyBlocks (a block-based environment for data science), and Glosario (a multilingual glossary of data science terms).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Co-founder and editor of It Will Never Work in Theory.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3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26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27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28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29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30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Competed in World Computer Chess Championship, 1989.</w:t>
      </w:r>
    </w:p>
    <w:p>
      <w:pPr>
        <w:pStyle w:val="Standard"/>
        <w:numPr>
          <w:ilvl w:val="0"/>
          <w:numId w:val="31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>
      <w:pPr>
        <w:pStyle w:val="Standard"/>
        <w:tabs>
          <w:tab w:val="left" w:pos="72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  <w:r>
        <w:br w:type="page"/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Technical Books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32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</w:t>
      </w:r>
      <w:r>
        <w:rPr>
          <w:rFonts w:cs="Arial" w:ascii="Arial" w:hAnsi="Arial"/>
          <w:i/>
          <w:iCs/>
          <w:sz w:val="20"/>
          <w:szCs w:val="20"/>
        </w:rPr>
        <w:t>Software Design by Example</w:t>
      </w:r>
      <w:r>
        <w:rPr>
          <w:rFonts w:cs="Arial" w:ascii="Arial" w:hAnsi="Arial"/>
          <w:i w:val="false"/>
          <w:iCs w:val="false"/>
          <w:sz w:val="20"/>
          <w:szCs w:val="20"/>
        </w:rPr>
        <w:t>. Chapman and Hall/CRC Press, 2022.</w:t>
      </w:r>
    </w:p>
    <w:p>
      <w:pPr>
        <w:pStyle w:val="Standard"/>
        <w:numPr>
          <w:ilvl w:val="0"/>
          <w:numId w:val="33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Damien Irving, Kate Hertweck, Luke Johnston, Joel Ostblom, Charlotte Wickham, and Greg Wilson: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 xml:space="preserve">. Chapman and Hall/CRC Press, </w:t>
      </w:r>
      <w:r>
        <w:rPr>
          <w:rFonts w:eastAsia="Times New Roman" w:cs="Arial" w:ascii="Arial" w:hAnsi="Arial"/>
          <w:color w:val="auto"/>
          <w:kern w:val="2"/>
          <w:sz w:val="20"/>
          <w:szCs w:val="20"/>
          <w:lang w:val="en-US" w:eastAsia="zh-CN" w:bidi="ar-SA"/>
        </w:rPr>
        <w:t>2021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34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Maya Gans, Toby Hodges, and Greg Wilson: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Chapman and Hall/CRC Press, 2020.</w:t>
      </w:r>
    </w:p>
    <w:p>
      <w:pPr>
        <w:pStyle w:val="Standard"/>
        <w:numPr>
          <w:ilvl w:val="0"/>
          <w:numId w:val="35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Chapman and Hall/CRC Press,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Amy Brown and Greg Wilson (eds.): </w:t>
      </w:r>
      <w:r>
        <w:rPr>
          <w:rFonts w:cs="Arial" w:ascii="Arial" w:hAnsi="Arial"/>
          <w:i/>
          <w:sz w:val="20"/>
        </w:rPr>
        <w:t>The Architecture of Open Source Applications</w:t>
      </w:r>
      <w:r>
        <w:rPr>
          <w:rFonts w:cs="Arial" w:ascii="Arial" w:hAnsi="Arial"/>
          <w:sz w:val="20"/>
        </w:rPr>
        <w:t xml:space="preserve"> (two volumes), Lulu.com, 2011 and 2012.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Making Software: What Really Works, and Why We Believe It</w:t>
      </w:r>
      <w:r>
        <w:rPr>
          <w:rFonts w:cs="Arial" w:ascii="Arial" w:hAnsi="Arial"/>
          <w:sz w:val="20"/>
        </w:rPr>
        <w:t>. O’Reilly, 2010.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Jennifer Campbell, Paul Gries, Jason Montojo, and Greg Wilson: </w:t>
      </w:r>
      <w:r>
        <w:rPr>
          <w:rFonts w:cs="Arial" w:ascii="Arial" w:hAnsi="Arial"/>
          <w:i/>
          <w:sz w:val="20"/>
        </w:rPr>
        <w:t>Practical Programming</w:t>
      </w:r>
      <w:r>
        <w:rPr>
          <w:rFonts w:cs="Arial" w:ascii="Arial" w:hAnsi="Arial"/>
          <w:sz w:val="20"/>
        </w:rPr>
        <w:t>. Pragmatic Bookshelf,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Beautiful Code: Leading Programmers Explain How They Think</w:t>
      </w:r>
      <w:r>
        <w:rPr>
          <w:rFonts w:cs="Arial" w:ascii="Arial" w:hAnsi="Arial"/>
          <w:sz w:val="20"/>
        </w:rPr>
        <w:t>. O’Reilly and Associates, 2007; winner of 2008 Jolt Award for Best General Book.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Data Crunching: Solve Everyday Problems Using Java, Python, and More.</w:t>
      </w:r>
      <w:r>
        <w:rPr>
          <w:rFonts w:cs="Arial" w:ascii="Arial" w:hAnsi="Arial"/>
          <w:sz w:val="20"/>
        </w:rPr>
        <w:t xml:space="preserve"> Pragmatic Bookshelf, 2005.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 and Paul Lu (eds.): </w:t>
      </w:r>
      <w:r>
        <w:rPr>
          <w:rStyle w:val="HTMLCite"/>
          <w:rFonts w:cs="Arial" w:ascii="Arial" w:hAnsi="Arial"/>
          <w:sz w:val="20"/>
        </w:rPr>
        <w:t>Parallel Programming Using C++</w:t>
      </w:r>
      <w:r>
        <w:rPr>
          <w:rFonts w:cs="Arial" w:ascii="Arial" w:hAnsi="Arial"/>
          <w:sz w:val="20"/>
        </w:rPr>
        <w:t>. MIT Press, 1996.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Wilson: </w:t>
      </w:r>
      <w:r>
        <w:rPr>
          <w:rStyle w:val="HTMLCite"/>
          <w:rFonts w:cs="Arial" w:ascii="Arial" w:hAnsi="Arial"/>
          <w:sz w:val="20"/>
        </w:rPr>
        <w:t>Practical Parallel Programming</w:t>
      </w:r>
      <w:r>
        <w:rPr>
          <w:rFonts w:cs="Arial" w:ascii="Arial" w:hAnsi="Arial"/>
          <w:sz w:val="20"/>
        </w:rPr>
        <w:t>. MIT Press, 1995.</w:t>
      </w:r>
    </w:p>
    <w:p>
      <w:pPr>
        <w:pStyle w:val="Normal"/>
        <w:suppressAutoHyphens w:val="false"/>
        <w:rPr>
          <w:rFonts w:ascii="Arial" w:hAnsi="Arial" w:eastAsia="Arial" w:cs="Arial"/>
          <w:b/>
          <w:b/>
          <w:bCs/>
          <w:i/>
          <w:i/>
          <w:iCs/>
          <w:lang w:bidi="ar-SA"/>
        </w:rPr>
      </w:pPr>
      <w:r>
        <w:rPr>
          <w:rFonts w:eastAsia="Arial" w:cs="Arial" w:ascii="Arial" w:hAnsi="Arial"/>
          <w:b/>
          <w:bCs/>
          <w:i/>
          <w:iCs/>
          <w:lang w:bidi="ar-SA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Selected Papers and Articles</w:t>
      </w:r>
    </w:p>
    <w:p>
      <w:pPr>
        <w:pStyle w:val="Standard"/>
        <w:tabs>
          <w:tab w:val="clear" w:pos="720"/>
          <w:tab w:val="left" w:pos="360" w:leader="none"/>
        </w:tabs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Greg Wilson: “Twelve Quick Tips for Software Design”.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i w:val="false"/>
          <w:iCs w:val="false"/>
          <w:sz w:val="20"/>
          <w:szCs w:val="20"/>
        </w:rPr>
        <w:t>, 2022.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Danielle Smalls and Greg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sz w:val="20"/>
          <w:szCs w:val="20"/>
        </w:rPr>
        <w:t>2021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cs="Arial" w:ascii="Arial" w:hAnsi="Arial"/>
          <w:i/>
          <w:iCs/>
          <w:sz w:val="20"/>
          <w:szCs w:val="20"/>
        </w:rPr>
        <w:t>ICER 2019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Dan Sholler, Igor Steinmacher, Denae Ford, Mara Averick, Mike Hoye, and Greg Wilson: “Ten Simple Rules for Helping Newcomers Become Contributors to Open Projects”.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cs="Arial" w:ascii="Arial" w:hAnsi="Arial"/>
          <w:i/>
          <w:sz w:val="20"/>
        </w:rPr>
        <w:t>SECSE’09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 xml:space="preserve">Jorge Aranda, Steve Easterbrook, and Greg Wilson: “Requirements in the Wild: How Small Companies Do It”. </w:t>
      </w:r>
      <w:r>
        <w:rPr>
          <w:rFonts w:cs="Arial" w:ascii="Arial" w:hAnsi="Arial"/>
          <w:i/>
          <w:iCs/>
          <w:sz w:val="20"/>
        </w:rPr>
        <w:t>RE’07</w:t>
      </w:r>
      <w:r>
        <w:rPr>
          <w:rFonts w:cs="Arial" w:ascii="Arial" w:hAnsi="Arial"/>
          <w:sz w:val="20"/>
        </w:rPr>
        <w:t>, 2017.</w:t>
      </w:r>
    </w:p>
    <w:sectPr>
      <w:footerReference w:type="default" r:id="rId3"/>
      <w:type w:val="nextPage"/>
      <w:pgSz w:w="12240" w:h="15840"/>
      <w:pgMar w:left="1800" w:right="1800" w:gutter="0" w:header="0" w:top="1440" w:footer="720" w:bottom="144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58456978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3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US" w:eastAsia="zh-CN" w:bidi="ar-SA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LibreOffice/7.2.5.2$MacOSX_X86_64 LibreOffice_project/499f9727c189e6ef3471021d6132d4c694f357e5</Application>
  <AppVersion>15.0000</AppVersion>
  <Pages>3</Pages>
  <Words>1195</Words>
  <Characters>7131</Characters>
  <CharactersWithSpaces>8192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2023-01-12T10:13:56Z</dcterms:modified>
  <cp:revision>17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