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single" w:color="auto" w:sz="4"/>
          <w:insideV w:val="single" w:color="auto" w:sz="4"/>
        </w:tblBorders>
      </w:tblPr>
      <w:tblGrid>
        <w:gridCol w:w="4320"/>
        <w:gridCol w:w="4320"/>
      </w:tblGrid>
      <w:tr>
        <w:tc>
          <w:tcPr>
            <w:tcW w:type="dxa" w:w="4320"/>
            <w:tcBorders>
              <w:top w:val="none"/>
              <w:left w:val="none"/>
              <w:bottom w:val="none"/>
              <w:right w:val="none"/>
            </w:tcBorders>
            <w:shd w:fill="FFFFFF" w:color="auto" w:val="clear"/>
          </w:tcPr>
          <w:p>
            <w:pPr>
              <w:spacing w:after="30"/>
            </w:pPr>
            <w:r>
              <w:rPr>
                <w:rFonts w:ascii="Calibri" w:cs="Calibri" w:eastAsia="Calibri" w:hAnsi="Calibri"/>
                <w:color w:val="475569"/>
                <w:sz w:val="20"/>
                <w:szCs w:val="20"/>
              </w:rPr>
              <w:t xml:space="preserve">Disraely Salazar</w:t>
            </w:r>
          </w:p>
          <w:p>
            <w:pPr>
              <w:spacing w:after="30"/>
            </w:pPr>
            <w:r>
              <w:rPr>
                <w:rFonts w:ascii="Calibri" w:cs="Calibri" w:eastAsia="Calibri" w:hAnsi="Calibri"/>
                <w:color w:val="475569"/>
                <w:sz w:val="20"/>
                <w:szCs w:val="20"/>
              </w:rPr>
              <w:t xml:space="preserve">Data Analytics Program | triOS College</w:t>
            </w:r>
          </w:p>
        </w:tc>
        <w:tc>
          <w:tcPr>
            <w:tcW w:type="dxa" w:w="4320"/>
            <w:tcBorders>
              <w:top w:val="none"/>
              <w:left w:val="none"/>
              <w:bottom w:val="none"/>
              <w:right w:val="none"/>
            </w:tcBorders>
            <w:shd w:fill="FFFFFF" w:color="auto" w:val="clear"/>
          </w:tcPr>
          <w:p>
            <w:pPr>
              <w:spacing w:after="30"/>
              <w:jc w:val="right"/>
            </w:pPr>
            <w:r>
              <w:rPr>
                <w:rFonts w:ascii="Calibri" w:cs="Calibri" w:eastAsia="Calibri" w:hAnsi="Calibri"/>
                <w:color w:val="475569"/>
                <w:sz w:val="20"/>
                <w:szCs w:val="20"/>
              </w:rPr>
              <w:t xml:space="preserve">Date: October 12, 2025</w:t>
            </w:r>
          </w:p>
          <w:p>
            <w:pPr>
              <w:spacing w:after="30"/>
              <w:jc w:val="right"/>
            </w:pPr>
            <w:r>
              <w:rPr>
                <w:rFonts w:ascii="Calibri" w:cs="Calibri" w:eastAsia="Calibri" w:hAnsi="Calibri"/>
                <w:color w:val="475569"/>
                <w:sz w:val="20"/>
                <w:szCs w:val="20"/>
              </w:rPr>
              <w:t xml:space="preserve">Submitted to: Course Instructor</w:t>
            </w:r>
          </w:p>
        </w:tc>
      </w:tr>
    </w:tbl>
    <w:p>
      <w:pPr>
        <w:spacing w:after="80" w:before="0"/>
      </w:pPr>
    </w:p>
    <w:p>
      <w:pPr>
        <w:spacing w:after="40" w:before="80"/>
        <w:jc w:val="center"/>
      </w:pPr>
      <w:r>
        <w:rPr>
          <w:rFonts w:ascii="Calibri" w:cs="Calibri" w:eastAsia="Calibri" w:hAnsi="Calibri"/>
          <w:b/>
          <w:bCs/>
          <w:color w:val="1A1A3E"/>
          <w:sz w:val="32"/>
          <w:szCs w:val="32"/>
        </w:rPr>
        <w:t xml:space="preserve">Ethical Issues in Course Survey Data Collection</w:t>
      </w:r>
    </w:p>
    <w:p>
      <w:pPr>
        <w:pBdr>
          <w:bottom w:val="single" w:color="0D6EFD" w:sz="12" w:space="4"/>
        </w:pBdr>
        <w:spacing w:after="120" w:before="0"/>
        <w:jc w:val="center"/>
      </w:pPr>
      <w:r>
        <w:rPr>
          <w:rFonts w:ascii="Calibri" w:cs="Calibri" w:eastAsia="Calibri" w:hAnsi="Calibri"/>
          <w:i/>
          <w:iCs/>
          <w:color w:val="0D6EFD"/>
          <w:sz w:val="22"/>
          <w:szCs w:val="22"/>
        </w:rPr>
        <w:t xml:space="preserve">A Formal Analytical Report</w:t>
      </w:r>
    </w:p>
    <w:p>
      <w:pPr>
        <w:pBdr>
          <w:bottom w:val="single" w:color="CBD5E1" w:sz="6" w:space="2"/>
        </w:pBdr>
        <w:spacing w:after="40" w:before="90"/>
      </w:pPr>
      <w:r>
        <w:rPr>
          <w:rFonts w:ascii="Calibri" w:cs="Calibri" w:eastAsia="Calibri" w:hAnsi="Calibri"/>
          <w:b/>
          <w:bCs/>
          <w:color w:val="1A1A3E"/>
          <w:sz w:val="24"/>
          <w:szCs w:val="24"/>
        </w:rPr>
        <w:t xml:space="preserve">Introduction</w:t>
      </w:r>
    </w:p>
    <w:p>
      <w:pPr>
        <w:spacing w:after="55" w:before="0"/>
        <w:jc w:val="both"/>
      </w:pPr>
      <w:r>
        <w:rPr>
          <w:rFonts w:ascii="Calibri" w:cs="Calibri" w:eastAsia="Calibri" w:hAnsi="Calibri"/>
          <w:color w:val="1E293B"/>
          <w:sz w:val="22"/>
          <w:szCs w:val="22"/>
        </w:rPr>
        <w:t xml:space="preserve">This report examines the ethical implications of a course evaluation survey administered at the end of a training program. The survey explicitly promises participant anonymity yet requires login authentication using organizational credentials before access is granted. This analysis identifies the ethical issues present, explores additional risks not immediately apparent, proposes formal recommendations to executive management, and outlines the ethical obligations of the data analyst in the event those recommendations are rejected.</w:t>
      </w:r>
    </w:p>
    <w:p>
      <w:pPr>
        <w:pBdr>
          <w:bottom w:val="single" w:color="CBD5E1" w:sz="6" w:space="2"/>
        </w:pBdr>
        <w:spacing w:after="40" w:before="90"/>
      </w:pPr>
      <w:r>
        <w:rPr>
          <w:rFonts w:ascii="Calibri" w:cs="Calibri" w:eastAsia="Calibri" w:hAnsi="Calibri"/>
          <w:b/>
          <w:bCs/>
          <w:color w:val="1A1A3E"/>
          <w:sz w:val="24"/>
          <w:szCs w:val="24"/>
        </w:rPr>
        <w:t xml:space="preserve">Q1 — Ethical Issues in the Survey Design</w:t>
      </w:r>
    </w:p>
    <w:p>
      <w:pPr>
        <w:spacing w:after="55" w:before="0"/>
        <w:jc w:val="both"/>
      </w:pPr>
      <w:r>
        <w:rPr>
          <w:rFonts w:ascii="Calibri" w:cs="Calibri" w:eastAsia="Calibri" w:hAnsi="Calibri"/>
          <w:color w:val="1E293B"/>
          <w:sz w:val="22"/>
          <w:szCs w:val="22"/>
        </w:rPr>
        <w:t xml:space="preserve">Three primary ethical failures are present in this survey's design:</w:t>
      </w:r>
    </w:p>
    <w:p>
      <w:pPr>
        <w:pStyle w:val="ListParagraph"/>
        <w:numPr>
          <w:ilvl w:val="0"/>
          <w:numId w:val="1"/>
        </w:numPr>
        <w:spacing w:after="40" w:before="0"/>
      </w:pPr>
      <w:r>
        <w:rPr>
          <w:rFonts w:ascii="Calibri" w:cs="Calibri" w:eastAsia="Calibri" w:hAnsi="Calibri"/>
          <w:color w:val="1E293B"/>
          <w:sz w:val="22"/>
          <w:szCs w:val="22"/>
        </w:rPr>
        <w:t xml:space="preserve">False Anonymity: Participants are promised anonymity, but login credentials create server-side session records. Any response can be cross-referenced with authentication logs to re-identify the individual. This is not anonymity — it is the appearance of anonymity, which constitutes a structural deception.</w:t>
      </w:r>
    </w:p>
    <w:p>
      <w:pPr>
        <w:pStyle w:val="ListParagraph"/>
        <w:numPr>
          <w:ilvl w:val="0"/>
          <w:numId w:val="1"/>
        </w:numPr>
        <w:spacing w:after="40" w:before="0"/>
      </w:pPr>
      <w:r>
        <w:rPr>
          <w:rFonts w:ascii="Calibri" w:cs="Calibri" w:eastAsia="Calibri" w:hAnsi="Calibri"/>
          <w:color w:val="1E293B"/>
          <w:sz w:val="22"/>
          <w:szCs w:val="22"/>
        </w:rPr>
        <w:t xml:space="preserve">Breach of Informed Consent: Participants cannot give meaningful consent based on a false assurance. The word "anonymous" must reflect technical reality, not aspirational intent.</w:t>
      </w:r>
    </w:p>
    <w:p>
      <w:pPr>
        <w:pStyle w:val="ListParagraph"/>
        <w:numPr>
          <w:ilvl w:val="0"/>
          <w:numId w:val="1"/>
        </w:numPr>
        <w:spacing w:after="40" w:before="0"/>
      </w:pPr>
      <w:r>
        <w:rPr>
          <w:rFonts w:ascii="Calibri" w:cs="Calibri" w:eastAsia="Calibri" w:hAnsi="Calibri"/>
          <w:color w:val="1E293B"/>
          <w:sz w:val="22"/>
          <w:szCs w:val="22"/>
        </w:rPr>
        <w:t xml:space="preserve">Response Bias: When participants doubt identity protection, they self-censor. This social desirability bias renders the data unreliable before analysis begins — undermining the survey's core purpose.</w:t>
      </w:r>
    </w:p>
    <w:p>
      <w:pPr>
        <w:pBdr>
          <w:bottom w:val="single" w:color="CBD5E1" w:sz="6" w:space="2"/>
        </w:pBdr>
        <w:spacing w:after="40" w:before="90"/>
      </w:pPr>
      <w:r>
        <w:rPr>
          <w:rFonts w:ascii="Calibri" w:cs="Calibri" w:eastAsia="Calibri" w:hAnsi="Calibri"/>
          <w:b/>
          <w:bCs/>
          <w:color w:val="1A1A3E"/>
          <w:sz w:val="24"/>
          <w:szCs w:val="24"/>
        </w:rPr>
        <w:t xml:space="preserve">Q2 — Additional Ethical Risks</w:t>
      </w:r>
    </w:p>
    <w:p>
      <w:pPr>
        <w:spacing w:after="55" w:before="0"/>
        <w:jc w:val="both"/>
      </w:pPr>
      <w:r>
        <w:rPr>
          <w:rFonts w:ascii="Calibri" w:cs="Calibri" w:eastAsia="Calibri" w:hAnsi="Calibri"/>
          <w:color w:val="1E293B"/>
          <w:sz w:val="22"/>
          <w:szCs w:val="22"/>
        </w:rPr>
        <w:t xml:space="preserve">Beyond the primary issues, the survey presents four compounding risks: power imbalance (employees surveyed by an authority figure are prone to self-censorship even under genuine anonymity); data minimization violations (a full login is excessive when only a course name is required); purpose limitation risks (login records may be repurposed by future leadership or exposed through a breach); and organizational trust erosion (if employees later discover the false anonymity claim, the damage extends to all future feedback mechanisms).</w:t>
      </w:r>
    </w:p>
    <w:p>
      <w:pPr>
        <w:pBdr>
          <w:bottom w:val="single" w:color="CBD5E1" w:sz="6" w:space="2"/>
        </w:pBdr>
        <w:spacing w:after="40" w:before="90"/>
      </w:pPr>
      <w:r>
        <w:rPr>
          <w:rFonts w:ascii="Calibri" w:cs="Calibri" w:eastAsia="Calibri" w:hAnsi="Calibri"/>
          <w:b/>
          <w:bCs/>
          <w:color w:val="1A1A3E"/>
          <w:sz w:val="24"/>
          <w:szCs w:val="24"/>
        </w:rPr>
        <w:t xml:space="preserve">Q3 — Recommendations to Executive Management</w:t>
      </w:r>
    </w:p>
    <w:p>
      <w:pPr>
        <w:spacing w:after="55" w:before="0"/>
        <w:jc w:val="both"/>
      </w:pPr>
      <w:r>
        <w:rPr>
          <w:rFonts w:ascii="Calibri" w:cs="Calibri" w:eastAsia="Calibri" w:hAnsi="Calibri"/>
          <w:color w:val="1E293B"/>
          <w:sz w:val="22"/>
          <w:szCs w:val="22"/>
        </w:rPr>
        <w:t xml:space="preserve">Five corrective actions are recommended before analysis proceeds: (1) eliminate the login requirement by using randomized, cohort-specific URLs; (2) update the anonymity disclosure to accurately describe what data is collected; (3) separate authentication logs from survey response data at the system level; (4) extend the availability window to reduce pressure and sampling bias; and (5) add a genuine informed consent statement before the first question, with a clear opt-out option.</w:t>
      </w:r>
    </w:p>
    <w:p>
      <w:pPr>
        <w:pBdr>
          <w:bottom w:val="single" w:color="CBD5E1" w:sz="6" w:space="2"/>
        </w:pBdr>
        <w:spacing w:after="40" w:before="90"/>
      </w:pPr>
      <w:r>
        <w:rPr>
          <w:rFonts w:ascii="Calibri" w:cs="Calibri" w:eastAsia="Calibri" w:hAnsi="Calibri"/>
          <w:b/>
          <w:bCs/>
          <w:color w:val="1A1A3E"/>
          <w:sz w:val="24"/>
          <w:szCs w:val="24"/>
        </w:rPr>
        <w:t xml:space="preserve">Q4 — If Management Rejects the Recommendations</w:t>
      </w:r>
    </w:p>
    <w:p>
      <w:pPr>
        <w:spacing w:after="55" w:before="0"/>
        <w:jc w:val="both"/>
      </w:pPr>
      <w:r>
        <w:rPr>
          <w:rFonts w:ascii="Calibri" w:cs="Calibri" w:eastAsia="Calibri" w:hAnsi="Calibri"/>
          <w:color w:val="1E293B"/>
          <w:sz w:val="22"/>
          <w:szCs w:val="22"/>
        </w:rPr>
        <w:t xml:space="preserve">The data analyst retains professional obligations regardless of management's decision. The appropriate course of action is to formally document concerns in writing, decline to produce analysis derived from ethically compromised data, escalate through the organization's compliance or ethics channels, and cite established professional codes such as those published by the ACM or the Data Science Association. Whistleblowing to external bodies remains an option of last resort if employees are harmed as a result of the false anonymity claim.</w:t>
      </w:r>
    </w:p>
    <w:p>
      <w:pPr>
        <w:pBdr>
          <w:bottom w:val="single" w:color="CBD5E1" w:sz="6" w:space="2"/>
        </w:pBdr>
        <w:spacing w:after="40" w:before="90"/>
      </w:pPr>
      <w:r>
        <w:rPr>
          <w:rFonts w:ascii="Calibri" w:cs="Calibri" w:eastAsia="Calibri" w:hAnsi="Calibri"/>
          <w:b/>
          <w:bCs/>
          <w:color w:val="1A1A3E"/>
          <w:sz w:val="24"/>
          <w:szCs w:val="24"/>
        </w:rPr>
        <w:t xml:space="preserve">Conclusion</w:t>
      </w:r>
    </w:p>
    <w:p>
      <w:pPr>
        <w:spacing w:after="55" w:before="0"/>
        <w:jc w:val="both"/>
      </w:pPr>
      <w:r>
        <w:rPr>
          <w:rFonts w:ascii="Calibri" w:cs="Calibri" w:eastAsia="Calibri" w:hAnsi="Calibri"/>
          <w:color w:val="1E293B"/>
          <w:sz w:val="22"/>
          <w:szCs w:val="22"/>
        </w:rPr>
        <w:t xml:space="preserve">Anonymity is not a label — it is a design commitment that must be honoured at the system level. When the foundation of data collection is ethically compromised, no degree of analytical sophistication repairs the resulting distortion. Data analysts have both the professional standing and the ethical obligation to raise these issues formally, regardless of organizational pressure to proceed.</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2026-07-08T02:03:38.525Z</dcterms:created>
  <dcterms:modified xsi:type="dcterms:W3CDTF">2026-07-08T02:03:38.525Z</dcterms:modified>
</cp:coreProperties>
</file>

<file path=docProps/custom.xml><?xml version="1.0" encoding="utf-8"?>
<Properties xmlns="http://schemas.openxmlformats.org/officeDocument/2006/custom-properties" xmlns:vt="http://schemas.openxmlformats.org/officeDocument/2006/docPropsVTypes"/>
</file>