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C6E"/>
          <w:sz w:val="44"/>
        </w:rPr>
        <w:t>HydroScope</w:t>
      </w:r>
    </w:p>
    <w:p>
      <w:pPr>
        <w:spacing w:before="0" w:after="40"/>
        <w:jc w:val="center"/>
      </w:pPr>
      <w:r>
        <w:rPr>
          <w:b w:val="0"/>
          <w:color w:val="007A8A"/>
          <w:sz w:val="26"/>
        </w:rPr>
        <w:t>AI-Powered Groundwater Contamination Surveillance System</w:t>
      </w:r>
    </w:p>
    <w:p>
      <w:pPr>
        <w:spacing w:before="0" w:after="240"/>
        <w:jc w:val="center"/>
      </w:pPr>
      <w:r>
        <w:rPr>
          <w:i/>
          <w:color w:val="555555"/>
          <w:sz w:val="20"/>
        </w:rPr>
        <w:t>Problem Statement &amp; Solution Abstract</w:t>
      </w:r>
    </w:p>
    <w:p>
      <w:pPr>
        <w:pBdr>
          <w:bottom w:val="single" w:sz="6" w:space="1" w:color="007A8A"/>
        </w:pBdr>
        <w:spacing w:before="0" w:after="0"/>
      </w:pPr>
    </w:p>
    <w:p>
      <w:pPr>
        <w:spacing w:before="280" w:after="80"/>
      </w:pPr>
      <w:r>
        <w:rPr>
          <w:b/>
          <w:color w:val="1A3C6E"/>
          <w:sz w:val="22"/>
        </w:rPr>
        <w:t>PROBLEM STATEMENT</w:t>
      </w:r>
    </w:p>
    <w:p>
      <w:pPr>
        <w:spacing w:before="0" w:after="120"/>
      </w:pPr>
      <w:r>
        <w:rPr>
          <w:color w:val="1F1F1F"/>
          <w:sz w:val="21"/>
        </w:rPr>
        <w:t>India faces a silent groundwater emergency, with over 600 million people at risk from contaminated drinking water. Groundwater accounts for more than 85% of rural India's drinking supply, yet it is increasingly threatened by industrial discharge, agricultural runoff, and natural geological salinity (fluoride, nitrate, and bacterial contamination).</w:t>
      </w:r>
    </w:p>
    <w:p>
      <w:pPr>
        <w:spacing w:before="0" w:after="120"/>
      </w:pPr>
      <w:r>
        <w:rPr>
          <w:color w:val="1F1F1F"/>
          <w:sz w:val="21"/>
        </w:rPr>
        <w:t>The Central Ground Water Board (CGWB) monitors 36,922 wells across 5 states (Maharashtra, Andhra Pradesh, West Bengal, Rajasthan, and Gujarat). The core challenge is not data availability — it is the intelligent, budget-constrained extraction of actionable insight from it.</w:t>
      </w:r>
    </w:p>
    <w:p>
      <w:pPr>
        <w:spacing w:before="0" w:after="60"/>
      </w:pPr>
      <w:r>
        <w:rPr>
          <w:color w:val="1F1F1F"/>
          <w:sz w:val="21"/>
        </w:rPr>
        <w:t>The four compounding challenges are:</w:t>
      </w:r>
    </w:p>
    <w:p>
      <w:pPr>
        <w:pStyle w:val="ListBullet"/>
        <w:spacing w:before="0" w:after="60"/>
        <w:ind w:left="360"/>
      </w:pPr>
      <w:r>
        <w:rPr>
          <w:b/>
          <w:color w:val="1A3C6E"/>
          <w:sz w:val="21"/>
        </w:rPr>
        <w:t xml:space="preserve">Extreme Class Imbalance — </w:t>
      </w:r>
      <w:r>
        <w:rPr>
          <w:color w:val="1F1F1F"/>
          <w:sz w:val="21"/>
        </w:rPr>
        <w:t>Only 5.59% of wells exceed safe Electrical Conductivity (EC) thresholds (&gt;3,000 µS/cm). Naive classifiers achieve ~94% apparent accuracy by always predicting 'clean', while missing virtually every contaminated well.</w:t>
      </w:r>
    </w:p>
    <w:p>
      <w:pPr>
        <w:pStyle w:val="ListBullet"/>
        <w:spacing w:before="0" w:after="60"/>
        <w:ind w:left="360"/>
      </w:pPr>
      <w:r>
        <w:rPr>
          <w:b/>
          <w:color w:val="1A3C6E"/>
          <w:sz w:val="21"/>
        </w:rPr>
        <w:t xml:space="preserve">Budget-Constrained Testing — </w:t>
      </w:r>
      <w:r>
        <w:rPr>
          <w:color w:val="1F1F1F"/>
          <w:sz w:val="21"/>
        </w:rPr>
        <w:t>With only ~50 lab tests available per month against 36,922 stations, random selection would take over 61 years to cover the full network. Every wrong pick is a missed health risk.</w:t>
      </w:r>
    </w:p>
    <w:p>
      <w:pPr>
        <w:pStyle w:val="ListBullet"/>
        <w:spacing w:before="0" w:after="60"/>
        <w:ind w:left="360"/>
      </w:pPr>
      <w:r>
        <w:rPr>
          <w:b/>
          <w:color w:val="1A3C6E"/>
          <w:sz w:val="21"/>
        </w:rPr>
        <w:t xml:space="preserve">Geographic Blind Spots — </w:t>
      </w:r>
      <w:r>
        <w:rPr>
          <w:color w:val="1F1F1F"/>
          <w:sz w:val="21"/>
        </w:rPr>
        <w:t>Standard global classifiers dilute the signal from a single highly-polluted well surrounded by clean neighbours. Local hydro-geological context is critical.</w:t>
      </w:r>
    </w:p>
    <w:p>
      <w:pPr>
        <w:pStyle w:val="ListBullet"/>
        <w:spacing w:before="0" w:after="60"/>
        <w:ind w:left="360"/>
      </w:pPr>
      <w:r>
        <w:rPr>
          <w:b/>
          <w:color w:val="1A3C6E"/>
          <w:sz w:val="21"/>
        </w:rPr>
        <w:t xml:space="preserve">No Prioritisation Intelligence — </w:t>
      </w:r>
      <w:r>
        <w:rPr>
          <w:color w:val="1F1F1F"/>
          <w:sz w:val="21"/>
        </w:rPr>
        <w:t>Without a ranking system, field teams lack systematic, explainable decision support. Manual prioritisation is subjective and cannot weigh multiple risk factors together.</w:t>
      </w:r>
    </w:p>
    <w:p>
      <w:pPr>
        <w:pBdr>
          <w:bottom w:val="single" w:sz="6" w:space="1" w:color="007A8A"/>
        </w:pBdr>
        <w:spacing w:before="0" w:after="0"/>
      </w:pPr>
    </w:p>
    <w:p>
      <w:pPr>
        <w:spacing w:before="280" w:after="80"/>
      </w:pPr>
      <w:r>
        <w:rPr>
          <w:b/>
          <w:color w:val="1A3C6E"/>
          <w:sz w:val="22"/>
        </w:rPr>
        <w:t>OUR SOLUTION — HYDROSCOPE</w:t>
      </w:r>
    </w:p>
    <w:p>
      <w:pPr>
        <w:spacing w:before="0" w:after="120"/>
      </w:pPr>
      <w:r>
        <w:rPr>
          <w:color w:val="1F1F1F"/>
          <w:sz w:val="21"/>
        </w:rPr>
        <w:t>HydroScope implements a closed-loop AI pipeline that thinks geographically and acts within budget constraints. It integrates four ML phases into a cohesive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14"/>
            <w:shd w:val="clear" w:color="auto" w:fill="007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75"/>
            <w:shd w:val="clear" w:color="auto" w:fill="007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4309"/>
            <w:shd w:val="clear" w:color="auto" w:fill="007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14"/>
            <w:shd w:val="clear" w:color="auto" w:fill="EAF4F6"/>
          </w:tcPr>
          <w:p>
            <w:r>
              <w:rPr>
                <w:b/>
                <w:color w:val="1A3C6E"/>
                <w:sz w:val="19"/>
              </w:rPr>
              <w:t>Phase 1</w:t>
              <w:br/>
              <w:t>Classification</w:t>
            </w:r>
          </w:p>
        </w:tc>
        <w:tc>
          <w:tcPr>
            <w:tcW w:type="dxa" w:w="3175"/>
            <w:shd w:val="clear" w:color="auto" w:fill="EAF4F6"/>
          </w:tcPr>
          <w:p>
            <w:r>
              <w:rPr>
                <w:color w:val="1F1F1F"/>
                <w:sz w:val="19"/>
              </w:rPr>
              <w:t>Random Forest + SMOTE</w:t>
              <w:br/>
              <w:t>AdaBoost + SMOTE</w:t>
              <w:br/>
              <w:t>K-Nearest Neighbours</w:t>
            </w:r>
          </w:p>
        </w:tc>
        <w:tc>
          <w:tcPr>
            <w:tcW w:type="dxa" w:w="4309"/>
            <w:shd w:val="clear" w:color="auto" w:fill="EAF4F6"/>
          </w:tcPr>
          <w:p>
            <w:r>
              <w:rPr>
                <w:color w:val="1F1F1F"/>
                <w:sz w:val="19"/>
              </w:rPr>
              <w:t>Predict contamination risk with 92.2% ROC-AUC;</w:t>
              <w:br/>
              <w:t>handles severe class imbalance via oversampling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color w:val="1A3C6E"/>
                <w:sz w:val="19"/>
              </w:rPr>
              <w:t>Phase 2</w:t>
              <w:br/>
              <w:t>Spatial Clustering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color w:val="1F1F1F"/>
                <w:sz w:val="19"/>
              </w:rPr>
              <w:t>DBSCAN (primary)</w:t>
              <w:br/>
              <w:t>Agglomerative Clustering</w:t>
            </w:r>
          </w:p>
        </w:tc>
        <w:tc>
          <w:tcPr>
            <w:tcW w:type="dxa" w:w="4309"/>
            <w:shd w:val="clear" w:color="auto" w:fill="FFFFFF"/>
          </w:tcPr>
          <w:p>
            <w:r>
              <w:rPr>
                <w:color w:val="1F1F1F"/>
                <w:sz w:val="19"/>
              </w:rPr>
              <w:t>Groups 36,922 wells into 39 hydro-geological clusters</w:t>
              <w:br/>
              <w:t>by geography, depth, and state encoding</w:t>
            </w:r>
          </w:p>
        </w:tc>
      </w:tr>
      <w:tr>
        <w:tc>
          <w:tcPr>
            <w:tcW w:type="dxa" w:w="1814"/>
            <w:shd w:val="clear" w:color="auto" w:fill="EAF4F6"/>
          </w:tcPr>
          <w:p>
            <w:r>
              <w:rPr>
                <w:b/>
                <w:color w:val="1A3C6E"/>
                <w:sz w:val="19"/>
              </w:rPr>
              <w:t>Phase 3</w:t>
              <w:br/>
              <w:t>Anomaly Detection</w:t>
            </w:r>
          </w:p>
        </w:tc>
        <w:tc>
          <w:tcPr>
            <w:tcW w:type="dxa" w:w="3175"/>
            <w:shd w:val="clear" w:color="auto" w:fill="EAF4F6"/>
          </w:tcPr>
          <w:p>
            <w:r>
              <w:rPr>
                <w:color w:val="1F1F1F"/>
                <w:sz w:val="19"/>
              </w:rPr>
              <w:t>Isolation Forest</w:t>
              <w:br/>
              <w:t>(per cluster)</w:t>
            </w:r>
          </w:p>
        </w:tc>
        <w:tc>
          <w:tcPr>
            <w:tcW w:type="dxa" w:w="4309"/>
            <w:shd w:val="clear" w:color="auto" w:fill="EAF4F6"/>
          </w:tcPr>
          <w:p>
            <w:r>
              <w:rPr>
                <w:color w:val="1F1F1F"/>
                <w:sz w:val="19"/>
              </w:rPr>
              <w:t>Flags local outliers relative to regional peers;</w:t>
              <w:br/>
              <w:t>1,749 anomalies identified (4.7% of scored wells)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b/>
                <w:color w:val="1A3C6E"/>
                <w:sz w:val="19"/>
              </w:rPr>
              <w:t>Phase 4</w:t>
              <w:br/>
              <w:t>Risk Scoring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color w:val="1F1F1F"/>
                <w:sz w:val="19"/>
              </w:rPr>
              <w:t>Bayesian Belief Network</w:t>
              <w:br/>
              <w:t>(Variable Elimination)</w:t>
            </w:r>
          </w:p>
        </w:tc>
        <w:tc>
          <w:tcPr>
            <w:tcW w:type="dxa" w:w="4309"/>
            <w:shd w:val="clear" w:color="auto" w:fill="FFFFFF"/>
          </w:tcPr>
          <w:p>
            <w:r>
              <w:rPr>
                <w:color w:val="1F1F1F"/>
                <w:sz w:val="19"/>
              </w:rPr>
              <w:t>Combines all signals into an explainable</w:t>
              <w:br/>
              <w:t>P(Contaminated) per well with field recommendations</w:t>
            </w:r>
          </w:p>
        </w:tc>
      </w:tr>
    </w:tbl>
    <w:p/>
    <w:p>
      <w:pPr>
        <w:spacing w:before="0" w:after="120"/>
      </w:pPr>
      <w:r>
        <w:rPr>
          <w:color w:val="1F1F1F"/>
          <w:sz w:val="21"/>
        </w:rPr>
        <w:t>An Active Learning layer sits atop the pipeline — using uncertainty sampling to simulate the monthly testing budget and selecting the most informative wells to test next. This achieves a +86.4% detection gain over random sampling, enabling field teams to find contaminated wells far faster than any naive approach.</w:t>
      </w:r>
    </w:p>
    <w:p>
      <w:pPr>
        <w:spacing w:before="0" w:after="120"/>
      </w:pPr>
      <w:r>
        <w:rPr>
          <w:color w:val="1F1F1F"/>
          <w:sz w:val="21"/>
        </w:rPr>
        <w:t>The system is deployed as a full-stack web application (Next.js frontend + Python FastAPI backend) featuring an interactive map, well-prioritisation queue, and explainable, actionable recommendations for field teams.</w:t>
      </w:r>
    </w:p>
    <w:p>
      <w:pPr>
        <w:pBdr>
          <w:bottom w:val="single" w:sz="6" w:space="1" w:color="007A8A"/>
        </w:pBdr>
        <w:spacing w:before="0" w:after="0"/>
      </w:pPr>
    </w:p>
    <w:p>
      <w:pPr>
        <w:spacing w:before="280" w:after="80"/>
      </w:pPr>
      <w:r>
        <w:rPr>
          <w:b/>
          <w:color w:val="1A3C6E"/>
          <w:sz w:val="22"/>
        </w:rPr>
        <w:t>KEY METRICS AT A GLANCE</w:t>
      </w:r>
    </w:p>
    <w:p>
      <w:pPr>
        <w:spacing w:before="0" w:after="80"/>
      </w:pPr>
      <w:r>
        <w:rPr>
          <w:b/>
          <w:color w:val="007A8A"/>
          <w:sz w:val="22"/>
        </w:rPr>
        <w:t xml:space="preserve">  36,922  </w:t>
      </w:r>
      <w:r>
        <w:rPr>
          <w:color w:val="1F1F1F"/>
          <w:sz w:val="21"/>
        </w:rPr>
        <w:t>wells monitored across 5 Indian states</w:t>
      </w:r>
    </w:p>
    <w:p>
      <w:pPr>
        <w:spacing w:before="0" w:after="80"/>
      </w:pPr>
      <w:r>
        <w:rPr>
          <w:b/>
          <w:color w:val="007A8A"/>
          <w:sz w:val="22"/>
        </w:rPr>
        <w:t xml:space="preserve">  92.2%  </w:t>
      </w:r>
      <w:r>
        <w:rPr>
          <w:color w:val="1F1F1F"/>
          <w:sz w:val="21"/>
        </w:rPr>
        <w:t>ROC-AUC for contamination classification (Random Forest + SMOTE)</w:t>
      </w:r>
    </w:p>
    <w:p>
      <w:pPr>
        <w:spacing w:before="0" w:after="80"/>
      </w:pPr>
      <w:r>
        <w:rPr>
          <w:b/>
          <w:color w:val="007A8A"/>
          <w:sz w:val="22"/>
        </w:rPr>
        <w:t xml:space="preserve">  39  </w:t>
      </w:r>
      <w:r>
        <w:rPr>
          <w:color w:val="1F1F1F"/>
          <w:sz w:val="21"/>
        </w:rPr>
        <w:t>hydro-geological clusters identified via DBSCAN</w:t>
      </w:r>
    </w:p>
    <w:p>
      <w:pPr>
        <w:spacing w:before="0" w:after="80"/>
      </w:pPr>
      <w:r>
        <w:rPr>
          <w:b/>
          <w:color w:val="007A8A"/>
          <w:sz w:val="22"/>
        </w:rPr>
        <w:t xml:space="preserve">  1,749  </w:t>
      </w:r>
      <w:r>
        <w:rPr>
          <w:color w:val="1F1F1F"/>
          <w:sz w:val="21"/>
        </w:rPr>
        <w:t>local anomalies flagged by within-cluster Isolation Forest</w:t>
      </w:r>
    </w:p>
    <w:p>
      <w:pPr>
        <w:spacing w:before="0" w:after="80"/>
      </w:pPr>
      <w:r>
        <w:rPr>
          <w:b/>
          <w:color w:val="007A8A"/>
          <w:sz w:val="22"/>
        </w:rPr>
        <w:t xml:space="preserve">  +86.4%  </w:t>
      </w:r>
      <w:r>
        <w:rPr>
          <w:color w:val="1F1F1F"/>
          <w:sz w:val="21"/>
        </w:rPr>
        <w:t>detection gain over random sampling (Active Learning)</w:t>
      </w:r>
    </w:p>
    <w:p>
      <w:pPr>
        <w:spacing w:before="0" w:after="80"/>
      </w:pPr>
      <w:r>
        <w:rPr>
          <w:b/>
          <w:color w:val="007A8A"/>
          <w:sz w:val="22"/>
        </w:rPr>
        <w:t xml:space="preserve">  61 years  </w:t>
      </w:r>
      <w:r>
        <w:rPr>
          <w:color w:val="1F1F1F"/>
          <w:sz w:val="21"/>
        </w:rPr>
        <w:t>time random sampling would take — vs. months with HydroScope</w:t>
      </w:r>
    </w:p>
    <w:p>
      <w:pPr>
        <w:pBdr>
          <w:bottom w:val="single" w:sz="6" w:space="1" w:color="007A8A"/>
        </w:pBdr>
        <w:spacing w:before="0" w:after="0"/>
      </w:pPr>
    </w:p>
    <w:p>
      <w:pPr>
        <w:spacing w:before="120"/>
        <w:jc w:val="center"/>
      </w:pPr>
      <w:r>
        <w:rPr>
          <w:i/>
          <w:color w:val="555555"/>
          <w:sz w:val="18"/>
        </w:rPr>
        <w:t>MIT-WPU · Semester V · ML Lab Mini Project  |  HydroScope Team  |  2025–26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