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F1014" w14:textId="77777777" w:rsidR="00FA57A0" w:rsidRDefault="00000000">
      <w:pPr>
        <w:pStyle w:val="Title"/>
        <w:jc w:val="center"/>
      </w:pPr>
      <w:r>
        <w:t>HydroScope / AquaSentinel</w:t>
      </w:r>
    </w:p>
    <w:p w14:paraId="3D888092" w14:textId="77777777" w:rsidR="00FA57A0" w:rsidRDefault="00000000">
      <w:pPr>
        <w:spacing w:after="240"/>
        <w:jc w:val="center"/>
      </w:pPr>
      <w:r>
        <w:rPr>
          <w:b/>
          <w:color w:val="64748B"/>
          <w:sz w:val="22"/>
        </w:rPr>
        <w:t>An AI-Driven Bayesian &amp; Active-Learning Surveillance Framework for Rural Groundwater Contamination</w:t>
      </w:r>
    </w:p>
    <w:p w14:paraId="38B92872" w14:textId="77777777" w:rsidR="00FA57A0" w:rsidRDefault="00FA57A0">
      <w:pPr>
        <w:spacing w:before="80" w:after="200"/>
      </w:pPr>
    </w:p>
    <w:tbl>
      <w:tblPr>
        <w:tblW w:w="0" w:type="auto"/>
        <w:jc w:val="center"/>
        <w:tblLook w:val="04A0" w:firstRow="1" w:lastRow="0" w:firstColumn="1" w:lastColumn="0" w:noHBand="0" w:noVBand="1"/>
      </w:tblPr>
      <w:tblGrid>
        <w:gridCol w:w="10080"/>
      </w:tblGrid>
      <w:tr w:rsidR="00FA57A0" w14:paraId="7AF1236D" w14:textId="77777777">
        <w:trPr>
          <w:jc w:val="center"/>
        </w:trPr>
        <w:tc>
          <w:tcPr>
            <w:tcW w:w="10080" w:type="dxa"/>
            <w:tcBorders>
              <w:top w:val="single" w:sz="4" w:space="0" w:color="1B365D"/>
              <w:left w:val="single" w:sz="4" w:space="0" w:color="1B365D"/>
              <w:bottom w:val="single" w:sz="4" w:space="0" w:color="1B365D"/>
              <w:right w:val="single" w:sz="4" w:space="0" w:color="1B365D"/>
            </w:tcBorders>
            <w:shd w:val="clear" w:color="auto" w:fill="EBF3FA"/>
            <w:tcMar>
              <w:top w:w="140" w:type="dxa"/>
              <w:left w:w="160" w:type="dxa"/>
              <w:bottom w:w="140" w:type="dxa"/>
              <w:right w:w="160" w:type="dxa"/>
            </w:tcMar>
          </w:tcPr>
          <w:p w14:paraId="32517B3A" w14:textId="52513F16" w:rsidR="00FA57A0" w:rsidRDefault="00000000">
            <w:pPr>
              <w:spacing w:after="80" w:line="283" w:lineRule="auto"/>
            </w:pPr>
            <w:r>
              <w:rPr>
                <w:b/>
                <w:color w:val="1B365D"/>
                <w:sz w:val="21"/>
              </w:rPr>
              <w:t xml:space="preserve">EXECUTIVE ABSTRACT </w:t>
            </w:r>
            <w:r>
              <w:rPr>
                <w:b/>
                <w:color w:val="1B365D"/>
                <w:sz w:val="21"/>
              </w:rPr>
              <w:br/>
            </w:r>
            <w:r>
              <w:rPr>
                <w:sz w:val="19"/>
              </w:rPr>
              <w:t>Groundwater serves over 85% of rural India's domestic drinking water needs, yet fewer than 5% of rural community wells are lab-tested annually due to acute logistical and laboratory budgetary constraints. Under such severe testing caps, uniform random water sampling is dangerously inefficient, routinely leaving contaminated aquifers unflagged for years.</w:t>
            </w:r>
            <w:r>
              <w:rPr>
                <w:sz w:val="19"/>
              </w:rPr>
              <w:br/>
            </w:r>
            <w:r>
              <w:rPr>
                <w:sz w:val="19"/>
              </w:rPr>
              <w:br/>
              <w:t>HydroScope reframes groundwater monitoring from a passive recording task into an active, intelligent resource-allocation system. Given a fixed laboratory testing budget (e.g., 50 physical tests per month), which wells must be tested next to maximize contamination detection and minimize public health exposure? Built on 64 years of Central Ground Water Board (CGWB) records spanning 5 diverse states (102,109 observations, 36,922 validated wells), HydroScope executes a 6-phase machine learning pipeline: (1) Robust ingestion and multi-source temporal-spatial merging across Chemical, Physical, and Groundwater Level datasets; (2) Leak-free predictive classification using SMOTE with Random Forest and AdaBoost, evaluated under an asymmetric cost matrix penalizing missed toxic wells 10x over false alarms; (3) Unsupervised spatial clustering via DBSCAN to delineate hydro-geological micro-regions without target leakage; (4) Local within-cluster anomaly detection via Isolation Forest to identify anomalous wells relative to their regional peers; (5) Explainable causal inference using a Bayesian Belief Network (pgmpy) that models geological depth, urban stress, and cluster priors; and (6) An Active Learning engine utilizing Shannon Entropy and hybrid risk weighting that prioritizes the monthly surveillance queue, delivering a proven +9% to +15% gain in early contaminant discovery over standard testing regimes. The system is deployed via a real-time Next.js surveillance dashboard.</w:t>
            </w:r>
          </w:p>
        </w:tc>
      </w:tr>
    </w:tbl>
    <w:p w14:paraId="0FE9181E" w14:textId="77777777" w:rsidR="00FA57A0" w:rsidRDefault="00000000">
      <w:pPr>
        <w:pStyle w:val="Heading1"/>
      </w:pPr>
      <w:r>
        <w:t>1. Problem Statement &amp; Resource-Allocation Framing</w:t>
      </w:r>
    </w:p>
    <w:p w14:paraId="7C4EF2C3" w14:textId="77777777" w:rsidR="00FA57A0" w:rsidRDefault="00000000">
      <w:r>
        <w:t>In conventional environmental data science, water quality models are trained to predict chemical concentrations assuming a full suite of simultaneous laboratory readings is present. In real-world rural health administration, this assumption is completely false: if laboratory chemical readings (such as Fluoride, Nitrate, or Arsenic) were already available for a well, the well would already be tested, making machine learning prediction redundant.</w:t>
      </w:r>
    </w:p>
    <w:p w14:paraId="7BC4280F" w14:textId="77777777" w:rsidR="00FA57A0" w:rsidRDefault="00000000">
      <w:r>
        <w:t>HydroScope is designed around the reality of surveillance triage: water quality testing is an expensive, slow, bottlenecked intervention. The core challenges addressed are:</w:t>
      </w:r>
    </w:p>
    <w:tbl>
      <w:tblPr>
        <w:tblStyle w:val="TableGrid"/>
        <w:tblW w:w="0" w:type="auto"/>
        <w:jc w:val="center"/>
        <w:tblLook w:val="04A0" w:firstRow="1" w:lastRow="0" w:firstColumn="1" w:lastColumn="0" w:noHBand="0" w:noVBand="1"/>
      </w:tblPr>
      <w:tblGrid>
        <w:gridCol w:w="2160"/>
        <w:gridCol w:w="3600"/>
        <w:gridCol w:w="4032"/>
      </w:tblGrid>
      <w:tr w:rsidR="00FA57A0" w14:paraId="3565BFB3"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1B365D"/>
            <w:tcMar>
              <w:top w:w="100" w:type="dxa"/>
              <w:left w:w="120" w:type="dxa"/>
              <w:bottom w:w="100" w:type="dxa"/>
              <w:right w:w="120" w:type="dxa"/>
            </w:tcMar>
            <w:vAlign w:val="center"/>
          </w:tcPr>
          <w:p w14:paraId="2F41C628" w14:textId="77777777" w:rsidR="00FA57A0" w:rsidRDefault="00000000">
            <w:pPr>
              <w:jc w:val="center"/>
            </w:pPr>
            <w:r>
              <w:rPr>
                <w:b/>
                <w:color w:val="FFFFFF"/>
                <w:sz w:val="19"/>
              </w:rPr>
              <w:t>Core Challenge</w:t>
            </w:r>
          </w:p>
        </w:tc>
        <w:tc>
          <w:tcPr>
            <w:tcW w:w="3600" w:type="dxa"/>
            <w:tcBorders>
              <w:top w:val="single" w:sz="4" w:space="0" w:color="CBD5E1"/>
              <w:left w:val="single" w:sz="4" w:space="0" w:color="CBD5E1"/>
              <w:bottom w:val="single" w:sz="4" w:space="0" w:color="CBD5E1"/>
              <w:right w:val="single" w:sz="4" w:space="0" w:color="CBD5E1"/>
            </w:tcBorders>
            <w:shd w:val="clear" w:color="auto" w:fill="1B365D"/>
            <w:tcMar>
              <w:top w:w="100" w:type="dxa"/>
              <w:left w:w="120" w:type="dxa"/>
              <w:bottom w:w="100" w:type="dxa"/>
              <w:right w:w="120" w:type="dxa"/>
            </w:tcMar>
            <w:vAlign w:val="center"/>
          </w:tcPr>
          <w:p w14:paraId="095BA601" w14:textId="77777777" w:rsidR="00FA57A0" w:rsidRDefault="00000000">
            <w:pPr>
              <w:jc w:val="center"/>
            </w:pPr>
            <w:r>
              <w:rPr>
                <w:b/>
                <w:color w:val="FFFFFF"/>
                <w:sz w:val="19"/>
              </w:rPr>
              <w:t>Real-World Implication</w:t>
            </w:r>
          </w:p>
        </w:tc>
        <w:tc>
          <w:tcPr>
            <w:tcW w:w="4032" w:type="dxa"/>
            <w:tcBorders>
              <w:top w:val="single" w:sz="4" w:space="0" w:color="CBD5E1"/>
              <w:left w:val="single" w:sz="4" w:space="0" w:color="CBD5E1"/>
              <w:bottom w:val="single" w:sz="4" w:space="0" w:color="CBD5E1"/>
              <w:right w:val="single" w:sz="4" w:space="0" w:color="CBD5E1"/>
            </w:tcBorders>
            <w:shd w:val="clear" w:color="auto" w:fill="1B365D"/>
            <w:tcMar>
              <w:top w:w="100" w:type="dxa"/>
              <w:left w:w="120" w:type="dxa"/>
              <w:bottom w:w="100" w:type="dxa"/>
              <w:right w:w="120" w:type="dxa"/>
            </w:tcMar>
            <w:vAlign w:val="center"/>
          </w:tcPr>
          <w:p w14:paraId="1BFC340E" w14:textId="77777777" w:rsidR="00FA57A0" w:rsidRDefault="00000000">
            <w:pPr>
              <w:jc w:val="center"/>
            </w:pPr>
            <w:r>
              <w:rPr>
                <w:b/>
                <w:color w:val="FFFFFF"/>
                <w:sz w:val="19"/>
              </w:rPr>
              <w:t>HydroScope Engineering Solution</w:t>
            </w:r>
          </w:p>
        </w:tc>
      </w:tr>
      <w:tr w:rsidR="00FA57A0" w14:paraId="374D54CC" w14:textId="77777777">
        <w:trPr>
          <w:jc w:val="center"/>
        </w:trPr>
        <w:tc>
          <w:tcPr>
            <w:tcW w:w="21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B77FBDD" w14:textId="77777777" w:rsidR="00FA57A0" w:rsidRDefault="00000000">
            <w:r>
              <w:rPr>
                <w:sz w:val="18"/>
              </w:rPr>
              <w:t>Acute Testing Bottleneck</w:t>
            </w:r>
          </w:p>
        </w:tc>
        <w:tc>
          <w:tcPr>
            <w:tcW w:w="36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65060BD9" w14:textId="77777777" w:rsidR="00FA57A0" w:rsidRDefault="00000000">
            <w:r>
              <w:rPr>
                <w:sz w:val="18"/>
              </w:rPr>
              <w:t>District labs can only process 25–50 water samples per month across thousands of scattered rural wells.</w:t>
            </w:r>
          </w:p>
        </w:tc>
        <w:tc>
          <w:tcPr>
            <w:tcW w:w="4032"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3401775F" w14:textId="77777777" w:rsidR="00FA57A0" w:rsidRDefault="00000000">
            <w:r>
              <w:rPr>
                <w:sz w:val="18"/>
              </w:rPr>
              <w:t>Active Learning Priority Queue: Automatically identifies and ranks the top-N highest information-value wells for field sampling.</w:t>
            </w:r>
          </w:p>
        </w:tc>
      </w:tr>
      <w:tr w:rsidR="00FA57A0" w14:paraId="5B55A226"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2CBAF56B" w14:textId="77777777" w:rsidR="00FA57A0" w:rsidRDefault="00000000">
            <w:r>
              <w:rPr>
                <w:sz w:val="18"/>
              </w:rPr>
              <w:t>Extreme Class Imbalance</w:t>
            </w:r>
          </w:p>
        </w:tc>
        <w:tc>
          <w:tcPr>
            <w:tcW w:w="3600"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1B65E583" w14:textId="77777777" w:rsidR="00FA57A0" w:rsidRDefault="00000000">
            <w:r>
              <w:rPr>
                <w:sz w:val="18"/>
              </w:rPr>
              <w:t>Severe contamination is naturally rare (~5.6% base rate). Naive models predict 100% clean and achieve 94.4% useless accuracy.</w:t>
            </w:r>
          </w:p>
        </w:tc>
        <w:tc>
          <w:tcPr>
            <w:tcW w:w="4032"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2F228BB0" w14:textId="77777777" w:rsidR="00FA57A0" w:rsidRDefault="00000000">
            <w:r>
              <w:rPr>
                <w:sz w:val="18"/>
              </w:rPr>
              <w:t>SMOTE Synthetic Over-sampling + Cost-Sensitive Thresholding (10x penalty for missed contamination).</w:t>
            </w:r>
          </w:p>
        </w:tc>
      </w:tr>
      <w:tr w:rsidR="00FA57A0" w14:paraId="014D08AD" w14:textId="77777777">
        <w:trPr>
          <w:jc w:val="center"/>
        </w:trPr>
        <w:tc>
          <w:tcPr>
            <w:tcW w:w="21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7F3A6305" w14:textId="77777777" w:rsidR="00FA57A0" w:rsidRDefault="00000000">
            <w:r>
              <w:rPr>
                <w:sz w:val="18"/>
              </w:rPr>
              <w:t>Geological Confounding</w:t>
            </w:r>
          </w:p>
        </w:tc>
        <w:tc>
          <w:tcPr>
            <w:tcW w:w="36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7DF5A123" w14:textId="77777777" w:rsidR="00FA57A0" w:rsidRDefault="00000000">
            <w:r>
              <w:rPr>
                <w:sz w:val="18"/>
              </w:rPr>
              <w:t>A 25m water table is standard in arid Rajasthan but indicates severe depletion/anomaly in coastal Bengal.</w:t>
            </w:r>
          </w:p>
        </w:tc>
        <w:tc>
          <w:tcPr>
            <w:tcW w:w="4032"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5333B253" w14:textId="77777777" w:rsidR="00FA57A0" w:rsidRDefault="00000000">
            <w:r>
              <w:rPr>
                <w:sz w:val="18"/>
              </w:rPr>
              <w:t>Within-Cluster Isolation Forest: Anomalies are scored strictly relative to hydro-geologically homogeneous peers, not globally.</w:t>
            </w:r>
          </w:p>
        </w:tc>
      </w:tr>
      <w:tr w:rsidR="00FA57A0" w14:paraId="1C340A0E"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03528541" w14:textId="77777777" w:rsidR="00FA57A0" w:rsidRDefault="00000000">
            <w:r>
              <w:rPr>
                <w:sz w:val="18"/>
              </w:rPr>
              <w:lastRenderedPageBreak/>
              <w:t>Black-Box Skepticism</w:t>
            </w:r>
          </w:p>
        </w:tc>
        <w:tc>
          <w:tcPr>
            <w:tcW w:w="3600"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0FCECF22" w14:textId="77777777" w:rsidR="00FA57A0" w:rsidRDefault="00000000">
            <w:r>
              <w:rPr>
                <w:sz w:val="18"/>
              </w:rPr>
              <w:t>Public health officers and engineers reject opaque deep learning models without causal explanation.</w:t>
            </w:r>
          </w:p>
        </w:tc>
        <w:tc>
          <w:tcPr>
            <w:tcW w:w="4032"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0BECF307" w14:textId="77777777" w:rsidR="00FA57A0" w:rsidRDefault="00000000">
            <w:r>
              <w:rPr>
                <w:sz w:val="18"/>
              </w:rPr>
              <w:t>Bayesian Belief Networks (pgmpy): Quantifies causal risk and provides plain-language rationale for every flagged well.</w:t>
            </w:r>
          </w:p>
        </w:tc>
      </w:tr>
      <w:tr w:rsidR="00FA57A0" w14:paraId="7D331F39" w14:textId="77777777">
        <w:trPr>
          <w:jc w:val="center"/>
        </w:trPr>
        <w:tc>
          <w:tcPr>
            <w:tcW w:w="21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3728741" w14:textId="77777777" w:rsidR="00FA57A0" w:rsidRDefault="00000000">
            <w:r>
              <w:rPr>
                <w:sz w:val="18"/>
              </w:rPr>
              <w:t>Target Data Leakage</w:t>
            </w:r>
          </w:p>
        </w:tc>
        <w:tc>
          <w:tcPr>
            <w:tcW w:w="36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BBB815F" w14:textId="77777777" w:rsidR="00FA57A0" w:rsidRDefault="00000000">
            <w:r>
              <w:rPr>
                <w:sz w:val="18"/>
              </w:rPr>
              <w:t>Using same-day chemical assays (pH, TDS, Nitrate) to predict contamination creates trivial, useless leakage.</w:t>
            </w:r>
          </w:p>
        </w:tc>
        <w:tc>
          <w:tcPr>
            <w:tcW w:w="4032"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535EF6E9" w14:textId="77777777" w:rsidR="00FA57A0" w:rsidRDefault="00000000">
            <w:r>
              <w:rPr>
                <w:sz w:val="18"/>
              </w:rPr>
              <w:t>Strict Anti-Leakage Protocol: Uses only pre-test geospatial, hydrological, and regional features available before any physical test.</w:t>
            </w:r>
          </w:p>
        </w:tc>
      </w:tr>
    </w:tbl>
    <w:p w14:paraId="2D41B64F" w14:textId="77777777" w:rsidR="00FA57A0" w:rsidRDefault="00FA57A0">
      <w:pPr>
        <w:spacing w:after="80"/>
      </w:pPr>
    </w:p>
    <w:p w14:paraId="4CFBBE0E" w14:textId="77777777" w:rsidR="00FA57A0" w:rsidRDefault="00000000">
      <w:pPr>
        <w:pStyle w:val="Heading1"/>
      </w:pPr>
      <w:r>
        <w:t>2. Comprehensive Dataset Inventory &amp; Sourcing</w:t>
      </w:r>
    </w:p>
    <w:p w14:paraId="70B6F241" w14:textId="77777777" w:rsidR="00FA57A0" w:rsidRDefault="00000000">
      <w:r>
        <w:t>The empirical foundation of HydroScope comprises official manual water monitoring records from the Central Ground Water Board (CGWB) and the National Water Data Portal, spanning 64 years of historical observations (1961 to 2025). The study incorporates 5 states representing vastly differing climatic, geological, and hydrogeological regimes:</w:t>
      </w:r>
    </w:p>
    <w:p w14:paraId="35789948" w14:textId="77777777" w:rsidR="00FA57A0" w:rsidRDefault="00000000">
      <w:pPr>
        <w:pStyle w:val="ListBullet"/>
        <w:spacing w:after="60"/>
      </w:pPr>
      <w:r>
        <w:rPr>
          <w:b/>
          <w:color w:val="1B365D"/>
        </w:rPr>
        <w:t xml:space="preserve">Maharashtra (MH): </w:t>
      </w:r>
      <w:r>
        <w:t>Basaltic Deccan Trap volcanic formations; deep fracture aquifers; widespread seasonal water table fluctuations.</w:t>
      </w:r>
    </w:p>
    <w:p w14:paraId="6E9D27C2" w14:textId="77777777" w:rsidR="00FA57A0" w:rsidRDefault="00000000">
      <w:pPr>
        <w:pStyle w:val="ListBullet"/>
        <w:spacing w:after="60"/>
      </w:pPr>
      <w:r>
        <w:rPr>
          <w:b/>
          <w:color w:val="1B365D"/>
        </w:rPr>
        <w:t xml:space="preserve">Andhra Pradesh (AP): </w:t>
      </w:r>
      <w:r>
        <w:t>Hard-rock crystalline granitic and gneissic aquifers; high endemic fluoride and salinity stress in rayalaseema.</w:t>
      </w:r>
    </w:p>
    <w:p w14:paraId="1E0B3E0E" w14:textId="77777777" w:rsidR="00FA57A0" w:rsidRDefault="00000000">
      <w:pPr>
        <w:pStyle w:val="ListBullet"/>
        <w:spacing w:after="60"/>
      </w:pPr>
      <w:r>
        <w:rPr>
          <w:b/>
          <w:color w:val="1B365D"/>
        </w:rPr>
        <w:t xml:space="preserve">West Bengal (WB): </w:t>
      </w:r>
      <w:r>
        <w:t>Alluvial deltaic floodplains; shallow water tables; vulnerable to surface agricultural runoff and mineral leaching.</w:t>
      </w:r>
    </w:p>
    <w:p w14:paraId="30586D3D" w14:textId="77777777" w:rsidR="00FA57A0" w:rsidRDefault="00000000">
      <w:pPr>
        <w:pStyle w:val="ListBullet"/>
        <w:spacing w:after="60"/>
      </w:pPr>
      <w:r>
        <w:rPr>
          <w:b/>
          <w:color w:val="1B365D"/>
        </w:rPr>
        <w:t xml:space="preserve">Rajasthan (RJ): </w:t>
      </w:r>
      <w:r>
        <w:t>Arid and semi-arid desert terrain (Thar); extremely deep, ancient fossil aquifers with structural salinity.</w:t>
      </w:r>
    </w:p>
    <w:p w14:paraId="4B6381F2" w14:textId="77777777" w:rsidR="00FA57A0" w:rsidRDefault="00000000">
      <w:pPr>
        <w:pStyle w:val="ListBullet"/>
        <w:spacing w:after="60"/>
      </w:pPr>
      <w:r>
        <w:rPr>
          <w:b/>
          <w:color w:val="1B365D"/>
        </w:rPr>
        <w:t xml:space="preserve">Gujarat (GJ): </w:t>
      </w:r>
      <w:r>
        <w:t>Coastal saline ingress zones and alluvial plains; intensive agricultural and industrial groundwater exploitation.</w:t>
      </w:r>
    </w:p>
    <w:p w14:paraId="437CF103" w14:textId="77777777" w:rsidR="00FA57A0" w:rsidRDefault="00000000">
      <w:r>
        <w:t>For each of the 5 states, 3 distinct monitoring category files were acquired, yielding 15 raw CSV files in total (&gt;134,000 raw monitoring rows):</w:t>
      </w:r>
    </w:p>
    <w:tbl>
      <w:tblPr>
        <w:tblStyle w:val="TableGrid"/>
        <w:tblW w:w="0" w:type="auto"/>
        <w:jc w:val="center"/>
        <w:tblLook w:val="04A0" w:firstRow="1" w:lastRow="0" w:firstColumn="1" w:lastColumn="0" w:noHBand="0" w:noVBand="1"/>
      </w:tblPr>
      <w:tblGrid>
        <w:gridCol w:w="2016"/>
        <w:gridCol w:w="1296"/>
        <w:gridCol w:w="1152"/>
        <w:gridCol w:w="1152"/>
        <w:gridCol w:w="4176"/>
      </w:tblGrid>
      <w:tr w:rsidR="00FA57A0" w14:paraId="3D0C94F2" w14:textId="77777777">
        <w:trPr>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1B365D"/>
            <w:tcMar>
              <w:top w:w="100" w:type="dxa"/>
              <w:left w:w="120" w:type="dxa"/>
              <w:bottom w:w="100" w:type="dxa"/>
              <w:right w:w="120" w:type="dxa"/>
            </w:tcMar>
            <w:vAlign w:val="center"/>
          </w:tcPr>
          <w:p w14:paraId="2B36E099" w14:textId="77777777" w:rsidR="00FA57A0" w:rsidRDefault="00000000">
            <w:pPr>
              <w:jc w:val="center"/>
            </w:pPr>
            <w:r>
              <w:rPr>
                <w:b/>
                <w:color w:val="FFFFFF"/>
                <w:sz w:val="19"/>
              </w:rPr>
              <w:t>Category</w:t>
            </w:r>
          </w:p>
        </w:tc>
        <w:tc>
          <w:tcPr>
            <w:tcW w:w="1296" w:type="dxa"/>
            <w:tcBorders>
              <w:top w:val="single" w:sz="4" w:space="0" w:color="CBD5E1"/>
              <w:left w:val="single" w:sz="4" w:space="0" w:color="CBD5E1"/>
              <w:bottom w:val="single" w:sz="4" w:space="0" w:color="CBD5E1"/>
              <w:right w:val="single" w:sz="4" w:space="0" w:color="CBD5E1"/>
            </w:tcBorders>
            <w:shd w:val="clear" w:color="auto" w:fill="1B365D"/>
            <w:tcMar>
              <w:top w:w="100" w:type="dxa"/>
              <w:left w:w="120" w:type="dxa"/>
              <w:bottom w:w="100" w:type="dxa"/>
              <w:right w:w="120" w:type="dxa"/>
            </w:tcMar>
            <w:vAlign w:val="center"/>
          </w:tcPr>
          <w:p w14:paraId="7353259F" w14:textId="77777777" w:rsidR="00FA57A0" w:rsidRDefault="00000000">
            <w:pPr>
              <w:jc w:val="center"/>
            </w:pPr>
            <w:r>
              <w:rPr>
                <w:b/>
                <w:color w:val="FFFFFF"/>
                <w:sz w:val="19"/>
              </w:rPr>
              <w:t>Files</w:t>
            </w:r>
          </w:p>
        </w:tc>
        <w:tc>
          <w:tcPr>
            <w:tcW w:w="1152" w:type="dxa"/>
            <w:tcBorders>
              <w:top w:val="single" w:sz="4" w:space="0" w:color="CBD5E1"/>
              <w:left w:val="single" w:sz="4" w:space="0" w:color="CBD5E1"/>
              <w:bottom w:val="single" w:sz="4" w:space="0" w:color="CBD5E1"/>
              <w:right w:val="single" w:sz="4" w:space="0" w:color="CBD5E1"/>
            </w:tcBorders>
            <w:shd w:val="clear" w:color="auto" w:fill="1B365D"/>
            <w:tcMar>
              <w:top w:w="100" w:type="dxa"/>
              <w:left w:w="120" w:type="dxa"/>
              <w:bottom w:w="100" w:type="dxa"/>
              <w:right w:w="120" w:type="dxa"/>
            </w:tcMar>
            <w:vAlign w:val="center"/>
          </w:tcPr>
          <w:p w14:paraId="57D72F02" w14:textId="77777777" w:rsidR="00FA57A0" w:rsidRDefault="00000000">
            <w:pPr>
              <w:jc w:val="center"/>
            </w:pPr>
            <w:r>
              <w:rPr>
                <w:b/>
                <w:color w:val="FFFFFF"/>
                <w:sz w:val="19"/>
              </w:rPr>
              <w:t>Raw Columns</w:t>
            </w:r>
          </w:p>
        </w:tc>
        <w:tc>
          <w:tcPr>
            <w:tcW w:w="1152" w:type="dxa"/>
            <w:tcBorders>
              <w:top w:val="single" w:sz="4" w:space="0" w:color="CBD5E1"/>
              <w:left w:val="single" w:sz="4" w:space="0" w:color="CBD5E1"/>
              <w:bottom w:val="single" w:sz="4" w:space="0" w:color="CBD5E1"/>
              <w:right w:val="single" w:sz="4" w:space="0" w:color="CBD5E1"/>
            </w:tcBorders>
            <w:shd w:val="clear" w:color="auto" w:fill="1B365D"/>
            <w:tcMar>
              <w:top w:w="100" w:type="dxa"/>
              <w:left w:w="120" w:type="dxa"/>
              <w:bottom w:w="100" w:type="dxa"/>
              <w:right w:w="120" w:type="dxa"/>
            </w:tcMar>
            <w:vAlign w:val="center"/>
          </w:tcPr>
          <w:p w14:paraId="75334F71" w14:textId="77777777" w:rsidR="00FA57A0" w:rsidRDefault="00000000">
            <w:pPr>
              <w:jc w:val="center"/>
            </w:pPr>
            <w:r>
              <w:rPr>
                <w:b/>
                <w:color w:val="FFFFFF"/>
                <w:sz w:val="19"/>
              </w:rPr>
              <w:t>Total Rows</w:t>
            </w:r>
          </w:p>
        </w:tc>
        <w:tc>
          <w:tcPr>
            <w:tcW w:w="4176" w:type="dxa"/>
            <w:tcBorders>
              <w:top w:val="single" w:sz="4" w:space="0" w:color="CBD5E1"/>
              <w:left w:val="single" w:sz="4" w:space="0" w:color="CBD5E1"/>
              <w:bottom w:val="single" w:sz="4" w:space="0" w:color="CBD5E1"/>
              <w:right w:val="single" w:sz="4" w:space="0" w:color="CBD5E1"/>
            </w:tcBorders>
            <w:shd w:val="clear" w:color="auto" w:fill="1B365D"/>
            <w:tcMar>
              <w:top w:w="100" w:type="dxa"/>
              <w:left w:w="120" w:type="dxa"/>
              <w:bottom w:w="100" w:type="dxa"/>
              <w:right w:w="120" w:type="dxa"/>
            </w:tcMar>
            <w:vAlign w:val="center"/>
          </w:tcPr>
          <w:p w14:paraId="4C7B9B96" w14:textId="77777777" w:rsidR="00FA57A0" w:rsidRDefault="00000000">
            <w:pPr>
              <w:jc w:val="center"/>
            </w:pPr>
            <w:r>
              <w:rPr>
                <w:b/>
                <w:color w:val="FFFFFF"/>
                <w:sz w:val="19"/>
              </w:rPr>
              <w:t>Key Parameters &amp; Physical Attributes</w:t>
            </w:r>
          </w:p>
        </w:tc>
      </w:tr>
      <w:tr w:rsidR="00FA57A0" w14:paraId="2E5CEDE4" w14:textId="77777777">
        <w:trPr>
          <w:jc w:val="center"/>
        </w:trPr>
        <w:tc>
          <w:tcPr>
            <w:tcW w:w="2016"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6BADE62" w14:textId="77777777" w:rsidR="00FA57A0" w:rsidRDefault="00000000">
            <w:r>
              <w:rPr>
                <w:sz w:val="18"/>
              </w:rPr>
              <w:t>Chemical Water Quality</w:t>
            </w:r>
          </w:p>
        </w:tc>
        <w:tc>
          <w:tcPr>
            <w:tcW w:w="1296"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69F2209A" w14:textId="77777777" w:rsidR="00FA57A0" w:rsidRDefault="00000000">
            <w:r>
              <w:rPr>
                <w:sz w:val="18"/>
              </w:rPr>
              <w:t>5 CSVs (1/state)</w:t>
            </w:r>
          </w:p>
        </w:tc>
        <w:tc>
          <w:tcPr>
            <w:tcW w:w="1152"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08D9AD55" w14:textId="77777777" w:rsidR="00FA57A0" w:rsidRDefault="00000000">
            <w:r>
              <w:rPr>
                <w:sz w:val="18"/>
              </w:rPr>
              <w:t>46 cols</w:t>
            </w:r>
          </w:p>
        </w:tc>
        <w:tc>
          <w:tcPr>
            <w:tcW w:w="1152"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1DB533F" w14:textId="77777777" w:rsidR="00FA57A0" w:rsidRDefault="00000000">
            <w:r>
              <w:rPr>
                <w:sz w:val="18"/>
              </w:rPr>
              <w:t>36,769</w:t>
            </w:r>
          </w:p>
        </w:tc>
        <w:tc>
          <w:tcPr>
            <w:tcW w:w="4176"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761568A8" w14:textId="77777777" w:rsidR="00FA57A0" w:rsidRDefault="00000000">
            <w:r>
              <w:rPr>
                <w:sz w:val="18"/>
              </w:rPr>
              <w:t>Electrical Conductivity (EC), pH, Total Dissolved Solids (TDS), Fluoride (F), Nitrate (NO3), Chloride (Cl), Sulphate (SO4), Total Hardness, Calcium (Ca), Magnesium (Mg), Sodium (Na), Potassium (K), Arsenic, Iron.</w:t>
            </w:r>
          </w:p>
        </w:tc>
      </w:tr>
      <w:tr w:rsidR="00FA57A0" w14:paraId="1CCE2E9E" w14:textId="77777777">
        <w:trPr>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3E1F1D38" w14:textId="77777777" w:rsidR="00FA57A0" w:rsidRDefault="00000000">
            <w:r>
              <w:rPr>
                <w:sz w:val="18"/>
              </w:rPr>
              <w:t>Physical Water Quality</w:t>
            </w:r>
          </w:p>
        </w:tc>
        <w:tc>
          <w:tcPr>
            <w:tcW w:w="1296"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4AB0BB92" w14:textId="77777777" w:rsidR="00FA57A0" w:rsidRDefault="00000000">
            <w:r>
              <w:rPr>
                <w:sz w:val="18"/>
              </w:rPr>
              <w:t>5 CSVs (1/state)</w:t>
            </w:r>
          </w:p>
        </w:tc>
        <w:tc>
          <w:tcPr>
            <w:tcW w:w="1152"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79189BCA" w14:textId="77777777" w:rsidR="00FA57A0" w:rsidRDefault="00000000">
            <w:r>
              <w:rPr>
                <w:sz w:val="18"/>
              </w:rPr>
              <w:t>21 cols</w:t>
            </w:r>
          </w:p>
        </w:tc>
        <w:tc>
          <w:tcPr>
            <w:tcW w:w="1152"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401D86B9" w14:textId="77777777" w:rsidR="00FA57A0" w:rsidRDefault="00000000">
            <w:r>
              <w:rPr>
                <w:sz w:val="18"/>
              </w:rPr>
              <w:t>50,232</w:t>
            </w:r>
          </w:p>
        </w:tc>
        <w:tc>
          <w:tcPr>
            <w:tcW w:w="4176"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47C6483D" w14:textId="77777777" w:rsidR="00FA57A0" w:rsidRDefault="00000000">
            <w:r>
              <w:rPr>
                <w:sz w:val="18"/>
              </w:rPr>
              <w:t>Water Temperature, Turbidity, Color, Odor, Station Name, Site Code, Latitude, Longitude, State, District, Block, Village, Basin, Sub-basin, Hydrogeological Aquifer Type.</w:t>
            </w:r>
          </w:p>
        </w:tc>
      </w:tr>
      <w:tr w:rsidR="00FA57A0" w14:paraId="03271003" w14:textId="77777777">
        <w:trPr>
          <w:jc w:val="center"/>
        </w:trPr>
        <w:tc>
          <w:tcPr>
            <w:tcW w:w="2016"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CDF30CD" w14:textId="77777777" w:rsidR="00FA57A0" w:rsidRDefault="00000000">
            <w:r>
              <w:rPr>
                <w:sz w:val="18"/>
              </w:rPr>
              <w:t>Groundwater Levels</w:t>
            </w:r>
          </w:p>
        </w:tc>
        <w:tc>
          <w:tcPr>
            <w:tcW w:w="1296"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095FF44E" w14:textId="77777777" w:rsidR="00FA57A0" w:rsidRDefault="00000000">
            <w:r>
              <w:rPr>
                <w:sz w:val="18"/>
              </w:rPr>
              <w:t>5 CSVs (1/state)</w:t>
            </w:r>
          </w:p>
        </w:tc>
        <w:tc>
          <w:tcPr>
            <w:tcW w:w="1152"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412C00EB" w14:textId="77777777" w:rsidR="00FA57A0" w:rsidRDefault="00000000">
            <w:r>
              <w:rPr>
                <w:sz w:val="18"/>
              </w:rPr>
              <w:t>21 cols</w:t>
            </w:r>
          </w:p>
        </w:tc>
        <w:tc>
          <w:tcPr>
            <w:tcW w:w="1152"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502C1422" w14:textId="77777777" w:rsidR="00FA57A0" w:rsidRDefault="00000000">
            <w:r>
              <w:rPr>
                <w:sz w:val="18"/>
              </w:rPr>
              <w:t>47,668</w:t>
            </w:r>
          </w:p>
        </w:tc>
        <w:tc>
          <w:tcPr>
            <w:tcW w:w="4176"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460D313F" w14:textId="77777777" w:rsidR="00FA57A0" w:rsidRDefault="00000000">
            <w:r>
              <w:rPr>
                <w:sz w:val="18"/>
              </w:rPr>
              <w:t>Quarterly Depth to Water Table (metres below ground level - mbgl), Pre-monsoon vs Post-monsoon water level changes, Ground Elevation above Sea Level (m amsl), Well Discharge rate.</w:t>
            </w:r>
          </w:p>
        </w:tc>
      </w:tr>
    </w:tbl>
    <w:p w14:paraId="0C9DF991" w14:textId="77777777" w:rsidR="00FA57A0" w:rsidRDefault="00FA57A0">
      <w:pPr>
        <w:spacing w:after="80"/>
      </w:pPr>
    </w:p>
    <w:p w14:paraId="237BE52E" w14:textId="77777777" w:rsidR="00FA57A0" w:rsidRDefault="00000000">
      <w:pPr>
        <w:pStyle w:val="Heading2"/>
      </w:pPr>
      <w:r>
        <w:lastRenderedPageBreak/>
        <w:t>Operational Proxy: Why Electrical Conductivity (EC)?</w:t>
      </w:r>
    </w:p>
    <w:p w14:paraId="6313D457" w14:textId="77777777" w:rsidR="00FA57A0" w:rsidRDefault="00000000">
      <w:r>
        <w:t>Electrical Conductivity (EC, measured in microSiemens per centimetre, µS/cm) quantifies the capacity of water to conduct an electrical current. It is directly proportional to the concentration of dissolved ionized solids (salts, sodium, chloride, calcium, magnesium, and agricultural nitrates). In HydroScope, EC is adopted as the operational ground-truth proxy for severe groundwater risk:</w:t>
      </w:r>
    </w:p>
    <w:p w14:paraId="0AC5F8DE" w14:textId="77777777" w:rsidR="00FA57A0" w:rsidRDefault="00000000">
      <w:pPr>
        <w:pStyle w:val="ListBullet"/>
        <w:spacing w:after="60"/>
      </w:pPr>
      <w:r>
        <w:rPr>
          <w:b/>
          <w:color w:val="1B365D"/>
        </w:rPr>
        <w:t xml:space="preserve">High-Risk Contamination Threshold: </w:t>
      </w:r>
      <w:r>
        <w:t>A reading of EC &gt; 3,000 µS/cm is established as the binary target (is_contaminated = 1). Water exceeding 3,000 µS/cm exceeds standard BIS (IS 10500:2012) and WHO drinking limits, causing severe salinity, gastrointestinal distress, and unsuitability for domestic consumption.</w:t>
      </w:r>
    </w:p>
    <w:p w14:paraId="67E923FA" w14:textId="77777777" w:rsidR="00FA57A0" w:rsidRDefault="00000000">
      <w:pPr>
        <w:pStyle w:val="ListBullet"/>
        <w:spacing w:after="60"/>
      </w:pPr>
      <w:r>
        <w:rPr>
          <w:b/>
          <w:color w:val="1B365D"/>
        </w:rPr>
        <w:t xml:space="preserve">Proxy Integrity: </w:t>
      </w:r>
      <w:r>
        <w:t>While high EC does not identify a single isolated toxin (such as arsenic vs. industrial leachate), it acts as a universal early-warning tripwire that warrants mandatory physical laboratory dispatch.</w:t>
      </w:r>
    </w:p>
    <w:p w14:paraId="76162B06" w14:textId="77777777" w:rsidR="00FA57A0" w:rsidRDefault="00000000">
      <w:pPr>
        <w:pStyle w:val="Heading1"/>
      </w:pPr>
      <w:r>
        <w:t>3. Ingestion, Standardization &amp; Merging Methodology</w:t>
      </w:r>
    </w:p>
    <w:p w14:paraId="4B7D7306" w14:textId="77777777" w:rsidR="00FA57A0" w:rsidRDefault="00000000">
      <w:r>
        <w:t>A major real-world contribution of HydroScope is reconciling disparately formatted, multi-decade government water databases into a unified, cohesive surveillance schema. The ingestion and merge pipeline operates under rigorous automated data quality checks:</w:t>
      </w:r>
    </w:p>
    <w:p w14:paraId="26B2921C" w14:textId="77777777" w:rsidR="00FA57A0" w:rsidRDefault="00000000">
      <w:pPr>
        <w:pStyle w:val="ListBullet"/>
        <w:spacing w:after="60"/>
      </w:pPr>
      <w:r>
        <w:rPr>
          <w:b/>
          <w:color w:val="1B365D"/>
        </w:rPr>
        <w:t xml:space="preserve">1. Schema Normalization &amp; Defensive Parsing: </w:t>
      </w:r>
      <w:r>
        <w:t>Raw headers across decades contained varying naming conventions, spaces, special symbols, and character encoding artifacts. The ingest module applies lowercase conversion, whitespace stripping, and regex-based alias mapping (e.g., mapping 'potential_of_hydrogen', 'site_name', 'electric_conductivity_scm' to canonical tokens 'ph', 'station', 'ec'). Non-numeric strings (such as 'BDL' - Below Detection Limit, '&lt;0.01', and trailing whitespaces) are converted cleanly to standardized numerical values.</w:t>
      </w:r>
    </w:p>
    <w:p w14:paraId="2B9C0959" w14:textId="77777777" w:rsidR="00FA57A0" w:rsidRDefault="00000000">
      <w:pPr>
        <w:pStyle w:val="ListBullet"/>
        <w:spacing w:after="60"/>
      </w:pPr>
      <w:r>
        <w:rPr>
          <w:b/>
          <w:color w:val="1B365D"/>
        </w:rPr>
        <w:t xml:space="preserve">2. Composite Join Key Strategy: </w:t>
      </w:r>
      <w:r>
        <w:t>Water quality chemical tests, physical surveys, and manual water level dipmeter measurements are rarely conducted at the exact same hour or day. Joining strictly on exact dates resulted in an unacceptable &gt;90% record drop. HydroScope implements a temporal-spatial compound join key: ['station', 'district', 'state', 'date_month'], where monitoring dates are truncated to standard monthly intervals ('YYYY-MM'). This reliably captures measurements taken during the same quarterly monitoring campaign.</w:t>
      </w:r>
    </w:p>
    <w:p w14:paraId="1C1F789F" w14:textId="77777777" w:rsidR="00FA57A0" w:rsidRDefault="00000000">
      <w:pPr>
        <w:pStyle w:val="ListBullet"/>
        <w:spacing w:after="60"/>
      </w:pPr>
      <w:r>
        <w:rPr>
          <w:b/>
          <w:color w:val="1B365D"/>
        </w:rPr>
        <w:t xml:space="preserve">3. Geospatial Fallback &amp; Coordinate Consolidation: </w:t>
      </w:r>
      <w:r>
        <w:t>Merging Chemical, Physical, and Level tables generates three redundant sets of coordinates ('lat_chem', 'lat_phys', 'lat'). The data prep pipeline executes hierarchical spatial consolidation: water level surveyed benchmarks are prioritized first (as they are tied to geodetic benchmarks), followed by physical site records, and chemical sample coordinates. Records with corrupted or impossible coordinates (outside India's bounding box: lat 6°–38°N, lon 68°–98°E) are flagged and sanitized.</w:t>
      </w:r>
    </w:p>
    <w:p w14:paraId="7E6324B4" w14:textId="77777777" w:rsidR="00FA57A0" w:rsidRDefault="00000000">
      <w:pPr>
        <w:pStyle w:val="ListBullet"/>
        <w:spacing w:after="60"/>
      </w:pPr>
      <w:r>
        <w:rPr>
          <w:b/>
          <w:color w:val="1B365D"/>
        </w:rPr>
        <w:t xml:space="preserve">4. Missing Value Strategy: </w:t>
      </w:r>
      <w:r>
        <w:t>Groundwater depth ('groundwater_level_m') contained missing values for unmonitored quarters. Rather than using naive global mean imputation (which distorts regional hydrogeology), missing levels are imputed using district-level medians. Categorical variables ('state', 'district') are encoded using deterministic Label Encoders.</w:t>
      </w:r>
    </w:p>
    <w:tbl>
      <w:tblPr>
        <w:tblStyle w:val="TableGrid"/>
        <w:tblW w:w="0" w:type="auto"/>
        <w:jc w:val="center"/>
        <w:tblLook w:val="04A0" w:firstRow="1" w:lastRow="0" w:firstColumn="1" w:lastColumn="0" w:noHBand="0" w:noVBand="1"/>
      </w:tblPr>
      <w:tblGrid>
        <w:gridCol w:w="2592"/>
        <w:gridCol w:w="1152"/>
        <w:gridCol w:w="1152"/>
        <w:gridCol w:w="4896"/>
      </w:tblGrid>
      <w:tr w:rsidR="00FA57A0" w14:paraId="0AFC10DB"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1B365D"/>
            <w:tcMar>
              <w:top w:w="100" w:type="dxa"/>
              <w:left w:w="120" w:type="dxa"/>
              <w:bottom w:w="100" w:type="dxa"/>
              <w:right w:w="120" w:type="dxa"/>
            </w:tcMar>
            <w:vAlign w:val="center"/>
          </w:tcPr>
          <w:p w14:paraId="3C840F64" w14:textId="77777777" w:rsidR="00FA57A0" w:rsidRDefault="00000000">
            <w:pPr>
              <w:jc w:val="center"/>
            </w:pPr>
            <w:r>
              <w:rPr>
                <w:b/>
                <w:color w:val="FFFFFF"/>
                <w:sz w:val="19"/>
              </w:rPr>
              <w:t>Pipeline Transformation</w:t>
            </w:r>
          </w:p>
        </w:tc>
        <w:tc>
          <w:tcPr>
            <w:tcW w:w="1152" w:type="dxa"/>
            <w:tcBorders>
              <w:top w:val="single" w:sz="4" w:space="0" w:color="CBD5E1"/>
              <w:left w:val="single" w:sz="4" w:space="0" w:color="CBD5E1"/>
              <w:bottom w:val="single" w:sz="4" w:space="0" w:color="CBD5E1"/>
              <w:right w:val="single" w:sz="4" w:space="0" w:color="CBD5E1"/>
            </w:tcBorders>
            <w:shd w:val="clear" w:color="auto" w:fill="1B365D"/>
            <w:tcMar>
              <w:top w:w="100" w:type="dxa"/>
              <w:left w:w="120" w:type="dxa"/>
              <w:bottom w:w="100" w:type="dxa"/>
              <w:right w:w="120" w:type="dxa"/>
            </w:tcMar>
            <w:vAlign w:val="center"/>
          </w:tcPr>
          <w:p w14:paraId="314F4EDD" w14:textId="77777777" w:rsidR="00FA57A0" w:rsidRDefault="00000000">
            <w:pPr>
              <w:jc w:val="center"/>
            </w:pPr>
            <w:r>
              <w:rPr>
                <w:b/>
                <w:color w:val="FFFFFF"/>
                <w:sz w:val="19"/>
              </w:rPr>
              <w:t>Row Count</w:t>
            </w:r>
          </w:p>
        </w:tc>
        <w:tc>
          <w:tcPr>
            <w:tcW w:w="1152" w:type="dxa"/>
            <w:tcBorders>
              <w:top w:val="single" w:sz="4" w:space="0" w:color="CBD5E1"/>
              <w:left w:val="single" w:sz="4" w:space="0" w:color="CBD5E1"/>
              <w:bottom w:val="single" w:sz="4" w:space="0" w:color="CBD5E1"/>
              <w:right w:val="single" w:sz="4" w:space="0" w:color="CBD5E1"/>
            </w:tcBorders>
            <w:shd w:val="clear" w:color="auto" w:fill="1B365D"/>
            <w:tcMar>
              <w:top w:w="100" w:type="dxa"/>
              <w:left w:w="120" w:type="dxa"/>
              <w:bottom w:w="100" w:type="dxa"/>
              <w:right w:w="120" w:type="dxa"/>
            </w:tcMar>
            <w:vAlign w:val="center"/>
          </w:tcPr>
          <w:p w14:paraId="4A913E77" w14:textId="77777777" w:rsidR="00FA57A0" w:rsidRDefault="00000000">
            <w:pPr>
              <w:jc w:val="center"/>
            </w:pPr>
            <w:r>
              <w:rPr>
                <w:b/>
                <w:color w:val="FFFFFF"/>
                <w:sz w:val="19"/>
              </w:rPr>
              <w:t>Column Count</w:t>
            </w:r>
          </w:p>
        </w:tc>
        <w:tc>
          <w:tcPr>
            <w:tcW w:w="4896" w:type="dxa"/>
            <w:tcBorders>
              <w:top w:val="single" w:sz="4" w:space="0" w:color="CBD5E1"/>
              <w:left w:val="single" w:sz="4" w:space="0" w:color="CBD5E1"/>
              <w:bottom w:val="single" w:sz="4" w:space="0" w:color="CBD5E1"/>
              <w:right w:val="single" w:sz="4" w:space="0" w:color="CBD5E1"/>
            </w:tcBorders>
            <w:shd w:val="clear" w:color="auto" w:fill="1B365D"/>
            <w:tcMar>
              <w:top w:w="100" w:type="dxa"/>
              <w:left w:w="120" w:type="dxa"/>
              <w:bottom w:w="100" w:type="dxa"/>
              <w:right w:w="120" w:type="dxa"/>
            </w:tcMar>
            <w:vAlign w:val="center"/>
          </w:tcPr>
          <w:p w14:paraId="41162E54" w14:textId="77777777" w:rsidR="00FA57A0" w:rsidRDefault="00000000">
            <w:pPr>
              <w:jc w:val="center"/>
            </w:pPr>
            <w:r>
              <w:rPr>
                <w:b/>
                <w:color w:val="FFFFFF"/>
                <w:sz w:val="19"/>
              </w:rPr>
              <w:t>Functional Purpose in Architecture</w:t>
            </w:r>
          </w:p>
        </w:tc>
      </w:tr>
      <w:tr w:rsidR="00FA57A0" w14:paraId="3A9DC166" w14:textId="77777777">
        <w:trPr>
          <w:jc w:val="center"/>
        </w:trPr>
        <w:tc>
          <w:tcPr>
            <w:tcW w:w="2592"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031F47DA" w14:textId="77777777" w:rsidR="00FA57A0" w:rsidRDefault="00000000">
            <w:r>
              <w:rPr>
                <w:sz w:val="18"/>
              </w:rPr>
              <w:t>Raw Multi-State Ingest</w:t>
            </w:r>
          </w:p>
        </w:tc>
        <w:tc>
          <w:tcPr>
            <w:tcW w:w="1152"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621422B3" w14:textId="77777777" w:rsidR="00FA57A0" w:rsidRDefault="00000000">
            <w:r>
              <w:rPr>
                <w:sz w:val="18"/>
              </w:rPr>
              <w:t>134,669</w:t>
            </w:r>
          </w:p>
        </w:tc>
        <w:tc>
          <w:tcPr>
            <w:tcW w:w="1152"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39842930" w14:textId="77777777" w:rsidR="00FA57A0" w:rsidRDefault="00000000">
            <w:r>
              <w:rPr>
                <w:sz w:val="18"/>
              </w:rPr>
              <w:t>88</w:t>
            </w:r>
          </w:p>
        </w:tc>
        <w:tc>
          <w:tcPr>
            <w:tcW w:w="4896"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E2CE018" w14:textId="77777777" w:rsidR="00FA57A0" w:rsidRDefault="00000000">
            <w:r>
              <w:rPr>
                <w:sz w:val="18"/>
              </w:rPr>
              <w:t>Raw multi-state CSVs parsed defensively with normalized schemas.</w:t>
            </w:r>
          </w:p>
        </w:tc>
      </w:tr>
      <w:tr w:rsidR="00FA57A0" w14:paraId="30D10DD1"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5111473C" w14:textId="77777777" w:rsidR="00FA57A0" w:rsidRDefault="00000000">
            <w:r>
              <w:rPr>
                <w:sz w:val="18"/>
              </w:rPr>
              <w:t>Unified Dataset (merge.py)</w:t>
            </w:r>
          </w:p>
        </w:tc>
        <w:tc>
          <w:tcPr>
            <w:tcW w:w="1152"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1EE6B931" w14:textId="77777777" w:rsidR="00FA57A0" w:rsidRDefault="00000000">
            <w:r>
              <w:rPr>
                <w:sz w:val="18"/>
              </w:rPr>
              <w:t>102,109</w:t>
            </w:r>
          </w:p>
        </w:tc>
        <w:tc>
          <w:tcPr>
            <w:tcW w:w="1152"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145B51F6" w14:textId="77777777" w:rsidR="00FA57A0" w:rsidRDefault="00000000">
            <w:r>
              <w:rPr>
                <w:sz w:val="18"/>
              </w:rPr>
              <w:t>86</w:t>
            </w:r>
          </w:p>
        </w:tc>
        <w:tc>
          <w:tcPr>
            <w:tcW w:w="4896"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0E6416F2" w14:textId="77777777" w:rsidR="00FA57A0" w:rsidRDefault="00000000">
            <w:r>
              <w:rPr>
                <w:sz w:val="18"/>
              </w:rPr>
              <w:t>Comprehensive multi-source temporal-spatial outer join.</w:t>
            </w:r>
          </w:p>
        </w:tc>
      </w:tr>
      <w:tr w:rsidR="00FA57A0" w14:paraId="6335C615" w14:textId="77777777">
        <w:trPr>
          <w:jc w:val="center"/>
        </w:trPr>
        <w:tc>
          <w:tcPr>
            <w:tcW w:w="2592"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5F0BE4D7" w14:textId="77777777" w:rsidR="00FA57A0" w:rsidRDefault="00000000">
            <w:r>
              <w:rPr>
                <w:sz w:val="18"/>
              </w:rPr>
              <w:t>Prepared Dataset (data_prep.py)</w:t>
            </w:r>
          </w:p>
        </w:tc>
        <w:tc>
          <w:tcPr>
            <w:tcW w:w="1152"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6656E4BE" w14:textId="77777777" w:rsidR="00FA57A0" w:rsidRDefault="00000000">
            <w:r>
              <w:rPr>
                <w:sz w:val="18"/>
              </w:rPr>
              <w:t>36,922</w:t>
            </w:r>
          </w:p>
        </w:tc>
        <w:tc>
          <w:tcPr>
            <w:tcW w:w="1152"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E9248A8" w14:textId="77777777" w:rsidR="00FA57A0" w:rsidRDefault="00000000">
            <w:r>
              <w:rPr>
                <w:sz w:val="18"/>
              </w:rPr>
              <w:t>11</w:t>
            </w:r>
          </w:p>
        </w:tc>
        <w:tc>
          <w:tcPr>
            <w:tcW w:w="4896"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3CFA23A2" w14:textId="77777777" w:rsidR="00FA57A0" w:rsidRDefault="00000000">
            <w:r>
              <w:rPr>
                <w:sz w:val="18"/>
              </w:rPr>
              <w:t>EC-labelled, leak-free, clean supervised learning dataset.</w:t>
            </w:r>
          </w:p>
        </w:tc>
      </w:tr>
      <w:tr w:rsidR="00FA57A0" w14:paraId="560934DA"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20FCF15E" w14:textId="77777777" w:rsidR="00FA57A0" w:rsidRDefault="00000000">
            <w:r>
              <w:rPr>
                <w:sz w:val="18"/>
              </w:rPr>
              <w:t xml:space="preserve">Clustered Dataset </w:t>
            </w:r>
            <w:r>
              <w:rPr>
                <w:sz w:val="18"/>
              </w:rPr>
              <w:lastRenderedPageBreak/>
              <w:t>(clustering.py)</w:t>
            </w:r>
          </w:p>
        </w:tc>
        <w:tc>
          <w:tcPr>
            <w:tcW w:w="1152"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22C45F8B" w14:textId="77777777" w:rsidR="00FA57A0" w:rsidRDefault="00000000">
            <w:r>
              <w:rPr>
                <w:sz w:val="18"/>
              </w:rPr>
              <w:lastRenderedPageBreak/>
              <w:t>36,922</w:t>
            </w:r>
          </w:p>
        </w:tc>
        <w:tc>
          <w:tcPr>
            <w:tcW w:w="1152"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62921A68" w14:textId="77777777" w:rsidR="00FA57A0" w:rsidRDefault="00000000">
            <w:r>
              <w:rPr>
                <w:sz w:val="18"/>
              </w:rPr>
              <w:t>13</w:t>
            </w:r>
          </w:p>
        </w:tc>
        <w:tc>
          <w:tcPr>
            <w:tcW w:w="4896"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1A0BE97E" w14:textId="77777777" w:rsidR="00FA57A0" w:rsidRDefault="00000000">
            <w:r>
              <w:rPr>
                <w:sz w:val="18"/>
              </w:rPr>
              <w:t xml:space="preserve">Augmented with DBSCAN (spatial density) and Agglomerative </w:t>
            </w:r>
            <w:r>
              <w:rPr>
                <w:sz w:val="18"/>
              </w:rPr>
              <w:lastRenderedPageBreak/>
              <w:t>cluster IDs.</w:t>
            </w:r>
          </w:p>
        </w:tc>
      </w:tr>
      <w:tr w:rsidR="00FA57A0" w14:paraId="456B10FE" w14:textId="77777777">
        <w:trPr>
          <w:jc w:val="center"/>
        </w:trPr>
        <w:tc>
          <w:tcPr>
            <w:tcW w:w="2592"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3A3D843C" w14:textId="77777777" w:rsidR="00FA57A0" w:rsidRDefault="00000000">
            <w:r>
              <w:rPr>
                <w:sz w:val="18"/>
              </w:rPr>
              <w:lastRenderedPageBreak/>
              <w:t>Anomaly Dataset (anomaly.py)</w:t>
            </w:r>
          </w:p>
        </w:tc>
        <w:tc>
          <w:tcPr>
            <w:tcW w:w="1152"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6506C0FF" w14:textId="77777777" w:rsidR="00FA57A0" w:rsidRDefault="00000000">
            <w:r>
              <w:rPr>
                <w:sz w:val="18"/>
              </w:rPr>
              <w:t>36,922</w:t>
            </w:r>
          </w:p>
        </w:tc>
        <w:tc>
          <w:tcPr>
            <w:tcW w:w="1152"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4F26D040" w14:textId="77777777" w:rsidR="00FA57A0" w:rsidRDefault="00000000">
            <w:r>
              <w:rPr>
                <w:sz w:val="18"/>
              </w:rPr>
              <w:t>15</w:t>
            </w:r>
          </w:p>
        </w:tc>
        <w:tc>
          <w:tcPr>
            <w:tcW w:w="4896"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F100A62" w14:textId="77777777" w:rsidR="00FA57A0" w:rsidRDefault="00000000">
            <w:r>
              <w:rPr>
                <w:sz w:val="18"/>
              </w:rPr>
              <w:t>Augmented with within-cluster Isolation Forest anomaly scores and flags.</w:t>
            </w:r>
          </w:p>
        </w:tc>
      </w:tr>
      <w:tr w:rsidR="00FA57A0" w14:paraId="3845E6CC"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3777AD60" w14:textId="77777777" w:rsidR="00FA57A0" w:rsidRDefault="00000000">
            <w:r>
              <w:rPr>
                <w:sz w:val="18"/>
              </w:rPr>
              <w:t>Bayesian Dataset (bayesian_network.py)</w:t>
            </w:r>
          </w:p>
        </w:tc>
        <w:tc>
          <w:tcPr>
            <w:tcW w:w="1152"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05431232" w14:textId="77777777" w:rsidR="00FA57A0" w:rsidRDefault="00000000">
            <w:r>
              <w:rPr>
                <w:sz w:val="18"/>
              </w:rPr>
              <w:t>36,922</w:t>
            </w:r>
          </w:p>
        </w:tc>
        <w:tc>
          <w:tcPr>
            <w:tcW w:w="1152"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791DC53A" w14:textId="77777777" w:rsidR="00FA57A0" w:rsidRDefault="00000000">
            <w:r>
              <w:rPr>
                <w:sz w:val="18"/>
              </w:rPr>
              <w:t>22</w:t>
            </w:r>
          </w:p>
        </w:tc>
        <w:tc>
          <w:tcPr>
            <w:tcW w:w="4896"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062443B3" w14:textId="77777777" w:rsidR="00FA57A0" w:rsidRDefault="00000000">
            <w:r>
              <w:rPr>
                <w:sz w:val="18"/>
              </w:rPr>
              <w:t>Augmented with discretized causal features and BBN posterior probabilities.</w:t>
            </w:r>
          </w:p>
        </w:tc>
      </w:tr>
      <w:tr w:rsidR="00FA57A0" w14:paraId="133193B9" w14:textId="77777777">
        <w:trPr>
          <w:jc w:val="center"/>
        </w:trPr>
        <w:tc>
          <w:tcPr>
            <w:tcW w:w="2592"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6CB3DF7F" w14:textId="77777777" w:rsidR="00FA57A0" w:rsidRDefault="00000000">
            <w:r>
              <w:rPr>
                <w:sz w:val="18"/>
              </w:rPr>
              <w:t>Testing Priority Queue (active_learning.py)</w:t>
            </w:r>
          </w:p>
        </w:tc>
        <w:tc>
          <w:tcPr>
            <w:tcW w:w="1152"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4B91FE9A" w14:textId="77777777" w:rsidR="00FA57A0" w:rsidRDefault="00000000">
            <w:r>
              <w:rPr>
                <w:sz w:val="18"/>
              </w:rPr>
              <w:t>36,922</w:t>
            </w:r>
          </w:p>
        </w:tc>
        <w:tc>
          <w:tcPr>
            <w:tcW w:w="1152"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3AE13057" w14:textId="77777777" w:rsidR="00FA57A0" w:rsidRDefault="00000000">
            <w:r>
              <w:rPr>
                <w:sz w:val="18"/>
              </w:rPr>
              <w:t>27</w:t>
            </w:r>
          </w:p>
        </w:tc>
        <w:tc>
          <w:tcPr>
            <w:tcW w:w="4896"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6C083DA3" w14:textId="77777777" w:rsidR="00FA57A0" w:rsidRDefault="00000000">
            <w:r>
              <w:rPr>
                <w:sz w:val="18"/>
              </w:rPr>
              <w:t>Ranked surveillance testing queue with acquisition uncertainty scores.</w:t>
            </w:r>
          </w:p>
        </w:tc>
      </w:tr>
    </w:tbl>
    <w:p w14:paraId="6FFCDD45" w14:textId="77777777" w:rsidR="00FA57A0" w:rsidRDefault="00FA57A0">
      <w:pPr>
        <w:spacing w:after="80"/>
      </w:pPr>
    </w:p>
    <w:p w14:paraId="52C1A1B1" w14:textId="77777777" w:rsidR="00FA57A0" w:rsidRDefault="00000000">
      <w:pPr>
        <w:pStyle w:val="Heading1"/>
      </w:pPr>
      <w:r>
        <w:t>4. Feature Set Engineering &amp; Strict Anti-Leakage Protocol</w:t>
      </w:r>
    </w:p>
    <w:p w14:paraId="6964E66E" w14:textId="77777777" w:rsidR="00FA57A0" w:rsidRDefault="00000000">
      <w:r>
        <w:t>A defining methodological rigor of this project is the **Strict Pre-Test Anti-Leakage Protocol**. In literature, many water quality papers erroneously include parameters like TDS, pH, or Chloride to predict salinity or contamination. Because TDS and EC have a Pearson correlation r &gt; 0.95, such models achieve 99% artificial accuracy in the lab but are useless in the field.</w:t>
      </w:r>
    </w:p>
    <w:p w14:paraId="5EE8EFB6" w14:textId="77777777" w:rsidR="00FA57A0" w:rsidRDefault="00000000">
      <w:r>
        <w:t>HydroScope restricts all predictive and clustering stages to strictly **5 leak-free features** that are known and measurable BEFORE a physical water sample is ever sent to a laboratory:</w:t>
      </w:r>
    </w:p>
    <w:tbl>
      <w:tblPr>
        <w:tblStyle w:val="TableGrid"/>
        <w:tblW w:w="0" w:type="auto"/>
        <w:jc w:val="center"/>
        <w:tblLook w:val="04A0" w:firstRow="1" w:lastRow="0" w:firstColumn="1" w:lastColumn="0" w:noHBand="0" w:noVBand="1"/>
      </w:tblPr>
      <w:tblGrid>
        <w:gridCol w:w="2016"/>
        <w:gridCol w:w="1296"/>
        <w:gridCol w:w="1584"/>
        <w:gridCol w:w="4896"/>
      </w:tblGrid>
      <w:tr w:rsidR="00FA57A0" w14:paraId="1C1AF3EB" w14:textId="77777777">
        <w:trPr>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1B365D"/>
            <w:tcMar>
              <w:top w:w="100" w:type="dxa"/>
              <w:left w:w="120" w:type="dxa"/>
              <w:bottom w:w="100" w:type="dxa"/>
              <w:right w:w="120" w:type="dxa"/>
            </w:tcMar>
            <w:vAlign w:val="center"/>
          </w:tcPr>
          <w:p w14:paraId="29410C95" w14:textId="77777777" w:rsidR="00FA57A0" w:rsidRDefault="00000000">
            <w:pPr>
              <w:jc w:val="center"/>
            </w:pPr>
            <w:r>
              <w:rPr>
                <w:b/>
                <w:color w:val="FFFFFF"/>
                <w:sz w:val="19"/>
              </w:rPr>
              <w:t>Feature Name</w:t>
            </w:r>
          </w:p>
        </w:tc>
        <w:tc>
          <w:tcPr>
            <w:tcW w:w="1296" w:type="dxa"/>
            <w:tcBorders>
              <w:top w:val="single" w:sz="4" w:space="0" w:color="CBD5E1"/>
              <w:left w:val="single" w:sz="4" w:space="0" w:color="CBD5E1"/>
              <w:bottom w:val="single" w:sz="4" w:space="0" w:color="CBD5E1"/>
              <w:right w:val="single" w:sz="4" w:space="0" w:color="CBD5E1"/>
            </w:tcBorders>
            <w:shd w:val="clear" w:color="auto" w:fill="1B365D"/>
            <w:tcMar>
              <w:top w:w="100" w:type="dxa"/>
              <w:left w:w="120" w:type="dxa"/>
              <w:bottom w:w="100" w:type="dxa"/>
              <w:right w:w="120" w:type="dxa"/>
            </w:tcMar>
            <w:vAlign w:val="center"/>
          </w:tcPr>
          <w:p w14:paraId="3F8C8672" w14:textId="77777777" w:rsidR="00FA57A0" w:rsidRDefault="00000000">
            <w:pPr>
              <w:jc w:val="center"/>
            </w:pPr>
            <w:r>
              <w:rPr>
                <w:b/>
                <w:color w:val="FFFFFF"/>
                <w:sz w:val="19"/>
              </w:rPr>
              <w:t>Data Type</w:t>
            </w:r>
          </w:p>
        </w:tc>
        <w:tc>
          <w:tcPr>
            <w:tcW w:w="1584" w:type="dxa"/>
            <w:tcBorders>
              <w:top w:val="single" w:sz="4" w:space="0" w:color="CBD5E1"/>
              <w:left w:val="single" w:sz="4" w:space="0" w:color="CBD5E1"/>
              <w:bottom w:val="single" w:sz="4" w:space="0" w:color="CBD5E1"/>
              <w:right w:val="single" w:sz="4" w:space="0" w:color="CBD5E1"/>
            </w:tcBorders>
            <w:shd w:val="clear" w:color="auto" w:fill="1B365D"/>
            <w:tcMar>
              <w:top w:w="100" w:type="dxa"/>
              <w:left w:w="120" w:type="dxa"/>
              <w:bottom w:w="100" w:type="dxa"/>
              <w:right w:w="120" w:type="dxa"/>
            </w:tcMar>
            <w:vAlign w:val="center"/>
          </w:tcPr>
          <w:p w14:paraId="0D0EA6D9" w14:textId="77777777" w:rsidR="00FA57A0" w:rsidRDefault="00000000">
            <w:pPr>
              <w:jc w:val="center"/>
            </w:pPr>
            <w:r>
              <w:rPr>
                <w:b/>
                <w:color w:val="FFFFFF"/>
                <w:sz w:val="19"/>
              </w:rPr>
              <w:t>Source</w:t>
            </w:r>
          </w:p>
        </w:tc>
        <w:tc>
          <w:tcPr>
            <w:tcW w:w="4896" w:type="dxa"/>
            <w:tcBorders>
              <w:top w:val="single" w:sz="4" w:space="0" w:color="CBD5E1"/>
              <w:left w:val="single" w:sz="4" w:space="0" w:color="CBD5E1"/>
              <w:bottom w:val="single" w:sz="4" w:space="0" w:color="CBD5E1"/>
              <w:right w:val="single" w:sz="4" w:space="0" w:color="CBD5E1"/>
            </w:tcBorders>
            <w:shd w:val="clear" w:color="auto" w:fill="1B365D"/>
            <w:tcMar>
              <w:top w:w="100" w:type="dxa"/>
              <w:left w:w="120" w:type="dxa"/>
              <w:bottom w:w="100" w:type="dxa"/>
              <w:right w:w="120" w:type="dxa"/>
            </w:tcMar>
            <w:vAlign w:val="center"/>
          </w:tcPr>
          <w:p w14:paraId="062387BC" w14:textId="77777777" w:rsidR="00FA57A0" w:rsidRDefault="00000000">
            <w:pPr>
              <w:jc w:val="center"/>
            </w:pPr>
            <w:r>
              <w:rPr>
                <w:b/>
                <w:color w:val="FFFFFF"/>
                <w:sz w:val="19"/>
              </w:rPr>
              <w:t>Hydrogeological Rationale &amp; Why It Is Used</w:t>
            </w:r>
          </w:p>
        </w:tc>
      </w:tr>
      <w:tr w:rsidR="00FA57A0" w14:paraId="000098E6" w14:textId="77777777">
        <w:trPr>
          <w:jc w:val="center"/>
        </w:trPr>
        <w:tc>
          <w:tcPr>
            <w:tcW w:w="2016"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510C2FD3" w14:textId="77777777" w:rsidR="00FA57A0" w:rsidRDefault="00000000">
            <w:r>
              <w:rPr>
                <w:sz w:val="18"/>
              </w:rPr>
              <w:t>latitude</w:t>
            </w:r>
          </w:p>
        </w:tc>
        <w:tc>
          <w:tcPr>
            <w:tcW w:w="1296"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5B9386FF" w14:textId="77777777" w:rsidR="00FA57A0" w:rsidRDefault="00000000">
            <w:r>
              <w:rPr>
                <w:sz w:val="18"/>
              </w:rPr>
              <w:t>Float (degrees N)</w:t>
            </w:r>
          </w:p>
        </w:tc>
        <w:tc>
          <w:tcPr>
            <w:tcW w:w="1584"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45AEBA34" w14:textId="77777777" w:rsidR="00FA57A0" w:rsidRDefault="00000000">
            <w:r>
              <w:rPr>
                <w:sz w:val="18"/>
              </w:rPr>
              <w:t>GPS / Station registry</w:t>
            </w:r>
          </w:p>
        </w:tc>
        <w:tc>
          <w:tcPr>
            <w:tcW w:w="4896"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5B2A475D" w14:textId="77777777" w:rsidR="00FA57A0" w:rsidRDefault="00000000">
            <w:r>
              <w:rPr>
                <w:sz w:val="18"/>
              </w:rPr>
              <w:t>Captures North-South geographic gradient, regional rainfall bands, and agricultural intensity.</w:t>
            </w:r>
          </w:p>
        </w:tc>
      </w:tr>
      <w:tr w:rsidR="00FA57A0" w14:paraId="512C0EAE" w14:textId="77777777">
        <w:trPr>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31F6686D" w14:textId="77777777" w:rsidR="00FA57A0" w:rsidRDefault="00000000">
            <w:r>
              <w:rPr>
                <w:sz w:val="18"/>
              </w:rPr>
              <w:t>longitude</w:t>
            </w:r>
          </w:p>
        </w:tc>
        <w:tc>
          <w:tcPr>
            <w:tcW w:w="1296"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5510F244" w14:textId="77777777" w:rsidR="00FA57A0" w:rsidRDefault="00000000">
            <w:r>
              <w:rPr>
                <w:sz w:val="18"/>
              </w:rPr>
              <w:t>Float (degrees E)</w:t>
            </w:r>
          </w:p>
        </w:tc>
        <w:tc>
          <w:tcPr>
            <w:tcW w:w="1584"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062B0C13" w14:textId="77777777" w:rsidR="00FA57A0" w:rsidRDefault="00000000">
            <w:r>
              <w:rPr>
                <w:sz w:val="18"/>
              </w:rPr>
              <w:t>GPS / Station registry</w:t>
            </w:r>
          </w:p>
        </w:tc>
        <w:tc>
          <w:tcPr>
            <w:tcW w:w="4896"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3C7AE18F" w14:textId="77777777" w:rsidR="00FA57A0" w:rsidRDefault="00000000">
            <w:r>
              <w:rPr>
                <w:sz w:val="18"/>
              </w:rPr>
              <w:t>Captures East-West climatic transitions: from coastal West Bengal to arid western Rajasthan.</w:t>
            </w:r>
          </w:p>
        </w:tc>
      </w:tr>
      <w:tr w:rsidR="00FA57A0" w14:paraId="36A73BBD" w14:textId="77777777">
        <w:trPr>
          <w:jc w:val="center"/>
        </w:trPr>
        <w:tc>
          <w:tcPr>
            <w:tcW w:w="2016"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23BF9FC" w14:textId="77777777" w:rsidR="00FA57A0" w:rsidRDefault="00000000">
            <w:r>
              <w:rPr>
                <w:sz w:val="18"/>
              </w:rPr>
              <w:t>groundwater_level_m</w:t>
            </w:r>
          </w:p>
        </w:tc>
        <w:tc>
          <w:tcPr>
            <w:tcW w:w="1296"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71F20B0A" w14:textId="77777777" w:rsidR="00FA57A0" w:rsidRDefault="00000000">
            <w:r>
              <w:rPr>
                <w:sz w:val="18"/>
              </w:rPr>
              <w:t>Float (metres below ground)</w:t>
            </w:r>
          </w:p>
        </w:tc>
        <w:tc>
          <w:tcPr>
            <w:tcW w:w="1584"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6D9E7E4F" w14:textId="77777777" w:rsidR="00FA57A0" w:rsidRDefault="00000000">
            <w:r>
              <w:rPr>
                <w:sz w:val="18"/>
              </w:rPr>
              <w:t>CGWB dipmeter / piezometer</w:t>
            </w:r>
          </w:p>
        </w:tc>
        <w:tc>
          <w:tcPr>
            <w:tcW w:w="4896"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74608A51" w14:textId="77777777" w:rsidR="00FA57A0" w:rsidRDefault="00000000">
            <w:r>
              <w:rPr>
                <w:sz w:val="18"/>
              </w:rPr>
              <w:t>Direct hydrological vulnerability indicator. Shallow aquifers (&lt;5m) are susceptible to surface runoff and sewage leaching; deep aquifers (&gt;15m) in arid zones suffer ancient mineral dissolution.</w:t>
            </w:r>
          </w:p>
        </w:tc>
      </w:tr>
      <w:tr w:rsidR="00FA57A0" w14:paraId="33B0DEA5" w14:textId="77777777">
        <w:trPr>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48AB944E" w14:textId="77777777" w:rsidR="00FA57A0" w:rsidRDefault="00000000">
            <w:r>
              <w:rPr>
                <w:sz w:val="18"/>
              </w:rPr>
              <w:t>state_encoded</w:t>
            </w:r>
          </w:p>
        </w:tc>
        <w:tc>
          <w:tcPr>
            <w:tcW w:w="1296"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79655B95" w14:textId="77777777" w:rsidR="00FA57A0" w:rsidRDefault="00000000">
            <w:r>
              <w:rPr>
                <w:sz w:val="18"/>
              </w:rPr>
              <w:t>Integer (0 to 4)</w:t>
            </w:r>
          </w:p>
        </w:tc>
        <w:tc>
          <w:tcPr>
            <w:tcW w:w="1584"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40776EDF" w14:textId="77777777" w:rsidR="00FA57A0" w:rsidRDefault="00000000">
            <w:r>
              <w:rPr>
                <w:sz w:val="18"/>
              </w:rPr>
              <w:t>Administrative metadata</w:t>
            </w:r>
          </w:p>
        </w:tc>
        <w:tc>
          <w:tcPr>
            <w:tcW w:w="4896"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40E531B6" w14:textId="77777777" w:rsidR="00FA57A0" w:rsidRDefault="00000000">
            <w:r>
              <w:rPr>
                <w:sz w:val="18"/>
              </w:rPr>
              <w:t>Encodes macro-geological terrain (Basaltic Deccan Traps, Alluvial plains, Granitic shield, Desert).</w:t>
            </w:r>
          </w:p>
        </w:tc>
      </w:tr>
      <w:tr w:rsidR="00FA57A0" w14:paraId="656554B0" w14:textId="77777777">
        <w:trPr>
          <w:jc w:val="center"/>
        </w:trPr>
        <w:tc>
          <w:tcPr>
            <w:tcW w:w="2016"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35A3D61" w14:textId="77777777" w:rsidR="00FA57A0" w:rsidRDefault="00000000">
            <w:r>
              <w:rPr>
                <w:sz w:val="18"/>
              </w:rPr>
              <w:t>district_encoded</w:t>
            </w:r>
          </w:p>
        </w:tc>
        <w:tc>
          <w:tcPr>
            <w:tcW w:w="1296"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57F1791F" w14:textId="77777777" w:rsidR="00FA57A0" w:rsidRDefault="00000000">
            <w:r>
              <w:rPr>
                <w:sz w:val="18"/>
              </w:rPr>
              <w:t>Integer (0 to 44)</w:t>
            </w:r>
          </w:p>
        </w:tc>
        <w:tc>
          <w:tcPr>
            <w:tcW w:w="1584"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65C06DA8" w14:textId="77777777" w:rsidR="00FA57A0" w:rsidRDefault="00000000">
            <w:r>
              <w:rPr>
                <w:sz w:val="18"/>
              </w:rPr>
              <w:t>Administrative metadata</w:t>
            </w:r>
          </w:p>
        </w:tc>
        <w:tc>
          <w:tcPr>
            <w:tcW w:w="4896"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23BA63E" w14:textId="77777777" w:rsidR="00FA57A0" w:rsidRDefault="00000000">
            <w:r>
              <w:rPr>
                <w:sz w:val="18"/>
              </w:rPr>
              <w:t>Encodes meso-level hydrogeological stress, local industrial density, and municipal agricultural practices.</w:t>
            </w:r>
          </w:p>
        </w:tc>
      </w:tr>
    </w:tbl>
    <w:p w14:paraId="7B6EDEAB" w14:textId="77777777" w:rsidR="00FA57A0" w:rsidRDefault="00FA57A0">
      <w:pPr>
        <w:spacing w:after="80"/>
      </w:pPr>
    </w:p>
    <w:p w14:paraId="5E6FAC0D" w14:textId="77777777" w:rsidR="00740FAF" w:rsidRDefault="00740FAF">
      <w:pPr>
        <w:pStyle w:val="Heading1"/>
      </w:pPr>
    </w:p>
    <w:p w14:paraId="111DA3D4" w14:textId="77777777" w:rsidR="00740FAF" w:rsidRDefault="00740FAF">
      <w:pPr>
        <w:pStyle w:val="Heading1"/>
      </w:pPr>
    </w:p>
    <w:p w14:paraId="67613430" w14:textId="7D2860FC" w:rsidR="00FA57A0" w:rsidRDefault="00000000">
      <w:pPr>
        <w:pStyle w:val="Heading1"/>
      </w:pPr>
      <w:r>
        <w:t>5. Deep-Dive into Machine Learning Techniques &amp; Formulations</w:t>
      </w:r>
    </w:p>
    <w:p w14:paraId="171C0F33" w14:textId="77777777" w:rsidR="00FA57A0" w:rsidRDefault="00000000">
      <w:r>
        <w:t>HydroScope integrates supervised learning, unsupervised spatial clustering, unsupervised anomaly detection, probabilistic causal networks, and active learning into an interconnected, multi-stage machine learning system:</w:t>
      </w:r>
    </w:p>
    <w:p w14:paraId="2A7FD160" w14:textId="77777777" w:rsidR="00FA57A0" w:rsidRDefault="00000000">
      <w:pPr>
        <w:pStyle w:val="Heading2"/>
      </w:pPr>
      <w:r>
        <w:t>5.1 Class Imbalance Mitigation via SMOTE</w:t>
      </w:r>
    </w:p>
    <w:p w14:paraId="04900C0C" w14:textId="77777777" w:rsidR="00FA57A0" w:rsidRDefault="00000000">
      <w:r>
        <w:t>The dataset displays severe class imbalance: only ~5.59% of observations exceed the high-EC threshold (2,063 positive contamination cases vs 34,859 negative cases). Standard machine learning algorithms optimize for global accuracy, causing classifiers to default to predicting the majority 'clean' class, failing to detect contaminated drinking water sources.</w:t>
      </w:r>
    </w:p>
    <w:p w14:paraId="252AD65E" w14:textId="77777777" w:rsidR="00FA57A0" w:rsidRDefault="00000000">
      <w:pPr>
        <w:pStyle w:val="ListBullet"/>
        <w:spacing w:after="60"/>
      </w:pPr>
      <w:r>
        <w:rPr>
          <w:b/>
          <w:color w:val="1B365D"/>
        </w:rPr>
        <w:t xml:space="preserve">SMOTE Mechanism: </w:t>
      </w:r>
      <w:r>
        <w:t>Synthetic Minority Over-sampling Technique (SMOTE) is employed with k_neighbors=5. For each minority class sample x_i, SMOTE identifies its k-nearest neighbors belonging to the same class using Euclidean distance in the 5-dimensional feature space. A neighbor x_zi is randomly chosen, and a synthetic instance is generated along the line segment joining them: x_new = x_i + lambda * (x_zi - x_i), where lambda is a uniform random variable between 0 and 1.</w:t>
      </w:r>
    </w:p>
    <w:p w14:paraId="776E9BDA" w14:textId="77777777" w:rsidR="00FA57A0" w:rsidRDefault="00000000">
      <w:pPr>
        <w:pStyle w:val="ListBullet"/>
        <w:spacing w:after="60"/>
      </w:pPr>
      <w:r>
        <w:rPr>
          <w:b/>
          <w:color w:val="1B365D"/>
        </w:rPr>
        <w:t xml:space="preserve">Leakage Prevention: </w:t>
      </w:r>
      <w:r>
        <w:t>Crucially, SMOTE is applied exclusively to the training split (80% train, 20% stratified test) via an imbalanced-learn Pipeline. Synthetic samples are never introduced into the test set, ensuring that model evaluation reflects the true real-world imbalanced distribution.</w:t>
      </w:r>
    </w:p>
    <w:p w14:paraId="695DF3E0" w14:textId="77777777" w:rsidR="00FA57A0" w:rsidRDefault="00000000">
      <w:pPr>
        <w:pStyle w:val="Heading2"/>
      </w:pPr>
      <w:r>
        <w:t>5.2 Ensemble Risk Classification (Random Forest &amp; AdaBoost)</w:t>
      </w:r>
    </w:p>
    <w:p w14:paraId="5461D7FA" w14:textId="77777777" w:rsidR="00FA57A0" w:rsidRDefault="00000000">
      <w:r>
        <w:t>Two high-performing ensemble architectures and one baseline model were implemented and benchmarked:</w:t>
      </w:r>
    </w:p>
    <w:p w14:paraId="48A77879" w14:textId="77777777" w:rsidR="00FA57A0" w:rsidRDefault="00000000">
      <w:pPr>
        <w:pStyle w:val="ListBullet"/>
        <w:spacing w:after="60"/>
      </w:pPr>
      <w:r>
        <w:rPr>
          <w:b/>
          <w:color w:val="1B365D"/>
        </w:rPr>
        <w:t xml:space="preserve">1. Random Forest Classifier + SMOTE (Primary Model): </w:t>
      </w:r>
      <w:r>
        <w:t>An ensemble of 200 de-correlated Decision Trees with max_depth=12. Each tree is trained on a bootstrap sample of the oversampled training data with randomized feature subspace sampling (sqrt(p)). Internal class weights are set to 'balanced' to further penalize minority misclassification. Aggregated probability predictions: P(y=1|x) = (1/T) * sum(h_t(x)).</w:t>
      </w:r>
    </w:p>
    <w:p w14:paraId="5BC58DF3" w14:textId="77777777" w:rsidR="00FA57A0" w:rsidRDefault="00000000">
      <w:pPr>
        <w:pStyle w:val="ListBullet"/>
        <w:spacing w:after="60"/>
      </w:pPr>
      <w:r>
        <w:rPr>
          <w:b/>
          <w:color w:val="1B365D"/>
        </w:rPr>
        <w:t xml:space="preserve">2. AdaBoost Classifier + SMOTE (Secondary Model): </w:t>
      </w:r>
      <w:r>
        <w:t>An Adaptive Boosting ensemble of 150 sequential decision stumps with learning_rate=0.5. AdaBoost iteratively adjusts sample weights after each round: samples misclassified by the current stump receive increased weights w_i^(m+1) = w_i^(m) * exp(alpha_m * I(y_i != h_m(x_i))), forcing successive estimators to concentrate on difficult, hard-to-classify wells near the decision boundary.</w:t>
      </w:r>
    </w:p>
    <w:p w14:paraId="44E394DE" w14:textId="77777777" w:rsidR="00FA57A0" w:rsidRDefault="00000000">
      <w:pPr>
        <w:pStyle w:val="ListBullet"/>
        <w:spacing w:after="60"/>
      </w:pPr>
      <w:r>
        <w:rPr>
          <w:b/>
          <w:color w:val="1B365D"/>
        </w:rPr>
        <w:t xml:space="preserve">3. K-Nearest Neighbours (Baseline): </w:t>
      </w:r>
      <w:r>
        <w:t>A non-parametric KNN classifier (k=7) without SMOTE, serving as the empirical baseline.</w:t>
      </w:r>
    </w:p>
    <w:p w14:paraId="69D2F092" w14:textId="77777777" w:rsidR="00FA57A0" w:rsidRDefault="00000000">
      <w:pPr>
        <w:pStyle w:val="Heading3"/>
      </w:pPr>
      <w:r>
        <w:t>Cost-Sensitive Business Evaluation Matrix</w:t>
      </w:r>
    </w:p>
    <w:p w14:paraId="5C640EC4" w14:textId="77777777" w:rsidR="00FA57A0" w:rsidRDefault="00000000">
      <w:r>
        <w:t>In water contamination surveillance, standard 0.5 classification thresholds are mathematically flawed because False Negatives and False Positives have drastically unequal real-world costs. Missing a contaminated well (False Negative) leads to prolonged human consumption of saline, toxic water, causing severe public health illness. Conversely, falsely flagging a clean well (False Positive) merely results in a redundant physical lab test ($10).</w:t>
      </w:r>
    </w:p>
    <w:p w14:paraId="05976D78" w14:textId="77777777" w:rsidR="00FA57A0" w:rsidRDefault="00000000">
      <w:r>
        <w:t>HydroScope formalizes this asymmetry via an operational cost function: Total Cost = 100 * FN + 10 * FP. A cost-sensitive threshold search across the ROC curve proves that lowering the operational decision threshold to ~0.24 minimizes aggregate societal risk while preserving strong precision. Random Forest achieved a top ROC-AUC of 0.922 and Average Precision of 0.684.</w:t>
      </w:r>
    </w:p>
    <w:p w14:paraId="1D4F362A" w14:textId="77777777" w:rsidR="00FA57A0" w:rsidRDefault="00000000">
      <w:pPr>
        <w:pStyle w:val="Heading2"/>
      </w:pPr>
      <w:r>
        <w:lastRenderedPageBreak/>
        <w:t>5.3 Hydro-Geological Clustering (DBSCAN &amp; Agglomerative)</w:t>
      </w:r>
    </w:p>
    <w:p w14:paraId="02DDAB20" w14:textId="77777777" w:rsidR="00FA57A0" w:rsidRDefault="00000000">
      <w:r>
        <w:t>Groundwater is a continuous spatial medium governed by regional geology, recharge basins, and topographical aquifers. To avoid comparing a desert well in Jodhpur with a coastal delta well in West Bengal, HydroScope partitions the monitoring network into localized hydro-geological cohorts:</w:t>
      </w:r>
    </w:p>
    <w:p w14:paraId="0CFA9124" w14:textId="77777777" w:rsidR="00FA57A0" w:rsidRDefault="00000000" w:rsidP="00C85821">
      <w:pPr>
        <w:pStyle w:val="ListBullet"/>
        <w:spacing w:after="60"/>
        <w:ind w:left="720" w:hanging="720"/>
      </w:pPr>
      <w:r>
        <w:rPr>
          <w:b/>
          <w:color w:val="1B365D"/>
        </w:rPr>
        <w:t xml:space="preserve">DBSCAN (Density-Based Spatial Clustering): </w:t>
      </w:r>
      <w:r>
        <w:t>Configured with eps=0.35 and min_samples=10 on StandardScaler-normalized features. Unlike K-Means (which artificially imposes spherical shapes), DBSCAN identifies arbitrary, natural geographic shapes following river valleys, fault lines, and coastal strips. Wells in sparse, isolated regions are designated as noise (Cluster -1) rather than forced into unnatural groups. DBSCAN generated 39 distinct hydrogeological clusters across the 5 states.</w:t>
      </w:r>
    </w:p>
    <w:p w14:paraId="039ED37F" w14:textId="77777777" w:rsidR="00FA57A0" w:rsidRDefault="00000000">
      <w:pPr>
        <w:pStyle w:val="ListBullet"/>
        <w:spacing w:after="60"/>
      </w:pPr>
      <w:r>
        <w:rPr>
          <w:b/>
          <w:color w:val="1B365D"/>
        </w:rPr>
        <w:t xml:space="preserve">Agglomerative Hierarchical Clustering: </w:t>
      </w:r>
      <w:r>
        <w:t>Used in parallel with Ward's minimum-variance linkage to construct an 8-cluster macro-regional dendrogram, providing a broad regional hierarchy for state-level monitoring.</w:t>
      </w:r>
    </w:p>
    <w:p w14:paraId="7F246931" w14:textId="77777777" w:rsidR="00FA57A0" w:rsidRDefault="00000000">
      <w:pPr>
        <w:pStyle w:val="Heading2"/>
      </w:pPr>
      <w:r>
        <w:t>5.4 Within-Cluster Anomaly Detection (Isolation Forest)</w:t>
      </w:r>
    </w:p>
    <w:p w14:paraId="32E48B58" w14:textId="77777777" w:rsidR="00FA57A0" w:rsidRDefault="00000000">
      <w:r>
        <w:t>A standard global anomaly detector is ineffective in nationwide hydrogeology: deep water tables in Rajasthan would be flagged as 'anomalies' simply because the rest of India has shallower water. HydroScope introduces a **Within-Cluster Anomaly Detection** architecture:</w:t>
      </w:r>
    </w:p>
    <w:p w14:paraId="04C27C60" w14:textId="77777777" w:rsidR="00FA57A0" w:rsidRDefault="00000000">
      <w:pPr>
        <w:pStyle w:val="ListBullet"/>
        <w:spacing w:after="60"/>
      </w:pPr>
      <w:r>
        <w:rPr>
          <w:b/>
          <w:color w:val="1B365D"/>
        </w:rPr>
        <w:t xml:space="preserve">Localized Isolation Forest: </w:t>
      </w:r>
      <w:r>
        <w:t>An ensemble of 200 Isolation Trees runs independently inside each sufficiently sized DBSCAN cluster (clusters with &gt;=20 wells). Isolation Forest isolates anomalous points by randomly selecting a feature and a random split value between the min and max values of that feature.</w:t>
      </w:r>
    </w:p>
    <w:p w14:paraId="342A1457" w14:textId="77777777" w:rsidR="00FA57A0" w:rsidRDefault="00000000">
      <w:pPr>
        <w:pStyle w:val="ListBullet"/>
        <w:spacing w:after="60"/>
      </w:pPr>
      <w:r>
        <w:rPr>
          <w:b/>
          <w:color w:val="1B365D"/>
        </w:rPr>
        <w:t xml:space="preserve">Path Length Anomaly Scoring: </w:t>
      </w:r>
      <w:r>
        <w:t>Because anomalies deviate significantly from their local cluster peers, they require fewer random recursive partitions to be isolated. The anomaly score is computed as: s(x, n) = 2^(- E(h(x)) / c(n)), where h(x) is the tree path length and c(n) is the average path length of unsuccessful searches in a Binary Search Tree. Wells with negative decision scores are flagged as local hydrogeological outliers (is_anomaly = 1). Across the network, 1,749 wells (4.74%) were detected as local anomalies.</w:t>
      </w:r>
    </w:p>
    <w:p w14:paraId="4D5B208D" w14:textId="77777777" w:rsidR="00FA57A0" w:rsidRDefault="00000000">
      <w:pPr>
        <w:pStyle w:val="Heading2"/>
      </w:pPr>
      <w:r>
        <w:t>5.5 Bayesian Belief Network (Causal Probabilistic Reasoning)</w:t>
      </w:r>
    </w:p>
    <w:p w14:paraId="3BFC9DFC" w14:textId="77777777" w:rsidR="00FA57A0" w:rsidRDefault="00000000">
      <w:r>
        <w:t>To provide field teams and environmental engineers with transparent, explainable recommendations, HydroScope incorporates a discrete Bayesian Belief Network (BBN) implemented in pgmpy. The BBN encodes expert causal domain knowledge into a Directed Acyclic Graph (DAG):</w:t>
      </w:r>
    </w:p>
    <w:tbl>
      <w:tblPr>
        <w:tblStyle w:val="TableGrid"/>
        <w:tblW w:w="0" w:type="auto"/>
        <w:jc w:val="center"/>
        <w:tblLook w:val="04A0" w:firstRow="1" w:lastRow="0" w:firstColumn="1" w:lastColumn="0" w:noHBand="0" w:noVBand="1"/>
      </w:tblPr>
      <w:tblGrid>
        <w:gridCol w:w="2160"/>
        <w:gridCol w:w="2880"/>
        <w:gridCol w:w="4752"/>
      </w:tblGrid>
      <w:tr w:rsidR="00FA57A0" w14:paraId="28732627"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1B365D"/>
            <w:tcMar>
              <w:top w:w="100" w:type="dxa"/>
              <w:left w:w="120" w:type="dxa"/>
              <w:bottom w:w="100" w:type="dxa"/>
              <w:right w:w="120" w:type="dxa"/>
            </w:tcMar>
            <w:vAlign w:val="center"/>
          </w:tcPr>
          <w:p w14:paraId="6545A170" w14:textId="77777777" w:rsidR="00FA57A0" w:rsidRDefault="00000000">
            <w:pPr>
              <w:jc w:val="center"/>
            </w:pPr>
            <w:r>
              <w:rPr>
                <w:b/>
                <w:color w:val="FFFFFF"/>
                <w:sz w:val="19"/>
              </w:rPr>
              <w:t>Causal Parent Node</w:t>
            </w:r>
          </w:p>
        </w:tc>
        <w:tc>
          <w:tcPr>
            <w:tcW w:w="2880" w:type="dxa"/>
            <w:tcBorders>
              <w:top w:val="single" w:sz="4" w:space="0" w:color="CBD5E1"/>
              <w:left w:val="single" w:sz="4" w:space="0" w:color="CBD5E1"/>
              <w:bottom w:val="single" w:sz="4" w:space="0" w:color="CBD5E1"/>
              <w:right w:val="single" w:sz="4" w:space="0" w:color="CBD5E1"/>
            </w:tcBorders>
            <w:shd w:val="clear" w:color="auto" w:fill="1B365D"/>
            <w:tcMar>
              <w:top w:w="100" w:type="dxa"/>
              <w:left w:w="120" w:type="dxa"/>
              <w:bottom w:w="100" w:type="dxa"/>
              <w:right w:w="120" w:type="dxa"/>
            </w:tcMar>
            <w:vAlign w:val="center"/>
          </w:tcPr>
          <w:p w14:paraId="3B4F3E2C" w14:textId="77777777" w:rsidR="00FA57A0" w:rsidRDefault="00000000">
            <w:pPr>
              <w:jc w:val="center"/>
            </w:pPr>
            <w:r>
              <w:rPr>
                <w:b/>
                <w:color w:val="FFFFFF"/>
                <w:sz w:val="19"/>
              </w:rPr>
              <w:t>States Discretization</w:t>
            </w:r>
          </w:p>
        </w:tc>
        <w:tc>
          <w:tcPr>
            <w:tcW w:w="4752" w:type="dxa"/>
            <w:tcBorders>
              <w:top w:val="single" w:sz="4" w:space="0" w:color="CBD5E1"/>
              <w:left w:val="single" w:sz="4" w:space="0" w:color="CBD5E1"/>
              <w:bottom w:val="single" w:sz="4" w:space="0" w:color="CBD5E1"/>
              <w:right w:val="single" w:sz="4" w:space="0" w:color="CBD5E1"/>
            </w:tcBorders>
            <w:shd w:val="clear" w:color="auto" w:fill="1B365D"/>
            <w:tcMar>
              <w:top w:w="100" w:type="dxa"/>
              <w:left w:w="120" w:type="dxa"/>
              <w:bottom w:w="100" w:type="dxa"/>
              <w:right w:w="120" w:type="dxa"/>
            </w:tcMar>
            <w:vAlign w:val="center"/>
          </w:tcPr>
          <w:p w14:paraId="6A10FAD1" w14:textId="77777777" w:rsidR="00FA57A0" w:rsidRDefault="00000000">
            <w:pPr>
              <w:jc w:val="center"/>
            </w:pPr>
            <w:r>
              <w:rPr>
                <w:b/>
                <w:color w:val="FFFFFF"/>
                <w:sz w:val="19"/>
              </w:rPr>
              <w:t>Expert Causal Hydrogeological Mechanism</w:t>
            </w:r>
          </w:p>
        </w:tc>
      </w:tr>
      <w:tr w:rsidR="00FA57A0" w14:paraId="5974CB9A" w14:textId="77777777">
        <w:trPr>
          <w:jc w:val="center"/>
        </w:trPr>
        <w:tc>
          <w:tcPr>
            <w:tcW w:w="21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648B742B" w14:textId="77777777" w:rsidR="00FA57A0" w:rsidRDefault="00000000">
            <w:r>
              <w:rPr>
                <w:sz w:val="18"/>
              </w:rPr>
              <w:t>bbn_state</w:t>
            </w:r>
          </w:p>
        </w:tc>
        <w:tc>
          <w:tcPr>
            <w:tcW w:w="288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54F472D5" w14:textId="77777777" w:rsidR="00FA57A0" w:rsidRDefault="00000000">
            <w:r>
              <w:rPr>
                <w:sz w:val="18"/>
              </w:rPr>
              <w:t>0=MH, 1=AP, 2=WB, 3=RJ, 4=GJ</w:t>
            </w:r>
          </w:p>
        </w:tc>
        <w:tc>
          <w:tcPr>
            <w:tcW w:w="4752"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40E62DB8" w14:textId="77777777" w:rsidR="00FA57A0" w:rsidRDefault="00000000">
            <w:r>
              <w:rPr>
                <w:sz w:val="18"/>
              </w:rPr>
              <w:t>Encodes macro-scale bedrock lithology (e.g. marine sediments vs basalt).</w:t>
            </w:r>
          </w:p>
        </w:tc>
      </w:tr>
      <w:tr w:rsidR="00FA57A0" w14:paraId="253591B9"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70B3B207" w14:textId="77777777" w:rsidR="00FA57A0" w:rsidRDefault="00000000">
            <w:r>
              <w:rPr>
                <w:sz w:val="18"/>
              </w:rPr>
              <w:t>bbn_gwl_depth</w:t>
            </w:r>
          </w:p>
        </w:tc>
        <w:tc>
          <w:tcPr>
            <w:tcW w:w="2880"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38C1A3A4" w14:textId="77777777" w:rsidR="00FA57A0" w:rsidRDefault="00000000">
            <w:r>
              <w:rPr>
                <w:sz w:val="18"/>
              </w:rPr>
              <w:t>0=Shallow (&lt;5m), 1=Med (5-15m), 2=Deep (&gt;15m)</w:t>
            </w:r>
          </w:p>
        </w:tc>
        <w:tc>
          <w:tcPr>
            <w:tcW w:w="4752"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77AF9009" w14:textId="77777777" w:rsidR="00FA57A0" w:rsidRDefault="00000000">
            <w:r>
              <w:rPr>
                <w:sz w:val="18"/>
              </w:rPr>
              <w:t>Shallow wells suffer high surface runoff/sewage infiltration; deep wells suffer rock dissolution.</w:t>
            </w:r>
          </w:p>
        </w:tc>
      </w:tr>
      <w:tr w:rsidR="00FA57A0" w14:paraId="2D6149FE" w14:textId="77777777">
        <w:trPr>
          <w:jc w:val="center"/>
        </w:trPr>
        <w:tc>
          <w:tcPr>
            <w:tcW w:w="21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32421C7" w14:textId="77777777" w:rsidR="00FA57A0" w:rsidRDefault="00000000">
            <w:r>
              <w:rPr>
                <w:sz w:val="18"/>
              </w:rPr>
              <w:t>bbn_district_urban</w:t>
            </w:r>
          </w:p>
        </w:tc>
        <w:tc>
          <w:tcPr>
            <w:tcW w:w="288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6C309247" w14:textId="77777777" w:rsidR="00FA57A0" w:rsidRDefault="00000000">
            <w:r>
              <w:rPr>
                <w:sz w:val="18"/>
              </w:rPr>
              <w:t>0=Rural (low mean EC), 1=Urban/Industrial</w:t>
            </w:r>
          </w:p>
        </w:tc>
        <w:tc>
          <w:tcPr>
            <w:tcW w:w="4752"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E689678" w14:textId="77777777" w:rsidR="00FA57A0" w:rsidRDefault="00000000">
            <w:r>
              <w:rPr>
                <w:sz w:val="18"/>
              </w:rPr>
              <w:t>Districts with heavy municipal effluent and agrochemicals have higher baseline ion loads.</w:t>
            </w:r>
          </w:p>
        </w:tc>
      </w:tr>
      <w:tr w:rsidR="00FA57A0" w14:paraId="1F9114FA"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08606B4B" w14:textId="77777777" w:rsidR="00FA57A0" w:rsidRDefault="00000000">
            <w:r>
              <w:rPr>
                <w:sz w:val="18"/>
              </w:rPr>
              <w:t>bbn_cluster_risk</w:t>
            </w:r>
          </w:p>
        </w:tc>
        <w:tc>
          <w:tcPr>
            <w:tcW w:w="2880"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7600E3CD" w14:textId="77777777" w:rsidR="00FA57A0" w:rsidRDefault="00000000">
            <w:r>
              <w:rPr>
                <w:sz w:val="18"/>
              </w:rPr>
              <w:t>0=Low (&lt;10% cluster contam), 1=High (&gt;=10%)</w:t>
            </w:r>
          </w:p>
        </w:tc>
        <w:tc>
          <w:tcPr>
            <w:tcW w:w="4752"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1B301B39" w14:textId="77777777" w:rsidR="00FA57A0" w:rsidRDefault="00000000">
            <w:r>
              <w:rPr>
                <w:sz w:val="18"/>
              </w:rPr>
              <w:t>Regional geological contamination prior: an aquifer in a contaminated cluster has higher risk.</w:t>
            </w:r>
          </w:p>
        </w:tc>
      </w:tr>
      <w:tr w:rsidR="00FA57A0" w14:paraId="18C57972" w14:textId="77777777">
        <w:trPr>
          <w:jc w:val="center"/>
        </w:trPr>
        <w:tc>
          <w:tcPr>
            <w:tcW w:w="21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BDE884C" w14:textId="77777777" w:rsidR="00FA57A0" w:rsidRDefault="00000000">
            <w:r>
              <w:rPr>
                <w:sz w:val="18"/>
              </w:rPr>
              <w:t>bbn_anomaly</w:t>
            </w:r>
          </w:p>
        </w:tc>
        <w:tc>
          <w:tcPr>
            <w:tcW w:w="288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431F9E68" w14:textId="77777777" w:rsidR="00FA57A0" w:rsidRDefault="00000000">
            <w:r>
              <w:rPr>
                <w:sz w:val="18"/>
              </w:rPr>
              <w:t>0=Normal well, 1=Isolation Forest Anomaly</w:t>
            </w:r>
          </w:p>
        </w:tc>
        <w:tc>
          <w:tcPr>
            <w:tcW w:w="4752"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F0CCA9B" w14:textId="77777777" w:rsidR="00FA57A0" w:rsidRDefault="00000000">
            <w:r>
              <w:rPr>
                <w:sz w:val="18"/>
              </w:rPr>
              <w:t>A well deviating from its local cluster peers indicates localized contamination or casing failure.</w:t>
            </w:r>
          </w:p>
        </w:tc>
      </w:tr>
      <w:tr w:rsidR="00FA57A0" w14:paraId="577AF1D4"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6AD0DBC9" w14:textId="77777777" w:rsidR="00FA57A0" w:rsidRDefault="00000000">
            <w:r>
              <w:rPr>
                <w:sz w:val="18"/>
              </w:rPr>
              <w:t>bbn_high_ec (Target)</w:t>
            </w:r>
          </w:p>
        </w:tc>
        <w:tc>
          <w:tcPr>
            <w:tcW w:w="2880"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698C91E6" w14:textId="77777777" w:rsidR="00FA57A0" w:rsidRDefault="00000000">
            <w:r>
              <w:rPr>
                <w:sz w:val="18"/>
              </w:rPr>
              <w:t xml:space="preserve">0=Clean (EC &lt;= 3000), </w:t>
            </w:r>
            <w:r>
              <w:rPr>
                <w:sz w:val="18"/>
              </w:rPr>
              <w:lastRenderedPageBreak/>
              <w:t>1=Contaminated (EC &gt; 3000)</w:t>
            </w:r>
          </w:p>
        </w:tc>
        <w:tc>
          <w:tcPr>
            <w:tcW w:w="4752"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50C60357" w14:textId="77777777" w:rsidR="00FA57A0" w:rsidRDefault="00000000">
            <w:r>
              <w:rPr>
                <w:sz w:val="18"/>
              </w:rPr>
              <w:lastRenderedPageBreak/>
              <w:t>Target child node conditioned on all five causal parent nodes.</w:t>
            </w:r>
          </w:p>
        </w:tc>
      </w:tr>
    </w:tbl>
    <w:p w14:paraId="229C27F6" w14:textId="77777777" w:rsidR="00FA57A0" w:rsidRDefault="00FA57A0">
      <w:pPr>
        <w:spacing w:after="80"/>
      </w:pPr>
    </w:p>
    <w:p w14:paraId="5BB5C8F4" w14:textId="77777777" w:rsidR="00FA57A0" w:rsidRDefault="00000000">
      <w:r>
        <w:t>The Conditional Probability Tables (CPTs) are parameterized via Maximum Likelihood Estimation (MLE) directly from complete observations. Exact probabilistic inference is executed using Variable Elimination: P(HighEC | Evidence). For example, a well in Krishna, AP with shallow depth (&lt;5m), in an urban district, within a high-risk cluster yields P(Contaminated) = 20.6% (a 4x risk increase over the baseline rate), triggering an automated plain-language audit trail: '[!] PRIORITISE FOR TESTING - High cluster prevalence &amp; shallow depth exposure'.</w:t>
      </w:r>
    </w:p>
    <w:p w14:paraId="67EB2882" w14:textId="77777777" w:rsidR="00FA57A0" w:rsidRDefault="00000000">
      <w:pPr>
        <w:pStyle w:val="Heading2"/>
      </w:pPr>
      <w:r>
        <w:t>5.6 Active Learning Surveillance Engine &amp; Budget Optimization</w:t>
      </w:r>
    </w:p>
    <w:p w14:paraId="437DE455" w14:textId="77777777" w:rsidR="00FA57A0" w:rsidRDefault="00000000">
      <w:r>
        <w:t>Active Learning is the crowning component of HydroScope. In standard ML, training stops after fitting a test set. In active surveillance, the model continually directs the physical laboratory collection process month by month to acquire the most informative labels:</w:t>
      </w:r>
    </w:p>
    <w:p w14:paraId="4FAD7A4D" w14:textId="77777777" w:rsidR="00FA57A0" w:rsidRDefault="00000000">
      <w:pPr>
        <w:pStyle w:val="ListBullet"/>
        <w:spacing w:after="60"/>
      </w:pPr>
      <w:r>
        <w:rPr>
          <w:b/>
          <w:color w:val="1B365D"/>
        </w:rPr>
        <w:t xml:space="preserve">1. Epistemic Uncertainty Sampling (Shannon Entropy): </w:t>
      </w:r>
      <w:r>
        <w:t>Points near the classifier decision boundary (pred_prob ~ 0.5) represent maximum model confusion. Shannon Entropy is computed as: H(p) = - [p * log2(p) + (1-p) * log2(1-p)], normalized between 0 and 1. Wells with high entropy maximize information gain when physically tested and added to the labeled pool.</w:t>
      </w:r>
    </w:p>
    <w:p w14:paraId="4D39CB9E" w14:textId="77777777" w:rsidR="00FA57A0" w:rsidRDefault="00000000">
      <w:pPr>
        <w:pStyle w:val="ListBullet"/>
        <w:spacing w:after="60"/>
      </w:pPr>
      <w:r>
        <w:rPr>
          <w:b/>
          <w:color w:val="1B365D"/>
        </w:rPr>
        <w:t xml:space="preserve">2. Hybrid Risk-Weighted Acquisition Function: </w:t>
      </w:r>
      <w:r>
        <w:t>Pure uncertainty sampling risks testing harmless borderline wells. HydroScope implements a multi-objective surveillance acquisition function: Priority Score = 0.50 * Entropy + 0.30 * P_BBN + 0.20 * Anomaly_Urgency. This prioritizes wells that simultaneously exhibit high epistemic uncertainty, elevated Bayesian causal prior risk, and high Isolation Forest anomaly deviance.</w:t>
      </w:r>
    </w:p>
    <w:p w14:paraId="3D45389A" w14:textId="77777777" w:rsidR="00FA57A0" w:rsidRDefault="00000000">
      <w:pPr>
        <w:pStyle w:val="ListBullet"/>
        <w:spacing w:after="60"/>
      </w:pPr>
      <w:r>
        <w:rPr>
          <w:b/>
          <w:color w:val="1B365D"/>
        </w:rPr>
        <w:t xml:space="preserve">3. Surveillance Simulation &amp; Empirical Proof: </w:t>
      </w:r>
      <w:r>
        <w:t>A sequential multi-round field simulation was implemented (8 monthly rounds, budget B=50 tests/round). At each round, Active Learning queries the top 50 highest-priority wells, while a baseline simulation queries 50 wells uniformly at random. Both models are retrained and evaluated on an independent held-out test set.</w:t>
      </w:r>
    </w:p>
    <w:p w14:paraId="23993B5F" w14:textId="77777777" w:rsidR="00FA57A0" w:rsidRDefault="00000000">
      <w:pPr>
        <w:pStyle w:val="ListBullet"/>
        <w:spacing w:after="60"/>
      </w:pPr>
      <w:r>
        <w:rPr>
          <w:b/>
          <w:color w:val="1B365D"/>
        </w:rPr>
        <w:t xml:space="preserve">Quantified Yield Lift: </w:t>
      </w:r>
      <w:r>
        <w:t>Across 400 total lab tests, Active Learning discovered 218 contaminated wells compared to only 200 found by random sampling — representing a **+9.0% direct gain in toxic contaminant detection** while rapidly improving classifier generalization (ROC-AUC 0.846+).</w:t>
      </w:r>
    </w:p>
    <w:p w14:paraId="488773AB" w14:textId="77777777" w:rsidR="00FA57A0" w:rsidRDefault="00000000">
      <w:pPr>
        <w:pStyle w:val="Heading1"/>
      </w:pPr>
      <w:r>
        <w:t>6. System Architecture &amp; Live Next.js Surveillance Platform</w:t>
      </w:r>
    </w:p>
    <w:p w14:paraId="0F6D3DE4" w14:textId="77777777" w:rsidR="00FA57A0" w:rsidRDefault="00000000">
      <w:r>
        <w:t>The HydroScope system is engineered as an end-to-end full-stack platform comprising a Python Machine Learning backend and an interactive Next.js 15 production web dashboard:</w:t>
      </w:r>
    </w:p>
    <w:tbl>
      <w:tblPr>
        <w:tblStyle w:val="TableGrid"/>
        <w:tblW w:w="0" w:type="auto"/>
        <w:jc w:val="center"/>
        <w:tblLook w:val="04A0" w:firstRow="1" w:lastRow="0" w:firstColumn="1" w:lastColumn="0" w:noHBand="0" w:noVBand="1"/>
      </w:tblPr>
      <w:tblGrid>
        <w:gridCol w:w="2016"/>
        <w:gridCol w:w="2880"/>
        <w:gridCol w:w="4896"/>
      </w:tblGrid>
      <w:tr w:rsidR="00FA57A0" w14:paraId="47A6D368" w14:textId="77777777">
        <w:trPr>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1B365D"/>
            <w:tcMar>
              <w:top w:w="100" w:type="dxa"/>
              <w:left w:w="120" w:type="dxa"/>
              <w:bottom w:w="100" w:type="dxa"/>
              <w:right w:w="120" w:type="dxa"/>
            </w:tcMar>
            <w:vAlign w:val="center"/>
          </w:tcPr>
          <w:p w14:paraId="6CEC1457" w14:textId="77777777" w:rsidR="00FA57A0" w:rsidRDefault="00000000">
            <w:pPr>
              <w:jc w:val="center"/>
            </w:pPr>
            <w:r>
              <w:rPr>
                <w:b/>
                <w:color w:val="FFFFFF"/>
                <w:sz w:val="19"/>
              </w:rPr>
              <w:t>Subsystem</w:t>
            </w:r>
          </w:p>
        </w:tc>
        <w:tc>
          <w:tcPr>
            <w:tcW w:w="2880" w:type="dxa"/>
            <w:tcBorders>
              <w:top w:val="single" w:sz="4" w:space="0" w:color="CBD5E1"/>
              <w:left w:val="single" w:sz="4" w:space="0" w:color="CBD5E1"/>
              <w:bottom w:val="single" w:sz="4" w:space="0" w:color="CBD5E1"/>
              <w:right w:val="single" w:sz="4" w:space="0" w:color="CBD5E1"/>
            </w:tcBorders>
            <w:shd w:val="clear" w:color="auto" w:fill="1B365D"/>
            <w:tcMar>
              <w:top w:w="100" w:type="dxa"/>
              <w:left w:w="120" w:type="dxa"/>
              <w:bottom w:w="100" w:type="dxa"/>
              <w:right w:w="120" w:type="dxa"/>
            </w:tcMar>
            <w:vAlign w:val="center"/>
          </w:tcPr>
          <w:p w14:paraId="37D53682" w14:textId="77777777" w:rsidR="00FA57A0" w:rsidRDefault="00000000">
            <w:pPr>
              <w:jc w:val="center"/>
            </w:pPr>
            <w:r>
              <w:rPr>
                <w:b/>
                <w:color w:val="FFFFFF"/>
                <w:sz w:val="19"/>
              </w:rPr>
              <w:t>Technologies Used</w:t>
            </w:r>
          </w:p>
        </w:tc>
        <w:tc>
          <w:tcPr>
            <w:tcW w:w="4896" w:type="dxa"/>
            <w:tcBorders>
              <w:top w:val="single" w:sz="4" w:space="0" w:color="CBD5E1"/>
              <w:left w:val="single" w:sz="4" w:space="0" w:color="CBD5E1"/>
              <w:bottom w:val="single" w:sz="4" w:space="0" w:color="CBD5E1"/>
              <w:right w:val="single" w:sz="4" w:space="0" w:color="CBD5E1"/>
            </w:tcBorders>
            <w:shd w:val="clear" w:color="auto" w:fill="1B365D"/>
            <w:tcMar>
              <w:top w:w="100" w:type="dxa"/>
              <w:left w:w="120" w:type="dxa"/>
              <w:bottom w:w="100" w:type="dxa"/>
              <w:right w:w="120" w:type="dxa"/>
            </w:tcMar>
            <w:vAlign w:val="center"/>
          </w:tcPr>
          <w:p w14:paraId="0998D818" w14:textId="77777777" w:rsidR="00FA57A0" w:rsidRDefault="00000000">
            <w:pPr>
              <w:jc w:val="center"/>
            </w:pPr>
            <w:r>
              <w:rPr>
                <w:b/>
                <w:color w:val="FFFFFF"/>
                <w:sz w:val="19"/>
              </w:rPr>
              <w:t>Architectural Role &amp; Key Features</w:t>
            </w:r>
          </w:p>
        </w:tc>
      </w:tr>
      <w:tr w:rsidR="00FA57A0" w14:paraId="4935616D" w14:textId="77777777">
        <w:trPr>
          <w:jc w:val="center"/>
        </w:trPr>
        <w:tc>
          <w:tcPr>
            <w:tcW w:w="2016"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66090995" w14:textId="77777777" w:rsidR="00FA57A0" w:rsidRDefault="00000000">
            <w:r>
              <w:rPr>
                <w:sz w:val="18"/>
              </w:rPr>
              <w:t>Python ML Pipeline</w:t>
            </w:r>
          </w:p>
        </w:tc>
        <w:tc>
          <w:tcPr>
            <w:tcW w:w="288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03C179F1" w14:textId="77777777" w:rsidR="00FA57A0" w:rsidRDefault="00000000">
            <w:r>
              <w:rPr>
                <w:sz w:val="18"/>
              </w:rPr>
              <w:t>Python 3.14 / 3.11, pandas, scikit-learn, imbalanced-learn, pgmpy</w:t>
            </w:r>
          </w:p>
        </w:tc>
        <w:tc>
          <w:tcPr>
            <w:tcW w:w="4896"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306FB9BD" w14:textId="77777777" w:rsidR="00FA57A0" w:rsidRDefault="00000000">
            <w:r>
              <w:rPr>
                <w:sz w:val="18"/>
              </w:rPr>
              <w:t>Executes Phases 1 to 6 via run_all.py: Ingestion, merging, data prep, SMOTE Random Forest/AdaBoost, DBSCAN, Isolation Forest, BBN inference, and Active Learning queue generation.</w:t>
            </w:r>
          </w:p>
        </w:tc>
      </w:tr>
      <w:tr w:rsidR="00FA57A0" w14:paraId="488290D4" w14:textId="77777777">
        <w:trPr>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1FE75D4E" w14:textId="77777777" w:rsidR="00FA57A0" w:rsidRDefault="00000000">
            <w:r>
              <w:rPr>
                <w:sz w:val="18"/>
              </w:rPr>
              <w:t>Live Data Bridge</w:t>
            </w:r>
          </w:p>
        </w:tc>
        <w:tc>
          <w:tcPr>
            <w:tcW w:w="2880"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09F3307D" w14:textId="77777777" w:rsidR="00FA57A0" w:rsidRDefault="00000000">
            <w:r>
              <w:rPr>
                <w:sz w:val="18"/>
              </w:rPr>
              <w:t>export_to_frontend.py, JSON serialization</w:t>
            </w:r>
          </w:p>
        </w:tc>
        <w:tc>
          <w:tcPr>
            <w:tcW w:w="4896"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5197D2E6" w14:textId="77777777" w:rsidR="00FA57A0" w:rsidRDefault="00000000">
            <w:r>
              <w:rPr>
                <w:sz w:val="18"/>
              </w:rPr>
              <w:t>Synchronizes the 36,922 evaluated wells, live KPIs, regional statistics, and top active learning queue into frontend/src/data/live_pipeline_data.json.</w:t>
            </w:r>
          </w:p>
        </w:tc>
      </w:tr>
      <w:tr w:rsidR="00FA57A0" w14:paraId="50043020" w14:textId="77777777">
        <w:trPr>
          <w:jc w:val="center"/>
        </w:trPr>
        <w:tc>
          <w:tcPr>
            <w:tcW w:w="2016"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53FAF599" w14:textId="77777777" w:rsidR="00FA57A0" w:rsidRDefault="00000000">
            <w:r>
              <w:rPr>
                <w:sz w:val="18"/>
              </w:rPr>
              <w:t>Surveillance UI</w:t>
            </w:r>
          </w:p>
        </w:tc>
        <w:tc>
          <w:tcPr>
            <w:tcW w:w="288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5DACCD97" w14:textId="77777777" w:rsidR="00FA57A0" w:rsidRDefault="00000000">
            <w:r>
              <w:rPr>
                <w:sz w:val="18"/>
              </w:rPr>
              <w:t>Next.js 15 (App Router), React 19, TypeScript, Tailwind CSS, Turbopack</w:t>
            </w:r>
          </w:p>
        </w:tc>
        <w:tc>
          <w:tcPr>
            <w:tcW w:w="4896"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4957FFFC" w14:textId="77777777" w:rsidR="00FA57A0" w:rsidRDefault="00000000">
            <w:r>
              <w:rPr>
                <w:sz w:val="18"/>
              </w:rPr>
              <w:t>Enterprise dashboard with dark-mode aesthetic, providing interactive monitoring across 7 dedicated application views.</w:t>
            </w:r>
          </w:p>
        </w:tc>
      </w:tr>
      <w:tr w:rsidR="00FA57A0" w14:paraId="113E2574" w14:textId="77777777">
        <w:trPr>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4BB723B3" w14:textId="77777777" w:rsidR="00FA57A0" w:rsidRDefault="00000000">
            <w:r>
              <w:rPr>
                <w:sz w:val="18"/>
              </w:rPr>
              <w:t>GIS Spatial Map</w:t>
            </w:r>
          </w:p>
        </w:tc>
        <w:tc>
          <w:tcPr>
            <w:tcW w:w="2880"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4BE16F54" w14:textId="77777777" w:rsidR="00FA57A0" w:rsidRDefault="00000000">
            <w:r>
              <w:rPr>
                <w:sz w:val="18"/>
              </w:rPr>
              <w:t xml:space="preserve">Leaflet, React-Leaflet, </w:t>
            </w:r>
            <w:r>
              <w:rPr>
                <w:sz w:val="18"/>
              </w:rPr>
              <w:lastRenderedPageBreak/>
              <w:t>OpenStreetMap</w:t>
            </w:r>
          </w:p>
        </w:tc>
        <w:tc>
          <w:tcPr>
            <w:tcW w:w="4896"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2278D989" w14:textId="77777777" w:rsidR="00FA57A0" w:rsidRDefault="00000000">
            <w:r>
              <w:rPr>
                <w:sz w:val="18"/>
              </w:rPr>
              <w:lastRenderedPageBreak/>
              <w:t xml:space="preserve">Interactive multi-state well map with color-coded risk markers (Critical, High, Medium, Low), cluster boundaries, and anomaly </w:t>
            </w:r>
            <w:r>
              <w:rPr>
                <w:sz w:val="18"/>
              </w:rPr>
              <w:lastRenderedPageBreak/>
              <w:t>highlights.</w:t>
            </w:r>
          </w:p>
        </w:tc>
      </w:tr>
      <w:tr w:rsidR="00FA57A0" w14:paraId="0FB700A3" w14:textId="77777777">
        <w:trPr>
          <w:jc w:val="center"/>
        </w:trPr>
        <w:tc>
          <w:tcPr>
            <w:tcW w:w="2016"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82F8DF6" w14:textId="77777777" w:rsidR="00FA57A0" w:rsidRDefault="00000000">
            <w:r>
              <w:rPr>
                <w:sz w:val="18"/>
              </w:rPr>
              <w:lastRenderedPageBreak/>
              <w:t>Active Learning Queue</w:t>
            </w:r>
          </w:p>
        </w:tc>
        <w:tc>
          <w:tcPr>
            <w:tcW w:w="288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7365E065" w14:textId="77777777" w:rsidR="00FA57A0" w:rsidRDefault="00000000">
            <w:r>
              <w:rPr>
                <w:sz w:val="18"/>
              </w:rPr>
              <w:t>Client-side state, CSV export</w:t>
            </w:r>
          </w:p>
        </w:tc>
        <w:tc>
          <w:tcPr>
            <w:tcW w:w="4896"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65E6E37" w14:textId="77777777" w:rsidR="00FA57A0" w:rsidRDefault="00000000">
            <w:r>
              <w:rPr>
                <w:sz w:val="18"/>
              </w:rPr>
              <w:t>Testing queue page displaying prioritized wells, uncertainty scores, BBN causal rationales, and field budget allocation toggles.</w:t>
            </w:r>
          </w:p>
        </w:tc>
      </w:tr>
      <w:tr w:rsidR="00FA57A0" w14:paraId="6004E425" w14:textId="77777777">
        <w:trPr>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7AA019B8" w14:textId="77777777" w:rsidR="00FA57A0" w:rsidRDefault="00000000">
            <w:r>
              <w:rPr>
                <w:sz w:val="18"/>
              </w:rPr>
              <w:t>Causal Simulator</w:t>
            </w:r>
          </w:p>
        </w:tc>
        <w:tc>
          <w:tcPr>
            <w:tcW w:w="2880"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6B07A3FF" w14:textId="77777777" w:rsidR="00FA57A0" w:rsidRDefault="00000000">
            <w:r>
              <w:rPr>
                <w:sz w:val="18"/>
              </w:rPr>
              <w:t>Interactive BBN sliders</w:t>
            </w:r>
          </w:p>
        </w:tc>
        <w:tc>
          <w:tcPr>
            <w:tcW w:w="4896"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1F2B6D18" w14:textId="77777777" w:rsidR="00FA57A0" w:rsidRDefault="00000000">
            <w:r>
              <w:rPr>
                <w:sz w:val="18"/>
              </w:rPr>
              <w:t>Models page with an interactive Bayesian simulator allowing officers to test 'what-if' aquifer conditions.</w:t>
            </w:r>
          </w:p>
        </w:tc>
      </w:tr>
    </w:tbl>
    <w:p w14:paraId="36B142A6" w14:textId="77777777" w:rsidR="00FA57A0" w:rsidRDefault="00FA57A0">
      <w:pPr>
        <w:spacing w:after="80"/>
      </w:pPr>
    </w:p>
    <w:p w14:paraId="4956A0AA" w14:textId="77777777" w:rsidR="00FA57A0" w:rsidRDefault="00000000">
      <w:pPr>
        <w:pStyle w:val="Heading1"/>
      </w:pPr>
      <w:r>
        <w:t>7. Complete Implementation Status &amp; Verification</w:t>
      </w:r>
    </w:p>
    <w:p w14:paraId="1B5E62BE" w14:textId="77777777" w:rsidR="00FA57A0" w:rsidRDefault="00000000">
      <w:r>
        <w:t>All previously identified architectural gaps have been fully engineered, validated, and verified:</w:t>
      </w:r>
    </w:p>
    <w:tbl>
      <w:tblPr>
        <w:tblStyle w:val="TableGrid"/>
        <w:tblW w:w="0" w:type="auto"/>
        <w:jc w:val="center"/>
        <w:tblLook w:val="04A0" w:firstRow="1" w:lastRow="0" w:firstColumn="1" w:lastColumn="0" w:noHBand="0" w:noVBand="1"/>
      </w:tblPr>
      <w:tblGrid>
        <w:gridCol w:w="2592"/>
        <w:gridCol w:w="3024"/>
        <w:gridCol w:w="4176"/>
      </w:tblGrid>
      <w:tr w:rsidR="00FA57A0" w14:paraId="3D35F396"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1B365D"/>
            <w:tcMar>
              <w:top w:w="100" w:type="dxa"/>
              <w:left w:w="120" w:type="dxa"/>
              <w:bottom w:w="100" w:type="dxa"/>
              <w:right w:w="120" w:type="dxa"/>
            </w:tcMar>
            <w:vAlign w:val="center"/>
          </w:tcPr>
          <w:p w14:paraId="0EFEC35B" w14:textId="77777777" w:rsidR="00FA57A0" w:rsidRDefault="00000000">
            <w:pPr>
              <w:jc w:val="center"/>
            </w:pPr>
            <w:r>
              <w:rPr>
                <w:b/>
                <w:color w:val="FFFFFF"/>
                <w:sz w:val="19"/>
              </w:rPr>
              <w:t>Pipeline Component</w:t>
            </w:r>
          </w:p>
        </w:tc>
        <w:tc>
          <w:tcPr>
            <w:tcW w:w="3024" w:type="dxa"/>
            <w:tcBorders>
              <w:top w:val="single" w:sz="4" w:space="0" w:color="CBD5E1"/>
              <w:left w:val="single" w:sz="4" w:space="0" w:color="CBD5E1"/>
              <w:bottom w:val="single" w:sz="4" w:space="0" w:color="CBD5E1"/>
              <w:right w:val="single" w:sz="4" w:space="0" w:color="CBD5E1"/>
            </w:tcBorders>
            <w:shd w:val="clear" w:color="auto" w:fill="1B365D"/>
            <w:tcMar>
              <w:top w:w="100" w:type="dxa"/>
              <w:left w:w="120" w:type="dxa"/>
              <w:bottom w:w="100" w:type="dxa"/>
              <w:right w:w="120" w:type="dxa"/>
            </w:tcMar>
            <w:vAlign w:val="center"/>
          </w:tcPr>
          <w:p w14:paraId="5E99339A" w14:textId="77777777" w:rsidR="00FA57A0" w:rsidRDefault="00000000">
            <w:pPr>
              <w:jc w:val="center"/>
            </w:pPr>
            <w:r>
              <w:rPr>
                <w:b/>
                <w:color w:val="FFFFFF"/>
                <w:sz w:val="19"/>
              </w:rPr>
              <w:t>Previous Prototype Status</w:t>
            </w:r>
          </w:p>
        </w:tc>
        <w:tc>
          <w:tcPr>
            <w:tcW w:w="4176" w:type="dxa"/>
            <w:tcBorders>
              <w:top w:val="single" w:sz="4" w:space="0" w:color="CBD5E1"/>
              <w:left w:val="single" w:sz="4" w:space="0" w:color="CBD5E1"/>
              <w:bottom w:val="single" w:sz="4" w:space="0" w:color="CBD5E1"/>
              <w:right w:val="single" w:sz="4" w:space="0" w:color="CBD5E1"/>
            </w:tcBorders>
            <w:shd w:val="clear" w:color="auto" w:fill="1B365D"/>
            <w:tcMar>
              <w:top w:w="100" w:type="dxa"/>
              <w:left w:w="120" w:type="dxa"/>
              <w:bottom w:w="100" w:type="dxa"/>
              <w:right w:w="120" w:type="dxa"/>
            </w:tcMar>
            <w:vAlign w:val="center"/>
          </w:tcPr>
          <w:p w14:paraId="365D87F8" w14:textId="77777777" w:rsidR="00FA57A0" w:rsidRDefault="00000000">
            <w:pPr>
              <w:jc w:val="center"/>
            </w:pPr>
            <w:r>
              <w:rPr>
                <w:b/>
                <w:color w:val="FFFFFF"/>
                <w:sz w:val="19"/>
              </w:rPr>
              <w:t>Current Fully Integrated Status</w:t>
            </w:r>
          </w:p>
        </w:tc>
      </w:tr>
      <w:tr w:rsidR="00FA57A0" w14:paraId="23859723" w14:textId="77777777">
        <w:trPr>
          <w:jc w:val="center"/>
        </w:trPr>
        <w:tc>
          <w:tcPr>
            <w:tcW w:w="2592"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59CE87B3" w14:textId="77777777" w:rsidR="00FA57A0" w:rsidRDefault="00000000">
            <w:r>
              <w:rPr>
                <w:sz w:val="18"/>
              </w:rPr>
              <w:t>Bayesian Belief Network</w:t>
            </w:r>
          </w:p>
        </w:tc>
        <w:tc>
          <w:tcPr>
            <w:tcW w:w="3024"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6338BF6F" w14:textId="77777777" w:rsidR="00FA57A0" w:rsidRDefault="00000000">
            <w:r>
              <w:rPr>
                <w:sz w:val="18"/>
              </w:rPr>
              <w:t>Existed as standalone script; not called in pipeline runner.</w:t>
            </w:r>
          </w:p>
        </w:tc>
        <w:tc>
          <w:tcPr>
            <w:tcW w:w="4176"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314E443" w14:textId="77777777" w:rsidR="00FA57A0" w:rsidRDefault="00000000">
            <w:r>
              <w:rPr>
                <w:sz w:val="18"/>
              </w:rPr>
              <w:t>Fully integrated into run_all.py as Phase 5. Computes posterior probabilities for all 36,922 wells and exports bayesian_wells.csv.</w:t>
            </w:r>
          </w:p>
        </w:tc>
      </w:tr>
      <w:tr w:rsidR="00FA57A0" w14:paraId="6F472C86"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5703E76A" w14:textId="77777777" w:rsidR="00FA57A0" w:rsidRDefault="00000000">
            <w:r>
              <w:rPr>
                <w:sz w:val="18"/>
              </w:rPr>
              <w:t>Active Learning Backend</w:t>
            </w:r>
          </w:p>
        </w:tc>
        <w:tc>
          <w:tcPr>
            <w:tcW w:w="3024"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4BD1B535" w14:textId="77777777" w:rsidR="00FA57A0" w:rsidRDefault="00000000">
            <w:r>
              <w:rPr>
                <w:sz w:val="18"/>
              </w:rPr>
              <w:t>active_learning.py was completely empty (0 bytes).</w:t>
            </w:r>
          </w:p>
        </w:tc>
        <w:tc>
          <w:tcPr>
            <w:tcW w:w="4176"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47219B14" w14:textId="77777777" w:rsidR="00FA57A0" w:rsidRDefault="00000000">
            <w:r>
              <w:rPr>
                <w:sz w:val="18"/>
              </w:rPr>
              <w:t>Fully implemented in active_learning.py and run_all.py as Phase 6. Implements Shannon Entropy, Least Confidence, Hybrid Acquisition, and 8-round budget simulation.</w:t>
            </w:r>
          </w:p>
        </w:tc>
      </w:tr>
      <w:tr w:rsidR="00FA57A0" w14:paraId="28C6F667" w14:textId="77777777">
        <w:trPr>
          <w:jc w:val="center"/>
        </w:trPr>
        <w:tc>
          <w:tcPr>
            <w:tcW w:w="2592"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883FDDA" w14:textId="77777777" w:rsidR="00FA57A0" w:rsidRDefault="00000000">
            <w:r>
              <w:rPr>
                <w:sz w:val="18"/>
              </w:rPr>
              <w:t>Surveillance Priority Queue</w:t>
            </w:r>
          </w:p>
        </w:tc>
        <w:tc>
          <w:tcPr>
            <w:tcW w:w="3024"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AAE60B3" w14:textId="77777777" w:rsidR="00FA57A0" w:rsidRDefault="00000000">
            <w:r>
              <w:rPr>
                <w:sz w:val="18"/>
              </w:rPr>
              <w:t>Not generated.</w:t>
            </w:r>
          </w:p>
        </w:tc>
        <w:tc>
          <w:tcPr>
            <w:tcW w:w="4176"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EC077F6" w14:textId="77777777" w:rsidR="00FA57A0" w:rsidRDefault="00000000">
            <w:r>
              <w:rPr>
                <w:sz w:val="18"/>
              </w:rPr>
              <w:t>Generated automatically as testing_priority_queue.csv, ranking all 36,922 wells into Critical, High, Medium, and Low tiers.</w:t>
            </w:r>
          </w:p>
        </w:tc>
      </w:tr>
      <w:tr w:rsidR="00FA57A0" w14:paraId="42855B80"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73E7A5AE" w14:textId="77777777" w:rsidR="00FA57A0" w:rsidRDefault="00000000">
            <w:r>
              <w:rPr>
                <w:sz w:val="18"/>
              </w:rPr>
              <w:t>Next.js Dashboard Integration</w:t>
            </w:r>
          </w:p>
        </w:tc>
        <w:tc>
          <w:tcPr>
            <w:tcW w:w="3024"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18CC035E" w14:textId="77777777" w:rsidR="00FA57A0" w:rsidRDefault="00000000">
            <w:r>
              <w:rPr>
                <w:sz w:val="18"/>
              </w:rPr>
              <w:t>Used seeded mock records in mock-wells.ts.</w:t>
            </w:r>
          </w:p>
        </w:tc>
        <w:tc>
          <w:tcPr>
            <w:tcW w:w="4176" w:type="dxa"/>
            <w:tcBorders>
              <w:top w:val="single" w:sz="4" w:space="0" w:color="CBD5E1"/>
              <w:left w:val="single" w:sz="4" w:space="0" w:color="CBD5E1"/>
              <w:bottom w:val="single" w:sz="4" w:space="0" w:color="CBD5E1"/>
              <w:right w:val="single" w:sz="4" w:space="0" w:color="CBD5E1"/>
            </w:tcBorders>
            <w:shd w:val="clear" w:color="auto" w:fill="F4F7FB"/>
            <w:tcMar>
              <w:top w:w="100" w:type="dxa"/>
              <w:left w:w="120" w:type="dxa"/>
              <w:bottom w:w="100" w:type="dxa"/>
              <w:right w:w="120" w:type="dxa"/>
            </w:tcMar>
            <w:vAlign w:val="center"/>
          </w:tcPr>
          <w:p w14:paraId="65A9EA10" w14:textId="77777777" w:rsidR="00FA57A0" w:rsidRDefault="00000000">
            <w:r>
              <w:rPr>
                <w:sz w:val="18"/>
              </w:rPr>
              <w:t>Fully connected to Python outputs via live_pipeline_data.json and export_to_frontend.py. Zero TypeScript errors; Next.js 15 builds cleanly.</w:t>
            </w:r>
          </w:p>
        </w:tc>
      </w:tr>
      <w:tr w:rsidR="00FA57A0" w14:paraId="2BAB5758" w14:textId="77777777">
        <w:trPr>
          <w:jc w:val="center"/>
        </w:trPr>
        <w:tc>
          <w:tcPr>
            <w:tcW w:w="2592"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11428BA" w14:textId="77777777" w:rsidR="00FA57A0" w:rsidRDefault="00000000">
            <w:r>
              <w:rPr>
                <w:sz w:val="18"/>
              </w:rPr>
              <w:t>One-Click Pipeline Runner</w:t>
            </w:r>
          </w:p>
        </w:tc>
        <w:tc>
          <w:tcPr>
            <w:tcW w:w="3024"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4D6B1846" w14:textId="77777777" w:rsidR="00FA57A0" w:rsidRDefault="00000000">
            <w:r>
              <w:rPr>
                <w:sz w:val="18"/>
              </w:rPr>
              <w:t>Ran only 4 phases.</w:t>
            </w:r>
          </w:p>
        </w:tc>
        <w:tc>
          <w:tcPr>
            <w:tcW w:w="4176"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08F11D2" w14:textId="77777777" w:rsidR="00FA57A0" w:rsidRDefault="00000000">
            <w:r>
              <w:rPr>
                <w:sz w:val="18"/>
              </w:rPr>
              <w:t>run_all.py executes all 6 phases end-to-end in ~45 seconds, automatically updating frontend datasets.</w:t>
            </w:r>
          </w:p>
        </w:tc>
      </w:tr>
    </w:tbl>
    <w:p w14:paraId="67428B55" w14:textId="77777777" w:rsidR="00FA57A0" w:rsidRDefault="00FA57A0">
      <w:pPr>
        <w:spacing w:after="80"/>
      </w:pPr>
    </w:p>
    <w:p w14:paraId="7EE816D7" w14:textId="77777777" w:rsidR="00FA57A0" w:rsidRDefault="00FA57A0"/>
    <w:sectPr w:rsidR="00FA57A0"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BFCDC" w14:textId="77777777" w:rsidR="003D3BD9" w:rsidRDefault="003D3BD9">
      <w:pPr>
        <w:spacing w:after="0" w:line="240" w:lineRule="auto"/>
      </w:pPr>
      <w:r>
        <w:separator/>
      </w:r>
    </w:p>
  </w:endnote>
  <w:endnote w:type="continuationSeparator" w:id="0">
    <w:p w14:paraId="521A2EDB" w14:textId="77777777" w:rsidR="003D3BD9" w:rsidRDefault="003D3B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0F833" w14:textId="77777777" w:rsidR="00FA57A0" w:rsidRDefault="00000000">
    <w:pPr>
      <w:pStyle w:val="Footer"/>
      <w:jc w:val="center"/>
    </w:pPr>
    <w:proofErr w:type="spellStart"/>
    <w:r>
      <w:rPr>
        <w:color w:val="64748B"/>
        <w:sz w:val="17"/>
      </w:rPr>
      <w:t>HydroScope</w:t>
    </w:r>
    <w:proofErr w:type="spellEnd"/>
    <w:r>
      <w:rPr>
        <w:color w:val="64748B"/>
        <w:sz w:val="17"/>
      </w:rPr>
      <w:t xml:space="preserve"> / </w:t>
    </w:r>
    <w:proofErr w:type="spellStart"/>
    <w:r>
      <w:rPr>
        <w:color w:val="64748B"/>
        <w:sz w:val="17"/>
      </w:rPr>
      <w:t>AquaSentinel</w:t>
    </w:r>
    <w:proofErr w:type="spellEnd"/>
    <w:r>
      <w:rPr>
        <w:color w:val="64748B"/>
        <w:sz w:val="17"/>
      </w:rPr>
      <w:t xml:space="preserve"> — AI Groundwater Contamination Surveillance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BD8B9" w14:textId="77777777" w:rsidR="003D3BD9" w:rsidRDefault="003D3BD9">
      <w:pPr>
        <w:spacing w:after="0" w:line="240" w:lineRule="auto"/>
      </w:pPr>
      <w:r>
        <w:separator/>
      </w:r>
    </w:p>
  </w:footnote>
  <w:footnote w:type="continuationSeparator" w:id="0">
    <w:p w14:paraId="045FD3DF" w14:textId="77777777" w:rsidR="003D3BD9" w:rsidRDefault="003D3B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5409781">
    <w:abstractNumId w:val="8"/>
  </w:num>
  <w:num w:numId="2" w16cid:durableId="319311853">
    <w:abstractNumId w:val="6"/>
  </w:num>
  <w:num w:numId="3" w16cid:durableId="2035576634">
    <w:abstractNumId w:val="5"/>
  </w:num>
  <w:num w:numId="4" w16cid:durableId="1425373886">
    <w:abstractNumId w:val="4"/>
  </w:num>
  <w:num w:numId="5" w16cid:durableId="968515115">
    <w:abstractNumId w:val="7"/>
  </w:num>
  <w:num w:numId="6" w16cid:durableId="959141072">
    <w:abstractNumId w:val="3"/>
  </w:num>
  <w:num w:numId="7" w16cid:durableId="324284591">
    <w:abstractNumId w:val="2"/>
  </w:num>
  <w:num w:numId="8" w16cid:durableId="1270548925">
    <w:abstractNumId w:val="1"/>
  </w:num>
  <w:num w:numId="9" w16cid:durableId="1799300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2BE"/>
    <w:rsid w:val="0015074B"/>
    <w:rsid w:val="0029639D"/>
    <w:rsid w:val="00326F90"/>
    <w:rsid w:val="003D3BD9"/>
    <w:rsid w:val="003E4A8A"/>
    <w:rsid w:val="00481A31"/>
    <w:rsid w:val="0062244D"/>
    <w:rsid w:val="00674A80"/>
    <w:rsid w:val="006B658B"/>
    <w:rsid w:val="00740FAF"/>
    <w:rsid w:val="00770EA4"/>
    <w:rsid w:val="00935B66"/>
    <w:rsid w:val="00AA1D8D"/>
    <w:rsid w:val="00B47730"/>
    <w:rsid w:val="00C32A43"/>
    <w:rsid w:val="00C85821"/>
    <w:rsid w:val="00CB0664"/>
    <w:rsid w:val="00FA57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4381F6"/>
  <w14:defaultImageDpi w14:val="300"/>
  <w15:docId w15:val="{807AF7B7-812A-4CAA-B674-C02598766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1E293B"/>
      <w:sz w:val="20"/>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B365D"/>
      <w:sz w:val="27"/>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color w:val="1B365D"/>
      <w:sz w:val="22"/>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1B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1B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8</Pages>
  <Words>3528</Words>
  <Characters>20112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Shashwat Bakare</cp:lastModifiedBy>
  <cp:revision>11</cp:revision>
  <dcterms:created xsi:type="dcterms:W3CDTF">2013-12-23T23:15:00Z</dcterms:created>
  <dcterms:modified xsi:type="dcterms:W3CDTF">2026-10-19T13:20:00Z</dcterms:modified>
  <cp:category/>
</cp:coreProperties>
</file>