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6191" w14:textId="77777777" w:rsidR="002C3A51" w:rsidRDefault="00000000">
      <w:pPr>
        <w:spacing w:before="400" w:after="80"/>
        <w:jc w:val="center"/>
      </w:pPr>
      <w:r>
        <w:rPr>
          <w:rFonts w:ascii="Arial" w:hAnsi="Arial"/>
          <w:b/>
          <w:color w:val="6366F1"/>
          <w:sz w:val="56"/>
        </w:rPr>
        <w:t>PhishShield Enterprise AI</w:t>
      </w:r>
    </w:p>
    <w:p w14:paraId="5B9CEDE9" w14:textId="77777777" w:rsidR="002C3A51" w:rsidRDefault="00000000">
      <w:pPr>
        <w:spacing w:after="320"/>
        <w:jc w:val="center"/>
      </w:pPr>
      <w:r>
        <w:rPr>
          <w:rFonts w:ascii="Arial" w:hAnsi="Arial"/>
          <w:i/>
          <w:color w:val="0F172A"/>
          <w:sz w:val="26"/>
        </w:rPr>
        <w:t>Autonomous Hybrid URL Threat Intelligence Engine</w:t>
      </w:r>
      <w:r>
        <w:rPr>
          <w:rFonts w:ascii="Arial" w:hAnsi="Arial"/>
          <w:i/>
          <w:color w:val="0F172A"/>
          <w:sz w:val="26"/>
        </w:rPr>
        <w:br/>
        <w:t>Multi-Paradigm AI Detection, Explainability (XAI) &amp; Generative SOC Reporting</w:t>
      </w:r>
    </w:p>
    <w:p w14:paraId="2E5FF59D" w14:textId="77777777" w:rsidR="002C3A51" w:rsidRDefault="00000000">
      <w:pPr>
        <w:spacing w:after="600"/>
        <w:jc w:val="center"/>
      </w:pPr>
      <w:r>
        <w:rPr>
          <w:rFonts w:ascii="Arial" w:hAnsi="Arial"/>
          <w:color w:val="64748B"/>
          <w:sz w:val="19"/>
        </w:rPr>
        <w:t>Course: AI Systems &amp; Applications (PE-1 Lab) | Semester V | MIT-WPU</w:t>
      </w:r>
      <w:r>
        <w:rPr>
          <w:rFonts w:ascii="Arial" w:hAnsi="Arial"/>
          <w:color w:val="64748B"/>
          <w:sz w:val="19"/>
        </w:rPr>
        <w:br/>
        <w:t>Document Version: 1.2 Enterprise Edition | Academic Year: 2024–2026</w:t>
      </w:r>
    </w:p>
    <w:p w14:paraId="325E4614" w14:textId="77777777" w:rsidR="002C3A51" w:rsidRDefault="002C3A51"/>
    <w:p w14:paraId="65B33006" w14:textId="77777777" w:rsidR="002C3A51" w:rsidRDefault="00000000">
      <w:pPr>
        <w:pStyle w:val="Heading1"/>
        <w:spacing w:before="320" w:after="160"/>
      </w:pPr>
      <w:r>
        <w:t>1. Executive Summary &amp; Project Overview</w:t>
      </w:r>
    </w:p>
    <w:p w14:paraId="26465051" w14:textId="77777777" w:rsidR="002C3A51" w:rsidRDefault="00000000">
      <w:pPr>
        <w:spacing w:after="160"/>
      </w:pPr>
      <w:r>
        <w:t>PhishShield is an autonomous, production-grade cybersecurity intelligence platform developed to detect, classify, and explain malicious phishing URLs in real time. Modern phishing threats evolve rapidly through domain generation algorithms (DGAs), typosquatting, deceptive subdomains, and zero-day evasion techniques that easily bypass static blacklists and traditional single-classifier machine learning models. To overcome these critical vulnerabilities, PhishShield implements a Hybrid Multi-Paradigm AI Architecture that harmonizes five distinct computational intelligence methodologies into a unified, high-assurance decision pipeline.</w:t>
      </w:r>
    </w:p>
    <w:p w14:paraId="7283E9BF" w14:textId="77777777" w:rsidR="002C3A51" w:rsidRDefault="00000000">
      <w:pPr>
        <w:spacing w:after="280"/>
      </w:pPr>
      <w:r>
        <w:t>Unlike academic prototypes that rely on manual feature inputs or single-dimensional classifiers, PhishShield operates with zero user burden: the user inputs a single raw URL string, from which 30 lexical, host, and behavioral security attributes are derived dynamically. The engine subsequently executes symbolic heuristic verification, supervised ensemble prediction, unsupervised isolation anomaly detection, SHAP (SHapley Additive exPlanations) attribution, and local on-device Generative AI incident reporting via Ollama—all completing in under one second with complete data privacy (zero cloud telemetry).</w:t>
      </w:r>
    </w:p>
    <w:p w14:paraId="3613505F" w14:textId="77777777" w:rsidR="005804E2" w:rsidRDefault="005804E2">
      <w:pPr>
        <w:pStyle w:val="Heading1"/>
        <w:spacing w:before="320" w:after="160"/>
      </w:pPr>
    </w:p>
    <w:p w14:paraId="5EAEB08A" w14:textId="77777777" w:rsidR="005804E2" w:rsidRDefault="005804E2">
      <w:pPr>
        <w:pStyle w:val="Heading1"/>
        <w:spacing w:before="320" w:after="160"/>
      </w:pPr>
    </w:p>
    <w:p w14:paraId="6626B8C8" w14:textId="77777777" w:rsidR="005804E2" w:rsidRDefault="005804E2">
      <w:pPr>
        <w:pStyle w:val="Heading1"/>
        <w:spacing w:before="320" w:after="160"/>
      </w:pPr>
    </w:p>
    <w:p w14:paraId="6BE6E474" w14:textId="77777777" w:rsidR="005804E2" w:rsidRDefault="005804E2" w:rsidP="005804E2"/>
    <w:p w14:paraId="42639EAE" w14:textId="77777777" w:rsidR="005804E2" w:rsidRPr="005804E2" w:rsidRDefault="005804E2" w:rsidP="005804E2"/>
    <w:p w14:paraId="49AB38AD" w14:textId="0D03CEF1" w:rsidR="002C3A51" w:rsidRDefault="00000000">
      <w:pPr>
        <w:pStyle w:val="Heading1"/>
        <w:spacing w:before="320" w:after="160"/>
      </w:pPr>
      <w:r>
        <w:lastRenderedPageBreak/>
        <w:t>2. End-to-End Technology Stack</w:t>
      </w:r>
    </w:p>
    <w:p w14:paraId="48AA1B17" w14:textId="77777777" w:rsidR="002C3A51" w:rsidRDefault="00000000">
      <w:pPr>
        <w:spacing w:after="160"/>
      </w:pPr>
      <w:r>
        <w:t>The project is engineered using a robust modern Python data science and web architecture. The table below outlines the core layers, libraries, and frameworks powering the system:</w:t>
      </w:r>
    </w:p>
    <w:tbl>
      <w:tblPr>
        <w:tblW w:w="0" w:type="auto"/>
        <w:jc w:val="center"/>
        <w:tblLayout w:type="fixed"/>
        <w:tblLook w:val="04A0" w:firstRow="1" w:lastRow="0" w:firstColumn="1" w:lastColumn="0" w:noHBand="0" w:noVBand="1"/>
      </w:tblPr>
      <w:tblGrid>
        <w:gridCol w:w="3120"/>
        <w:gridCol w:w="3120"/>
        <w:gridCol w:w="3120"/>
      </w:tblGrid>
      <w:tr w:rsidR="002C3A51" w14:paraId="5567CAAC" w14:textId="77777777">
        <w:trPr>
          <w:jc w:val="center"/>
        </w:trPr>
        <w:tc>
          <w:tcPr>
            <w:tcW w:w="3120" w:type="dxa"/>
            <w:shd w:val="clear" w:color="auto" w:fill="0F172A"/>
            <w:tcMar>
              <w:top w:w="120" w:type="dxa"/>
              <w:left w:w="150" w:type="dxa"/>
              <w:bottom w:w="120" w:type="dxa"/>
              <w:right w:w="150" w:type="dxa"/>
            </w:tcMar>
          </w:tcPr>
          <w:p w14:paraId="40DE1DD1" w14:textId="77777777" w:rsidR="002C3A51" w:rsidRDefault="00000000">
            <w:r>
              <w:rPr>
                <w:b/>
                <w:color w:val="FFFFFF"/>
                <w:sz w:val="19"/>
              </w:rPr>
              <w:t>System Layer</w:t>
            </w:r>
          </w:p>
        </w:tc>
        <w:tc>
          <w:tcPr>
            <w:tcW w:w="3120" w:type="dxa"/>
            <w:shd w:val="clear" w:color="auto" w:fill="0F172A"/>
            <w:tcMar>
              <w:top w:w="120" w:type="dxa"/>
              <w:left w:w="150" w:type="dxa"/>
              <w:bottom w:w="120" w:type="dxa"/>
              <w:right w:w="150" w:type="dxa"/>
            </w:tcMar>
          </w:tcPr>
          <w:p w14:paraId="242ABA50" w14:textId="77777777" w:rsidR="002C3A51" w:rsidRDefault="00000000">
            <w:r>
              <w:rPr>
                <w:b/>
                <w:color w:val="FFFFFF"/>
                <w:sz w:val="19"/>
              </w:rPr>
              <w:t>Technologies &amp; Libraries</w:t>
            </w:r>
          </w:p>
        </w:tc>
        <w:tc>
          <w:tcPr>
            <w:tcW w:w="3120" w:type="dxa"/>
            <w:shd w:val="clear" w:color="auto" w:fill="0F172A"/>
            <w:tcMar>
              <w:top w:w="120" w:type="dxa"/>
              <w:left w:w="150" w:type="dxa"/>
              <w:bottom w:w="120" w:type="dxa"/>
              <w:right w:w="150" w:type="dxa"/>
            </w:tcMar>
          </w:tcPr>
          <w:p w14:paraId="163A4B4F" w14:textId="77777777" w:rsidR="002C3A51" w:rsidRDefault="00000000">
            <w:r>
              <w:rPr>
                <w:b/>
                <w:color w:val="FFFFFF"/>
                <w:sz w:val="19"/>
              </w:rPr>
              <w:t>Architectural Role &amp; Functionality</w:t>
            </w:r>
          </w:p>
        </w:tc>
      </w:tr>
      <w:tr w:rsidR="002C3A51" w14:paraId="14B17AD2" w14:textId="77777777">
        <w:trPr>
          <w:jc w:val="center"/>
        </w:trPr>
        <w:tc>
          <w:tcPr>
            <w:tcW w:w="3120" w:type="dxa"/>
            <w:shd w:val="clear" w:color="auto" w:fill="FFFFFF"/>
            <w:tcMar>
              <w:top w:w="80" w:type="dxa"/>
              <w:left w:w="120" w:type="dxa"/>
              <w:bottom w:w="80" w:type="dxa"/>
              <w:right w:w="120" w:type="dxa"/>
            </w:tcMar>
          </w:tcPr>
          <w:p w14:paraId="09D71270" w14:textId="77777777" w:rsidR="002C3A51" w:rsidRDefault="00000000">
            <w:r>
              <w:rPr>
                <w:rFonts w:ascii="Arial" w:hAnsi="Arial"/>
                <w:sz w:val="17"/>
              </w:rPr>
              <w:t>Core Language &amp; Runtime</w:t>
            </w:r>
          </w:p>
        </w:tc>
        <w:tc>
          <w:tcPr>
            <w:tcW w:w="3120" w:type="dxa"/>
            <w:shd w:val="clear" w:color="auto" w:fill="FFFFFF"/>
            <w:tcMar>
              <w:top w:w="80" w:type="dxa"/>
              <w:left w:w="120" w:type="dxa"/>
              <w:bottom w:w="80" w:type="dxa"/>
              <w:right w:w="120" w:type="dxa"/>
            </w:tcMar>
          </w:tcPr>
          <w:p w14:paraId="1AEB0006" w14:textId="77777777" w:rsidR="002C3A51" w:rsidRDefault="00000000">
            <w:r>
              <w:rPr>
                <w:rFonts w:ascii="Arial" w:hAnsi="Arial"/>
                <w:sz w:val="17"/>
              </w:rPr>
              <w:t>Python 3.10 / 3.11 / 3.14</w:t>
            </w:r>
          </w:p>
        </w:tc>
        <w:tc>
          <w:tcPr>
            <w:tcW w:w="3120" w:type="dxa"/>
            <w:shd w:val="clear" w:color="auto" w:fill="FFFFFF"/>
            <w:tcMar>
              <w:top w:w="80" w:type="dxa"/>
              <w:left w:w="120" w:type="dxa"/>
              <w:bottom w:w="80" w:type="dxa"/>
              <w:right w:w="120" w:type="dxa"/>
            </w:tcMar>
          </w:tcPr>
          <w:p w14:paraId="446C9589" w14:textId="77777777" w:rsidR="002C3A51" w:rsidRDefault="00000000">
            <w:r>
              <w:rPr>
                <w:rFonts w:ascii="Arial" w:hAnsi="Arial"/>
                <w:sz w:val="17"/>
              </w:rPr>
              <w:t>Execution runtime for feature extraction, ML pipelines, and API services.</w:t>
            </w:r>
          </w:p>
        </w:tc>
      </w:tr>
      <w:tr w:rsidR="002C3A51" w14:paraId="00F8158E" w14:textId="77777777">
        <w:trPr>
          <w:jc w:val="center"/>
        </w:trPr>
        <w:tc>
          <w:tcPr>
            <w:tcW w:w="3120" w:type="dxa"/>
            <w:shd w:val="clear" w:color="auto" w:fill="F8FAFC"/>
            <w:tcMar>
              <w:top w:w="80" w:type="dxa"/>
              <w:left w:w="120" w:type="dxa"/>
              <w:bottom w:w="80" w:type="dxa"/>
              <w:right w:w="120" w:type="dxa"/>
            </w:tcMar>
          </w:tcPr>
          <w:p w14:paraId="77C179CA" w14:textId="77777777" w:rsidR="002C3A51" w:rsidRDefault="00000000">
            <w:r>
              <w:rPr>
                <w:rFonts w:ascii="Arial" w:hAnsi="Arial"/>
                <w:sz w:val="17"/>
              </w:rPr>
              <w:t>Supervised Machine Learning</w:t>
            </w:r>
          </w:p>
        </w:tc>
        <w:tc>
          <w:tcPr>
            <w:tcW w:w="3120" w:type="dxa"/>
            <w:shd w:val="clear" w:color="auto" w:fill="F8FAFC"/>
            <w:tcMar>
              <w:top w:w="80" w:type="dxa"/>
              <w:left w:w="120" w:type="dxa"/>
              <w:bottom w:w="80" w:type="dxa"/>
              <w:right w:w="120" w:type="dxa"/>
            </w:tcMar>
          </w:tcPr>
          <w:p w14:paraId="546A40BA" w14:textId="77777777" w:rsidR="002C3A51" w:rsidRDefault="00000000">
            <w:r>
              <w:rPr>
                <w:rFonts w:ascii="Arial" w:hAnsi="Arial"/>
                <w:sz w:val="17"/>
              </w:rPr>
              <w:t>Scikit-Learn, XGBoost, Joblib</w:t>
            </w:r>
          </w:p>
        </w:tc>
        <w:tc>
          <w:tcPr>
            <w:tcW w:w="3120" w:type="dxa"/>
            <w:shd w:val="clear" w:color="auto" w:fill="F8FAFC"/>
            <w:tcMar>
              <w:top w:w="80" w:type="dxa"/>
              <w:left w:w="120" w:type="dxa"/>
              <w:bottom w:w="80" w:type="dxa"/>
              <w:right w:w="120" w:type="dxa"/>
            </w:tcMar>
          </w:tcPr>
          <w:p w14:paraId="0B4213A3" w14:textId="77777777" w:rsidR="002C3A51" w:rsidRDefault="00000000">
            <w:r>
              <w:rPr>
                <w:rFonts w:ascii="Arial" w:hAnsi="Arial"/>
                <w:sz w:val="17"/>
              </w:rPr>
              <w:t>XGBoost, Multi-Layer Perceptron (Neural Net), Logistic Regression, and model serialization.</w:t>
            </w:r>
          </w:p>
        </w:tc>
      </w:tr>
      <w:tr w:rsidR="002C3A51" w14:paraId="687E3CAD" w14:textId="77777777">
        <w:trPr>
          <w:jc w:val="center"/>
        </w:trPr>
        <w:tc>
          <w:tcPr>
            <w:tcW w:w="3120" w:type="dxa"/>
            <w:shd w:val="clear" w:color="auto" w:fill="FFFFFF"/>
            <w:tcMar>
              <w:top w:w="80" w:type="dxa"/>
              <w:left w:w="120" w:type="dxa"/>
              <w:bottom w:w="80" w:type="dxa"/>
              <w:right w:w="120" w:type="dxa"/>
            </w:tcMar>
          </w:tcPr>
          <w:p w14:paraId="485FAB0C" w14:textId="77777777" w:rsidR="002C3A51" w:rsidRDefault="00000000">
            <w:r>
              <w:rPr>
                <w:rFonts w:ascii="Arial" w:hAnsi="Arial"/>
                <w:sz w:val="17"/>
              </w:rPr>
              <w:t>Unsupervised Anomaly Detection</w:t>
            </w:r>
          </w:p>
        </w:tc>
        <w:tc>
          <w:tcPr>
            <w:tcW w:w="3120" w:type="dxa"/>
            <w:shd w:val="clear" w:color="auto" w:fill="FFFFFF"/>
            <w:tcMar>
              <w:top w:w="80" w:type="dxa"/>
              <w:left w:w="120" w:type="dxa"/>
              <w:bottom w:w="80" w:type="dxa"/>
              <w:right w:w="120" w:type="dxa"/>
            </w:tcMar>
          </w:tcPr>
          <w:p w14:paraId="1931C99F" w14:textId="77777777" w:rsidR="002C3A51" w:rsidRDefault="00000000">
            <w:r>
              <w:rPr>
                <w:rFonts w:ascii="Arial" w:hAnsi="Arial"/>
                <w:sz w:val="17"/>
              </w:rPr>
              <w:t>Scikit-Learn (IsolationForest)</w:t>
            </w:r>
          </w:p>
        </w:tc>
        <w:tc>
          <w:tcPr>
            <w:tcW w:w="3120" w:type="dxa"/>
            <w:shd w:val="clear" w:color="auto" w:fill="FFFFFF"/>
            <w:tcMar>
              <w:top w:w="80" w:type="dxa"/>
              <w:left w:w="120" w:type="dxa"/>
              <w:bottom w:w="80" w:type="dxa"/>
              <w:right w:w="120" w:type="dxa"/>
            </w:tcMar>
          </w:tcPr>
          <w:p w14:paraId="2610AB09" w14:textId="77777777" w:rsidR="002C3A51" w:rsidRDefault="00000000">
            <w:r>
              <w:rPr>
                <w:rFonts w:ascii="Arial" w:hAnsi="Arial"/>
                <w:sz w:val="17"/>
              </w:rPr>
              <w:t>Detects out-of-distribution structural outliers without relying on supervised labels.</w:t>
            </w:r>
          </w:p>
        </w:tc>
      </w:tr>
      <w:tr w:rsidR="002C3A51" w14:paraId="4C4E0006" w14:textId="77777777">
        <w:trPr>
          <w:jc w:val="center"/>
        </w:trPr>
        <w:tc>
          <w:tcPr>
            <w:tcW w:w="3120" w:type="dxa"/>
            <w:shd w:val="clear" w:color="auto" w:fill="F8FAFC"/>
            <w:tcMar>
              <w:top w:w="80" w:type="dxa"/>
              <w:left w:w="120" w:type="dxa"/>
              <w:bottom w:w="80" w:type="dxa"/>
              <w:right w:w="120" w:type="dxa"/>
            </w:tcMar>
          </w:tcPr>
          <w:p w14:paraId="4DEAB2D5" w14:textId="77777777" w:rsidR="002C3A51" w:rsidRDefault="00000000">
            <w:r>
              <w:rPr>
                <w:rFonts w:ascii="Arial" w:hAnsi="Arial"/>
                <w:sz w:val="17"/>
              </w:rPr>
              <w:t>Explainable AI (XAI)</w:t>
            </w:r>
          </w:p>
        </w:tc>
        <w:tc>
          <w:tcPr>
            <w:tcW w:w="3120" w:type="dxa"/>
            <w:shd w:val="clear" w:color="auto" w:fill="F8FAFC"/>
            <w:tcMar>
              <w:top w:w="80" w:type="dxa"/>
              <w:left w:w="120" w:type="dxa"/>
              <w:bottom w:w="80" w:type="dxa"/>
              <w:right w:w="120" w:type="dxa"/>
            </w:tcMar>
          </w:tcPr>
          <w:p w14:paraId="3FDB6421" w14:textId="77777777" w:rsidR="002C3A51" w:rsidRDefault="00000000">
            <w:r>
              <w:rPr>
                <w:rFonts w:ascii="Arial" w:hAnsi="Arial"/>
                <w:sz w:val="17"/>
              </w:rPr>
              <w:t>SHAP (SHapley Additive exPlanations)</w:t>
            </w:r>
          </w:p>
        </w:tc>
        <w:tc>
          <w:tcPr>
            <w:tcW w:w="3120" w:type="dxa"/>
            <w:shd w:val="clear" w:color="auto" w:fill="F8FAFC"/>
            <w:tcMar>
              <w:top w:w="80" w:type="dxa"/>
              <w:left w:w="120" w:type="dxa"/>
              <w:bottom w:w="80" w:type="dxa"/>
              <w:right w:w="120" w:type="dxa"/>
            </w:tcMar>
          </w:tcPr>
          <w:p w14:paraId="5E9D1C27" w14:textId="77777777" w:rsidR="002C3A51" w:rsidRDefault="00000000">
            <w:r>
              <w:rPr>
                <w:rFonts w:ascii="Arial" w:hAnsi="Arial"/>
                <w:sz w:val="17"/>
              </w:rPr>
              <w:t>KernelExplainer &amp; TreeExplainer computing exact Shapley feature impact values.</w:t>
            </w:r>
          </w:p>
        </w:tc>
      </w:tr>
      <w:tr w:rsidR="002C3A51" w14:paraId="72B74E00" w14:textId="77777777">
        <w:trPr>
          <w:jc w:val="center"/>
        </w:trPr>
        <w:tc>
          <w:tcPr>
            <w:tcW w:w="3120" w:type="dxa"/>
            <w:shd w:val="clear" w:color="auto" w:fill="FFFFFF"/>
            <w:tcMar>
              <w:top w:w="80" w:type="dxa"/>
              <w:left w:w="120" w:type="dxa"/>
              <w:bottom w:w="80" w:type="dxa"/>
              <w:right w:w="120" w:type="dxa"/>
            </w:tcMar>
          </w:tcPr>
          <w:p w14:paraId="6763C9AF" w14:textId="77777777" w:rsidR="002C3A51" w:rsidRDefault="00000000">
            <w:r>
              <w:rPr>
                <w:rFonts w:ascii="Arial" w:hAnsi="Arial"/>
                <w:sz w:val="17"/>
              </w:rPr>
              <w:t>Local Generative AI</w:t>
            </w:r>
          </w:p>
        </w:tc>
        <w:tc>
          <w:tcPr>
            <w:tcW w:w="3120" w:type="dxa"/>
            <w:shd w:val="clear" w:color="auto" w:fill="FFFFFF"/>
            <w:tcMar>
              <w:top w:w="80" w:type="dxa"/>
              <w:left w:w="120" w:type="dxa"/>
              <w:bottom w:w="80" w:type="dxa"/>
              <w:right w:w="120" w:type="dxa"/>
            </w:tcMar>
          </w:tcPr>
          <w:p w14:paraId="7A3D20CD" w14:textId="77777777" w:rsidR="002C3A51" w:rsidRDefault="00000000">
            <w:r>
              <w:rPr>
                <w:rFonts w:ascii="Arial" w:hAnsi="Arial"/>
                <w:sz w:val="17"/>
              </w:rPr>
              <w:t>Ollama, LLaMA-3 / Phi-3 / Mistral</w:t>
            </w:r>
          </w:p>
        </w:tc>
        <w:tc>
          <w:tcPr>
            <w:tcW w:w="3120" w:type="dxa"/>
            <w:shd w:val="clear" w:color="auto" w:fill="FFFFFF"/>
            <w:tcMar>
              <w:top w:w="80" w:type="dxa"/>
              <w:left w:w="120" w:type="dxa"/>
              <w:bottom w:w="80" w:type="dxa"/>
              <w:right w:w="120" w:type="dxa"/>
            </w:tcMar>
          </w:tcPr>
          <w:p w14:paraId="16205DB3" w14:textId="77777777" w:rsidR="002C3A51" w:rsidRDefault="00000000">
            <w:r>
              <w:rPr>
                <w:rFonts w:ascii="Arial" w:hAnsi="Arial"/>
                <w:sz w:val="17"/>
              </w:rPr>
              <w:t>On-device local Large Language Model generating natural-language incident briefings via HTTP REST.</w:t>
            </w:r>
          </w:p>
        </w:tc>
      </w:tr>
      <w:tr w:rsidR="002C3A51" w14:paraId="2997FE5D" w14:textId="77777777">
        <w:trPr>
          <w:jc w:val="center"/>
        </w:trPr>
        <w:tc>
          <w:tcPr>
            <w:tcW w:w="3120" w:type="dxa"/>
            <w:shd w:val="clear" w:color="auto" w:fill="F8FAFC"/>
            <w:tcMar>
              <w:top w:w="80" w:type="dxa"/>
              <w:left w:w="120" w:type="dxa"/>
              <w:bottom w:w="80" w:type="dxa"/>
              <w:right w:w="120" w:type="dxa"/>
            </w:tcMar>
          </w:tcPr>
          <w:p w14:paraId="7D385C1E" w14:textId="77777777" w:rsidR="002C3A51" w:rsidRDefault="00000000">
            <w:r>
              <w:rPr>
                <w:rFonts w:ascii="Arial" w:hAnsi="Arial"/>
                <w:sz w:val="17"/>
              </w:rPr>
              <w:t>Feature Engineering</w:t>
            </w:r>
          </w:p>
        </w:tc>
        <w:tc>
          <w:tcPr>
            <w:tcW w:w="3120" w:type="dxa"/>
            <w:shd w:val="clear" w:color="auto" w:fill="F8FAFC"/>
            <w:tcMar>
              <w:top w:w="80" w:type="dxa"/>
              <w:left w:w="120" w:type="dxa"/>
              <w:bottom w:w="80" w:type="dxa"/>
              <w:right w:w="120" w:type="dxa"/>
            </w:tcMar>
          </w:tcPr>
          <w:p w14:paraId="7632F07E" w14:textId="77777777" w:rsidR="002C3A51" w:rsidRDefault="00000000">
            <w:r>
              <w:rPr>
                <w:rFonts w:ascii="Arial" w:hAnsi="Arial"/>
                <w:sz w:val="17"/>
              </w:rPr>
              <w:t>urllib.parse, Regex, NumPy, Pandas</w:t>
            </w:r>
          </w:p>
        </w:tc>
        <w:tc>
          <w:tcPr>
            <w:tcW w:w="3120" w:type="dxa"/>
            <w:shd w:val="clear" w:color="auto" w:fill="F8FAFC"/>
            <w:tcMar>
              <w:top w:w="80" w:type="dxa"/>
              <w:left w:w="120" w:type="dxa"/>
              <w:bottom w:w="80" w:type="dxa"/>
              <w:right w:w="120" w:type="dxa"/>
            </w:tcMar>
          </w:tcPr>
          <w:p w14:paraId="1B410CE2" w14:textId="77777777" w:rsidR="002C3A51" w:rsidRDefault="00000000">
            <w:r>
              <w:rPr>
                <w:rFonts w:ascii="Arial" w:hAnsi="Arial"/>
                <w:sz w:val="17"/>
              </w:rPr>
              <w:t>Dynamic parsing of raw URLs into 30 structural, host, and content-mimicking attributes.</w:t>
            </w:r>
          </w:p>
        </w:tc>
      </w:tr>
      <w:tr w:rsidR="002C3A51" w14:paraId="5F30432E" w14:textId="77777777">
        <w:trPr>
          <w:jc w:val="center"/>
        </w:trPr>
        <w:tc>
          <w:tcPr>
            <w:tcW w:w="3120" w:type="dxa"/>
            <w:shd w:val="clear" w:color="auto" w:fill="FFFFFF"/>
            <w:tcMar>
              <w:top w:w="80" w:type="dxa"/>
              <w:left w:w="120" w:type="dxa"/>
              <w:bottom w:w="80" w:type="dxa"/>
              <w:right w:w="120" w:type="dxa"/>
            </w:tcMar>
          </w:tcPr>
          <w:p w14:paraId="4705FB78" w14:textId="77777777" w:rsidR="002C3A51" w:rsidRDefault="00000000">
            <w:r>
              <w:rPr>
                <w:rFonts w:ascii="Arial" w:hAnsi="Arial"/>
                <w:sz w:val="17"/>
              </w:rPr>
              <w:t>Web Presentation Dashboard</w:t>
            </w:r>
          </w:p>
        </w:tc>
        <w:tc>
          <w:tcPr>
            <w:tcW w:w="3120" w:type="dxa"/>
            <w:shd w:val="clear" w:color="auto" w:fill="FFFFFF"/>
            <w:tcMar>
              <w:top w:w="80" w:type="dxa"/>
              <w:left w:w="120" w:type="dxa"/>
              <w:bottom w:w="80" w:type="dxa"/>
              <w:right w:w="120" w:type="dxa"/>
            </w:tcMar>
          </w:tcPr>
          <w:p w14:paraId="4B8D0196" w14:textId="77777777" w:rsidR="002C3A51" w:rsidRDefault="00000000">
            <w:r>
              <w:rPr>
                <w:rFonts w:ascii="Arial" w:hAnsi="Arial"/>
                <w:sz w:val="17"/>
              </w:rPr>
              <w:t>Streamlit, Vanilla CSS, Matplotlib, Seaborn</w:t>
            </w:r>
          </w:p>
        </w:tc>
        <w:tc>
          <w:tcPr>
            <w:tcW w:w="3120" w:type="dxa"/>
            <w:shd w:val="clear" w:color="auto" w:fill="FFFFFF"/>
            <w:tcMar>
              <w:top w:w="80" w:type="dxa"/>
              <w:left w:w="120" w:type="dxa"/>
              <w:bottom w:w="80" w:type="dxa"/>
              <w:right w:w="120" w:type="dxa"/>
            </w:tcMar>
          </w:tcPr>
          <w:p w14:paraId="7B82ACE8" w14:textId="77777777" w:rsidR="002C3A51" w:rsidRDefault="00000000">
            <w:r>
              <w:rPr>
                <w:rFonts w:ascii="Arial" w:hAnsi="Arial"/>
                <w:sz w:val="17"/>
              </w:rPr>
              <w:t>Commercial SaaS dark-mode frontend with glassmorphism, responsive charts, and sidebar navigation.</w:t>
            </w:r>
          </w:p>
        </w:tc>
      </w:tr>
      <w:tr w:rsidR="002C3A51" w14:paraId="2015716C" w14:textId="77777777">
        <w:trPr>
          <w:jc w:val="center"/>
        </w:trPr>
        <w:tc>
          <w:tcPr>
            <w:tcW w:w="3120" w:type="dxa"/>
            <w:shd w:val="clear" w:color="auto" w:fill="F8FAFC"/>
            <w:tcMar>
              <w:top w:w="80" w:type="dxa"/>
              <w:left w:w="120" w:type="dxa"/>
              <w:bottom w:w="80" w:type="dxa"/>
              <w:right w:w="120" w:type="dxa"/>
            </w:tcMar>
          </w:tcPr>
          <w:p w14:paraId="598E2223" w14:textId="77777777" w:rsidR="002C3A51" w:rsidRDefault="00000000">
            <w:r>
              <w:rPr>
                <w:rFonts w:ascii="Arial" w:hAnsi="Arial"/>
                <w:sz w:val="17"/>
              </w:rPr>
              <w:t>REST API Backend</w:t>
            </w:r>
          </w:p>
        </w:tc>
        <w:tc>
          <w:tcPr>
            <w:tcW w:w="3120" w:type="dxa"/>
            <w:shd w:val="clear" w:color="auto" w:fill="F8FAFC"/>
            <w:tcMar>
              <w:top w:w="80" w:type="dxa"/>
              <w:left w:w="120" w:type="dxa"/>
              <w:bottom w:w="80" w:type="dxa"/>
              <w:right w:w="120" w:type="dxa"/>
            </w:tcMar>
          </w:tcPr>
          <w:p w14:paraId="3CC07E2B" w14:textId="77777777" w:rsidR="002C3A51" w:rsidRDefault="00000000">
            <w:r>
              <w:rPr>
                <w:rFonts w:ascii="Arial" w:hAnsi="Arial"/>
                <w:sz w:val="17"/>
              </w:rPr>
              <w:t>FastAPI, Uvicorn, Pydantic</w:t>
            </w:r>
          </w:p>
        </w:tc>
        <w:tc>
          <w:tcPr>
            <w:tcW w:w="3120" w:type="dxa"/>
            <w:shd w:val="clear" w:color="auto" w:fill="F8FAFC"/>
            <w:tcMar>
              <w:top w:w="80" w:type="dxa"/>
              <w:left w:w="120" w:type="dxa"/>
              <w:bottom w:w="80" w:type="dxa"/>
              <w:right w:w="120" w:type="dxa"/>
            </w:tcMar>
          </w:tcPr>
          <w:p w14:paraId="3FB50F36" w14:textId="77777777" w:rsidR="002C3A51" w:rsidRDefault="00000000">
            <w:r>
              <w:rPr>
                <w:rFonts w:ascii="Arial" w:hAnsi="Arial"/>
                <w:sz w:val="17"/>
              </w:rPr>
              <w:t>Headless REST microservice enabling programmatic URL scanning and enterprise SIEM integration.</w:t>
            </w:r>
          </w:p>
        </w:tc>
      </w:tr>
      <w:tr w:rsidR="002C3A51" w14:paraId="290DAFCC" w14:textId="77777777">
        <w:trPr>
          <w:jc w:val="center"/>
        </w:trPr>
        <w:tc>
          <w:tcPr>
            <w:tcW w:w="3120" w:type="dxa"/>
            <w:shd w:val="clear" w:color="auto" w:fill="FFFFFF"/>
            <w:tcMar>
              <w:top w:w="80" w:type="dxa"/>
              <w:left w:w="120" w:type="dxa"/>
              <w:bottom w:w="80" w:type="dxa"/>
              <w:right w:w="120" w:type="dxa"/>
            </w:tcMar>
          </w:tcPr>
          <w:p w14:paraId="71ACF7CD" w14:textId="77777777" w:rsidR="002C3A51" w:rsidRDefault="00000000">
            <w:r>
              <w:rPr>
                <w:rFonts w:ascii="Arial" w:hAnsi="Arial"/>
                <w:sz w:val="17"/>
              </w:rPr>
              <w:t>Data Preprocessing &amp; Scaling</w:t>
            </w:r>
          </w:p>
        </w:tc>
        <w:tc>
          <w:tcPr>
            <w:tcW w:w="3120" w:type="dxa"/>
            <w:shd w:val="clear" w:color="auto" w:fill="FFFFFF"/>
            <w:tcMar>
              <w:top w:w="80" w:type="dxa"/>
              <w:left w:w="120" w:type="dxa"/>
              <w:bottom w:w="80" w:type="dxa"/>
              <w:right w:w="120" w:type="dxa"/>
            </w:tcMar>
          </w:tcPr>
          <w:p w14:paraId="13AB5CD3" w14:textId="77777777" w:rsidR="002C3A51" w:rsidRDefault="00000000">
            <w:r>
              <w:rPr>
                <w:rFonts w:ascii="Arial" w:hAnsi="Arial"/>
                <w:sz w:val="17"/>
              </w:rPr>
              <w:t>StandardScaler, SelectKBest, Mutual Info</w:t>
            </w:r>
          </w:p>
        </w:tc>
        <w:tc>
          <w:tcPr>
            <w:tcW w:w="3120" w:type="dxa"/>
            <w:shd w:val="clear" w:color="auto" w:fill="FFFFFF"/>
            <w:tcMar>
              <w:top w:w="80" w:type="dxa"/>
              <w:left w:w="120" w:type="dxa"/>
              <w:bottom w:w="80" w:type="dxa"/>
              <w:right w:w="120" w:type="dxa"/>
            </w:tcMar>
          </w:tcPr>
          <w:p w14:paraId="3014CD1D" w14:textId="77777777" w:rsidR="002C3A51" w:rsidRDefault="00000000">
            <w:r>
              <w:rPr>
                <w:rFonts w:ascii="Arial" w:hAnsi="Arial"/>
                <w:sz w:val="17"/>
              </w:rPr>
              <w:t>Normalization of numeric features fit strictly on the training partition to prevent data leakage.</w:t>
            </w:r>
          </w:p>
        </w:tc>
      </w:tr>
    </w:tbl>
    <w:p w14:paraId="0D1DEBEC" w14:textId="77777777" w:rsidR="002C3A51" w:rsidRDefault="002C3A51"/>
    <w:p w14:paraId="4FF062CC" w14:textId="77777777" w:rsidR="002C3A51" w:rsidRDefault="00000000">
      <w:pPr>
        <w:pStyle w:val="Heading1"/>
        <w:spacing w:before="320" w:after="160"/>
      </w:pPr>
      <w:r>
        <w:lastRenderedPageBreak/>
        <w:t>3. Multi-Paradigm AI Architecture &amp; Algorithms</w:t>
      </w:r>
    </w:p>
    <w:p w14:paraId="540B1070" w14:textId="77777777" w:rsidR="002C3A51" w:rsidRDefault="00000000">
      <w:pPr>
        <w:spacing w:after="160"/>
      </w:pPr>
      <w:r>
        <w:t>A central requirement of the AI Systems &amp; Applications course is demonstrating multiple distinct artificial intelligence paradigms cooperating within a cohesive pipeline rather than relying on a standalone classifier. PhishShield integrates five distinct paradigms:</w:t>
      </w:r>
    </w:p>
    <w:p w14:paraId="47827AD8" w14:textId="77777777" w:rsidR="002C3A51" w:rsidRDefault="00000000">
      <w:pPr>
        <w:pStyle w:val="Heading2"/>
        <w:spacing w:after="80"/>
      </w:pPr>
      <w:r>
        <w:t>3.1 Paradigm 1: Symbolic AI (Empirically Weighted Rule Engine)</w:t>
      </w:r>
    </w:p>
    <w:p w14:paraId="73AF885B" w14:textId="77777777" w:rsidR="002C3A51" w:rsidRDefault="00000000">
      <w:r>
        <w:t>The Symbolic AI layer (implemented in src/rule_engine.py) models domain expertise using 15 transparent, deterministic heuristic rules. Unlike black-box models, this layer produces human-verifiable logic. All rule directions and weights were empirically calibrated against dataset correlation coefficients to prevent counter-intuitive assumptions.</w:t>
      </w:r>
      <w:r>
        <w:br/>
        <w:t>Key Heuristics Include:</w:t>
      </w:r>
      <w:r>
        <w:br/>
        <w:t>• Lack of HTTPS (IsHTTPS == 0): Strong positive correlation with phishing risk (Weight: +0.65).</w:t>
      </w:r>
      <w:r>
        <w:br/>
        <w:t>• IP-Based Domain (IsDomainIP == 1): Detects direct IPv4 hostnames used to bypass DNS domain reputation filters (Weight: +0.80).</w:t>
      </w:r>
      <w:r>
        <w:br/>
        <w:t>• Hex Obfuscation &amp; Special Characters (HasObfuscation == 1, '@' character present): Exploited to deceive browser URL bars (Weight: +0.70).</w:t>
      </w:r>
      <w:r>
        <w:br/>
        <w:t>• Hidden Form Fields (HasHiddenFields == 1): Identifies clandestine credential harvesting inputs in login forms (Weight: +0.60).</w:t>
      </w:r>
      <w:r>
        <w:br/>
        <w:t>• Brand Spoofing &amp; Low Similarity Index (URLSimilarityIndex &lt; 50): Detects typosquatting targeting PayPal, Amazon, Google, etc. (Weight: +0.85).</w:t>
      </w:r>
      <w:r>
        <w:br/>
        <w:t>• Form Redirection &amp; Shorteners (NoOfURLRedirect &gt; 0): Detects multi-hop evasion gateways (Weight: +0.55).</w:t>
      </w:r>
      <w:r>
        <w:br/>
        <w:t>When aggregate weighted rule score exceeds the empirical threshold, the rule engine flags the sample and lists all triggered violations.</w:t>
      </w:r>
    </w:p>
    <w:p w14:paraId="300F0DBC" w14:textId="77777777" w:rsidR="002C3A51" w:rsidRDefault="00000000">
      <w:pPr>
        <w:pStyle w:val="Heading2"/>
        <w:spacing w:after="80"/>
      </w:pPr>
      <w:r>
        <w:t>3.2 Paradigm 2: Supervised Machine Learning (Ensemble Classifiers)</w:t>
      </w:r>
    </w:p>
    <w:p w14:paraId="4C8EB6BE" w14:textId="77777777" w:rsidR="002C3A51" w:rsidRDefault="00000000">
      <w:r>
        <w:t>The supervised learning component (src/classifiers.py) benchmarks three distinct model families across three feature selection regimes (9 total configurations):</w:t>
      </w:r>
      <w:r>
        <w:br/>
        <w:t>1. XGBoost (Extreme Gradient Boosting): Non-linear decision tree ensemble utilizing regularized gradient objective functions for rapid, high-accuracy inference.</w:t>
      </w:r>
      <w:r>
        <w:br/>
        <w:t>2. Multi-Layer Perceptron (MLP Neural Network): Feed-forward deep architecture with hidden ReLU layers and backpropagation to capture complex feature interactions.</w:t>
      </w:r>
      <w:r>
        <w:br/>
        <w:t>3. Logistic Regression (L2 Regularized): Generalized linear baseline providing probabilistic log-odds calibration.</w:t>
      </w:r>
      <w:r>
        <w:br/>
      </w:r>
      <w:r>
        <w:br/>
        <w:t>Feature Selection Strategies Evaluated:</w:t>
      </w:r>
      <w:r>
        <w:br/>
        <w:t>• Full 30 Attributes: Evaluates all engineered features.</w:t>
      </w:r>
      <w:r>
        <w:br/>
        <w:t>• SelectKBest via Mutual Information: Selects top 15 features maximizing mutual information (I(X; Y)) with the phishing label.</w:t>
      </w:r>
      <w:r>
        <w:br/>
        <w:t>• SelectKBest via Chi-Square (χ²): Selects top 15 features with highest statistical dependence on class distribution.</w:t>
      </w:r>
      <w:r>
        <w:br/>
      </w:r>
      <w:r>
        <w:br/>
      </w:r>
      <w:r>
        <w:lastRenderedPageBreak/>
        <w:t>The model achieving the highest held-out F1-Score is automatically serialized as models/best_model.pkl and deployed into production.</w:t>
      </w:r>
    </w:p>
    <w:p w14:paraId="1A0581E0" w14:textId="77777777" w:rsidR="002C3A51" w:rsidRDefault="00000000">
      <w:pPr>
        <w:pStyle w:val="Heading2"/>
        <w:spacing w:after="80"/>
      </w:pPr>
      <w:r>
        <w:t>3.3 Paradigm 3: Unsupervised Machine Learning (Isolation Forest Anomaly Detection)</w:t>
      </w:r>
    </w:p>
    <w:p w14:paraId="60542299" w14:textId="77777777" w:rsidR="002C3A51" w:rsidRDefault="00000000">
      <w:r>
        <w:t>Supervised models fail when confronting zero-day phishing attacks whose structural patterns do not resemble previously labeled samples. To mitigate this, PhishShield implements an unsupervised Isolation Forest (src/anomaly_detector.py) trained exclusively on legitimate/benign URL vectors.</w:t>
      </w:r>
      <w:r>
        <w:br/>
        <w:t>• Mathematical Principle: Isolation Forest isolates structural anomalies by randomly partitioning feature space. Because anomalous instances require fewer recursive splits to isolate, their average tree path length h(x) is significantly shorter than normal clusters.</w:t>
      </w:r>
      <w:r>
        <w:br/>
        <w:t>• Thresholding: Samples yielding an anomaly score s(x) &gt; 0.50 are flagged as structural outliers. If the supervised classifier marks a URL as legitimate but the Isolation Forest flags it as an outlier, the system triggers a manual review alert.</w:t>
      </w:r>
    </w:p>
    <w:p w14:paraId="16C03894" w14:textId="77777777" w:rsidR="002C3A51" w:rsidRDefault="00000000">
      <w:pPr>
        <w:pStyle w:val="Heading2"/>
        <w:spacing w:after="80"/>
      </w:pPr>
      <w:r>
        <w:t>3.4 Paradigm 4: Explainable AI (SHAP Feature Attribution)</w:t>
      </w:r>
    </w:p>
    <w:p w14:paraId="674735F1" w14:textId="77777777" w:rsidR="002C3A51" w:rsidRDefault="00000000">
      <w:r>
        <w:t>Security analysts cannot rely on opaque black-box predictions. The Explainable AI module (src/explainer.py) computes exact Shapley Additive exPlanations (SHAP) grounded in cooperative game theory:</w:t>
      </w:r>
      <w:r>
        <w:br/>
        <w:t>• Local Attribution: Quantifies the positive or negative contribution (ϕ_i) of every single URL feature for the current prediction. Features pushing the prediction toward phishing are rendered in crimson (+ϕ), while features supporting legitimate safety are rendered in emerald (-ϕ).</w:t>
      </w:r>
      <w:r>
        <w:br/>
        <w:t>• Global Attribution: Summarizes feature importance across the entire corpus via beeswarm distributions, exposing the dominant threat indicators globally.</w:t>
      </w:r>
    </w:p>
    <w:p w14:paraId="31ED56E3" w14:textId="77777777" w:rsidR="002C3A51" w:rsidRDefault="00000000">
      <w:pPr>
        <w:pStyle w:val="Heading2"/>
        <w:spacing w:after="80"/>
      </w:pPr>
      <w:r>
        <w:t>3.5 Paradigm 5: Generative AI (Local On-Device Ollama LLM Reporting)</w:t>
      </w:r>
    </w:p>
    <w:p w14:paraId="792B115C" w14:textId="77777777" w:rsidR="002C3A51" w:rsidRDefault="00000000">
      <w:r>
        <w:t>The generative AI layer (src/llm_explainer.py) synthesizes numerical ML probabilities, triggered heuristic rules, and top SHAP features into a structured, natural-language Security Operations Center (SOC) Incident Briefing.</w:t>
      </w:r>
      <w:r>
        <w:br/>
        <w:t>• 100% On-Device Privacy: Connects to a locally running Ollama instance (http://localhost:11434) hosting open-weight models (LLaMA-3, Phi-3, Mistral). No URL data or telemetry is transmitted to external cloud providers.</w:t>
      </w:r>
      <w:r>
        <w:br/>
        <w:t>• Dual Transport Architecture: Supports both the official ollama Python library and standard-library HTTP REST fallback, ensuring seamless operation.</w:t>
      </w:r>
      <w:r>
        <w:br/>
        <w:t>• Deterministic Resilience: If Ollama is offline or uninstalled, the system automatically falls back to an internal deterministic safety brief generator, guaranteeing zero application downtime.</w:t>
      </w:r>
      <w:r>
        <w:br/>
        <w:t>• Structured Output Schema: Generates three distinct sections: (1) Executive Threat Summary, (2) Detected Attack Vectors, and (3) Recommended Action Checklist.</w:t>
      </w:r>
    </w:p>
    <w:p w14:paraId="044600E5" w14:textId="77777777" w:rsidR="002C3A51" w:rsidRDefault="00000000">
      <w:pPr>
        <w:pStyle w:val="Heading2"/>
        <w:spacing w:after="80"/>
      </w:pPr>
      <w:r>
        <w:t>3.6 Decision Fusion &amp; Conflict Resolution Layer</w:t>
      </w:r>
    </w:p>
    <w:p w14:paraId="0C9CF815" w14:textId="77777777" w:rsidR="002C3A51" w:rsidRDefault="00000000">
      <w:pPr>
        <w:spacing w:after="280"/>
      </w:pPr>
      <w:r>
        <w:t>The Decision Fusion Engine (src/fusion.py) integrates outputs from the Rule Engine (Symbolic), Classifier (Supervised), and Anomaly Detector (Unsupervised):</w:t>
      </w:r>
      <w:r>
        <w:br/>
        <w:t>1. Full Consensus: If Rule Engine and Supervised ML agree on 'phishing' or 'legitimate', confidence is boosted (0.85 - 0.99) and final verdict is locked.</w:t>
      </w:r>
      <w:r>
        <w:br/>
      </w:r>
      <w:r>
        <w:lastRenderedPageBreak/>
        <w:t>2. Disagreement &amp; Weighting: If they disagree, a weighted composite confidence score is calculated: Confidence = (0.65 × ML_Confidence) + (0.35 × Rule_Confidence). The manual_review flag is set to True to alert human SOC operators.</w:t>
      </w:r>
      <w:r>
        <w:br/>
        <w:t>3. Anomaly Penalty: If the classifier clears a URL as legitimate but the Isolation Forest flags an anomaly, confidence is penalized by -0.15 and flagged for review.</w:t>
      </w:r>
    </w:p>
    <w:p w14:paraId="7CE5FB84" w14:textId="77777777" w:rsidR="002C3A51" w:rsidRDefault="00000000">
      <w:pPr>
        <w:pStyle w:val="Heading1"/>
        <w:spacing w:before="320" w:after="160"/>
      </w:pPr>
      <w:r>
        <w:t>4. Commercial SaaS Dashboard: Tab-by-Tab Breakdown</w:t>
      </w:r>
    </w:p>
    <w:p w14:paraId="1DEEF882" w14:textId="77777777" w:rsidR="002C3A51" w:rsidRDefault="00000000">
      <w:r>
        <w:t>The user interface has been completely restructured from a cluttered prototype into an enterprise cybersecurity SaaS dashboard. Navigation is handled via a modern sidebar menu, driving four dedicated, single-responsibility views. Below is a detailed explanation of each view:</w:t>
      </w:r>
    </w:p>
    <w:p w14:paraId="73C048F3" w14:textId="77777777" w:rsidR="002C3A51" w:rsidRDefault="00000000">
      <w:pPr>
        <w:pStyle w:val="Heading2"/>
        <w:spacing w:after="80"/>
      </w:pPr>
      <w:r>
        <w:t>4.1 View 1: 🔍 URL Threat Scanner (Primary Main View)</w:t>
      </w:r>
    </w:p>
    <w:p w14:paraId="32BB752F" w14:textId="77777777" w:rsidR="002C3A51" w:rsidRDefault="00000000">
      <w:pPr>
        <w:spacing w:after="240"/>
      </w:pPr>
      <w:r>
        <w:t>Role: Serves as the primary operational workspace for entering and analyzing target URLs with zero input friction.</w:t>
      </w:r>
      <w:r>
        <w:br/>
      </w:r>
      <w:r>
        <w:br/>
        <w:t>Displayed Components &amp; Contents:</w:t>
      </w:r>
      <w:r>
        <w:br/>
        <w:t>1. Centered SaaS Header &amp; Trust Strip: Displays brand identity ('PhishShield Enterprise AI'), subtitle, and active paradigm pills.</w:t>
      </w:r>
      <w:r>
        <w:br/>
        <w:t>2. Single Raw-URL Input Field: Generously sized text input box with JetBrains Mono typography for pasting any target URL. Eliminates all manual feature inputs.</w:t>
      </w:r>
      <w:r>
        <w:br/>
        <w:t>3. Action Buttons: Bold 'Scan URL Vector with 5 AI Paradigms' (primary) and 'Reset Viewport' (secondary).</w:t>
      </w:r>
      <w:r>
        <w:br/>
        <w:t>4. High-Impact Verdict Hero Banner:</w:t>
      </w:r>
      <w:r>
        <w:br/>
        <w:t xml:space="preserve">   • Crimson Alert Banner (Phishing): Prominent warning icon (🚨), 'MALICIOUS PHISHING DETECTED' title, target URL display, and immediate safety warning.</w:t>
      </w:r>
      <w:r>
        <w:br/>
        <w:t xml:space="preserve">   • Emerald Clean Banner (Legitimate): Verified badge (✅), 'VERIFIED BENIGN / LEGITIMATE' title, and baseline clearance notice.</w:t>
      </w:r>
      <w:r>
        <w:br/>
        <w:t>5. Four Key Performance Metric Cards:</w:t>
      </w:r>
      <w:r>
        <w:br/>
        <w:t xml:space="preserve">   • Threat Probability (%): Fused multi-paradigm confidence score.</w:t>
      </w:r>
      <w:r>
        <w:br/>
        <w:t xml:space="preserve">   • Manual SOC Review: Shows 'FLAGGED (REVIEW)' if paradigms disagree or anomalies exist; otherwise 'CLEAR (AUTOMATED)'.</w:t>
      </w:r>
      <w:r>
        <w:br/>
        <w:t xml:space="preserve">   • AI Paradigm Consensus: States overall engine agreement ('MALICIOUS' vs. 'BENIGN').</w:t>
      </w:r>
      <w:r>
        <w:br/>
        <w:t xml:space="preserve">   • LLM Report Engine: Displays the active model name (e.g. 'LLAMA3') or 'SAFETY HEURISTIC' if offline.</w:t>
      </w:r>
      <w:r>
        <w:br/>
        <w:t>6. Autonomous AI Incident Briefing Card (Ollama):</w:t>
      </w:r>
      <w:r>
        <w:br/>
        <w:t xml:space="preserve">   • Luminous gradient card with a pulsing active status chip ('● OLLAMA ACTIVE · LLAMA3' or amber fallback notice).</w:t>
      </w:r>
      <w:r>
        <w:br/>
        <w:t xml:space="preserve">   • Structured markdown content with 'Executive Threat Summary', 'Primary Attack Indicators', and 'Recommended Security Actions'.</w:t>
      </w:r>
      <w:r>
        <w:br/>
        <w:t xml:space="preserve">   • Interactive Toolbar: 'Re-Generate Brief with Ollama' button to re-prompt on demand and 'Inspect Structured Prompt' expander.</w:t>
      </w:r>
      <w:r>
        <w:br/>
        <w:t>7. Multi-Paradigm Signal Decomposition (3 Equal-Width Cards):</w:t>
      </w:r>
      <w:r>
        <w:br/>
      </w:r>
      <w:r>
        <w:lastRenderedPageBreak/>
        <w:t xml:space="preserve">   • Rule Engine Card: Shows symbolic verdict, confidence, and triggered rule tags (e.g., 'No HTTPS', 'Brand Typosquatting').</w:t>
      </w:r>
      <w:r>
        <w:br/>
        <w:t xml:space="preserve">   • Supervised ML Ensemble Card: Displays ensemble model verdict and calibrated probability.</w:t>
      </w:r>
      <w:r>
        <w:br/>
        <w:t xml:space="preserve">   • Isolation Forest Card: Displays unsupervised outlier status and exact isolation score.</w:t>
      </w:r>
      <w:r>
        <w:br/>
        <w:t>8. Derived 30-Features Data Expander: Collapsible table listing all 30 dynamically computed lexical, host, and content attributes for forensic inspection.</w:t>
      </w:r>
    </w:p>
    <w:p w14:paraId="5C8B5CEC" w14:textId="77777777" w:rsidR="002C3A51" w:rsidRDefault="00000000">
      <w:pPr>
        <w:pStyle w:val="Heading2"/>
        <w:spacing w:after="80"/>
      </w:pPr>
      <w:r>
        <w:t>4.2 View 2: 📊 Visual Analytics &amp; Explainability (XAI Workspace)</w:t>
      </w:r>
    </w:p>
    <w:p w14:paraId="6978A332" w14:textId="77777777" w:rsidR="002C3A51" w:rsidRDefault="00000000">
      <w:pPr>
        <w:spacing w:after="240"/>
      </w:pPr>
      <w:r>
        <w:t>Role: Centralizes all charts, plots, and visual explainability diagrams into one dedicated visual workspace, eliminating clutter from the main scanner.</w:t>
      </w:r>
      <w:r>
        <w:br/>
      </w:r>
      <w:r>
        <w:br/>
        <w:t>Displayed Components &amp; Contents:</w:t>
      </w:r>
      <w:r>
        <w:br/>
        <w:t>1. Local Target Feature Attribution (SHAP Bar Chart):</w:t>
      </w:r>
      <w:r>
        <w:br/>
        <w:t xml:space="preserve">   • Renders an interactive horizontal bar chart for the most recently scanned URL.</w:t>
      </w:r>
      <w:r>
        <w:br/>
        <w:t xml:space="preserve">   • Each bar represents a specific URL feature: Crimson bars (+ϕ) indicate features elevating phishing risk, while Emerald bars (-ϕ) indicate features supporting safety.</w:t>
      </w:r>
      <w:r>
        <w:br/>
        <w:t xml:space="preserve">   • X-axis indicates the exact SHAP impact magnitude, sorted by absolute influence.</w:t>
      </w:r>
      <w:r>
        <w:br/>
        <w:t>2. Global Dataset Feature Importance (SHAP Beeswarm Plot):</w:t>
      </w:r>
      <w:r>
        <w:br/>
        <w:t xml:space="preserve">   • High-resolution beeswarm plot (loaded from outputs/shap_summary.png) depicting global feature importances across the entire test dataset.</w:t>
      </w:r>
      <w:r>
        <w:br/>
        <w:t xml:space="preserve">   • Visualizes how high vs. low feature values drive model decisions across thousands of URLs.</w:t>
      </w:r>
      <w:r>
        <w:br/>
        <w:t>3. Multi-Paradigm Consensus Architecture Breakdown:</w:t>
      </w:r>
      <w:r>
        <w:br/>
        <w:t xml:space="preserve">   • Four structured glassmorphic cards explaining the mechanics of Symbolic Rules, Supervised Ensembles, Isolation Outlier Forests, and Local LLM Generation.</w:t>
      </w:r>
    </w:p>
    <w:p w14:paraId="5419B0B8" w14:textId="77777777" w:rsidR="002C3A51" w:rsidRDefault="00000000">
      <w:pPr>
        <w:pStyle w:val="Heading2"/>
        <w:spacing w:after="80"/>
      </w:pPr>
      <w:r>
        <w:t>4.3 View 3: ⚡ Model Benchmarks &amp; Empirical Performance</w:t>
      </w:r>
    </w:p>
    <w:p w14:paraId="789D70D6" w14:textId="77777777" w:rsidR="002C3A51" w:rsidRDefault="00000000">
      <w:pPr>
        <w:spacing w:after="240"/>
      </w:pPr>
      <w:r>
        <w:t>Role: Enterprise evaluation suite presenting empirical ML validation and comparative classifier metrics.</w:t>
      </w:r>
      <w:r>
        <w:br/>
      </w:r>
      <w:r>
        <w:br/>
        <w:t>Displayed Components &amp; Contents:</w:t>
      </w:r>
      <w:r>
        <w:br/>
        <w:t>1. Empirical Model Evaluation Matrix (Leaderboard Table):</w:t>
      </w:r>
      <w:r>
        <w:br/>
        <w:t xml:space="preserve">   • Interactive data table comparing all 9 experimental configurations.</w:t>
      </w:r>
      <w:r>
        <w:br/>
        <w:t xml:space="preserve">   • Metrics displayed per row: Classifier Architecture, Feature Selection Strategy, F1-Score, ROC-AUC, Accuracy, Precision, Recall, and Inference Latency.</w:t>
      </w:r>
      <w:r>
        <w:br/>
        <w:t>2. Mean F1-Score Comparative Bar Chart:</w:t>
      </w:r>
      <w:r>
        <w:br/>
        <w:t xml:space="preserve">   • Multi-color bar chart comparing average F1 performance across XGBoost, MLP, and Logistic Regression with labeled numeric scores on top of each bar.</w:t>
      </w:r>
      <w:r>
        <w:br/>
        <w:t>3. ROC-AUC Cross-Strategy Heatmap:</w:t>
      </w:r>
      <w:r>
        <w:br/>
        <w:t xml:space="preserve">   • High-contrast Seaborn heatmap displaying ROC-AUC performance across Feature Selection rows (Full 30, Mutual Info, Chi-Square) vs. Classifier columns.</w:t>
      </w:r>
      <w:r>
        <w:br/>
        <w:t>4. Pipeline Validation Methodology Card:</w:t>
      </w:r>
      <w:r>
        <w:br/>
      </w:r>
      <w:r>
        <w:lastRenderedPageBreak/>
        <w:t xml:space="preserve">   • Summary card detailing the 80/20 stratified split, cross-validation parameters, and automated model persistence into models/best_model.pkl.</w:t>
      </w:r>
    </w:p>
    <w:p w14:paraId="4AFEB475" w14:textId="77777777" w:rsidR="002C3A51" w:rsidRDefault="00000000">
      <w:pPr>
        <w:pStyle w:val="Heading2"/>
        <w:spacing w:after="80"/>
      </w:pPr>
      <w:r>
        <w:t>4.4 View 4: 🗄️ Dataset &amp; Categorized Feature Directory</w:t>
      </w:r>
    </w:p>
    <w:p w14:paraId="285DC9F1" w14:textId="77777777" w:rsidR="002C3A51" w:rsidRDefault="00000000">
      <w:pPr>
        <w:spacing w:after="240"/>
      </w:pPr>
      <w:r>
        <w:t>Role: Transparent data governance view outlining dataset properties and detailed documentation for all 30 engineered features.</w:t>
      </w:r>
      <w:r>
        <w:br/>
      </w:r>
      <w:r>
        <w:br/>
        <w:t>Displayed Components &amp; Contents:</w:t>
      </w:r>
      <w:r>
        <w:br/>
        <w:t>1. Corpus KPI Metric Counters:</w:t>
      </w:r>
      <w:r>
        <w:br/>
        <w:t xml:space="preserve">   • Total Corpus Samples (e.g., 10,000+ URLs).</w:t>
      </w:r>
      <w:r>
        <w:br/>
        <w:t xml:space="preserve">   • Malicious Phishing Count (label = 1).</w:t>
      </w:r>
      <w:r>
        <w:br/>
        <w:t xml:space="preserve">   • Benign Legitimate Count (label = 0).</w:t>
      </w:r>
      <w:r>
        <w:br/>
        <w:t xml:space="preserve">   • Total Engineered Feature Count (30 continuous &amp; binary attributes).</w:t>
      </w:r>
      <w:r>
        <w:br/>
        <w:t>2. Corpus Class Balance Donut Chart:</w:t>
      </w:r>
      <w:r>
        <w:br/>
        <w:t xml:space="preserve">   • Modern dark-mode donut chart illustrating class distribution percentages with clean slice borders.</w:t>
      </w:r>
      <w:r>
        <w:br/>
        <w:t>3. Categorized 30-Feature Directory (Comprehensive Table):</w:t>
      </w:r>
      <w:r>
        <w:br/>
        <w:t xml:space="preserve">   • Categorized table dividing all 30 features into three functional cybersecurity domains:</w:t>
      </w:r>
      <w:r>
        <w:br/>
        <w:t xml:space="preserve">     a) Lexical &amp; Structure: URLLength, DomainLength, LetterRatio, DegitRatio, SpecialCharRatio, HasObfuscation, ObfuscationRatio, CharContinuationRate.</w:t>
      </w:r>
      <w:r>
        <w:br/>
        <w:t xml:space="preserve">     b) Host &amp; Network: IsDomainIP, NoOfSubDomain, IsHTTPS, TLDLegitimateProb, TLDLength, NoOfURLRedirect.</w:t>
      </w:r>
      <w:r>
        <w:br/>
        <w:t xml:space="preserve">     c) Content &amp; Behavior: HasHiddenFields, HasPasswordField, HasExternalFormSubmit, NoOfPopup, NoOfiFrame, URLSimilarityIndex, Bank, Pay, Crypto, DomainTitleMatchScore, HasTitle, HasFavicon, HasCopyrightInfo.</w:t>
      </w:r>
      <w:r>
        <w:br/>
        <w:t>4. Data Pipeline Configuration Card: Details StandardScaler fit rules (strictly on training partition) and missing value remediation.</w:t>
      </w:r>
    </w:p>
    <w:p w14:paraId="3118E96F" w14:textId="77777777" w:rsidR="002C3A51" w:rsidRDefault="00000000">
      <w:pPr>
        <w:pStyle w:val="Heading2"/>
        <w:spacing w:after="80"/>
      </w:pPr>
      <w:r>
        <w:t>4.5 Sidebar: Primary SaaS Navigation &amp; Telemetry Console</w:t>
      </w:r>
    </w:p>
    <w:p w14:paraId="23C01AB9" w14:textId="77777777" w:rsidR="002C3A51" w:rsidRDefault="00000000">
      <w:pPr>
        <w:spacing w:after="280"/>
      </w:pPr>
      <w:r>
        <w:t>Role: Replaces clunky configuration dropdowns with a sleek, distraction-free SaaS navigation drawer.</w:t>
      </w:r>
      <w:r>
        <w:br/>
      </w:r>
      <w:r>
        <w:br/>
        <w:t>Displayed Components:</w:t>
      </w:r>
      <w:r>
        <w:br/>
        <w:t>• Brand Lockup: Shield emblem, 'PhishShield', and 'v1.2 SaaS' badge.</w:t>
      </w:r>
      <w:r>
        <w:br/>
        <w:t>• Platform Navigation Radio Menu: Seamlessly switches views (🔍 Main Threat Scanner, 📊 Visual Analytics &amp; XAI, ⚡ Model Benchmarks, 🗄️ Dataset &amp; Features).</w:t>
      </w:r>
      <w:r>
        <w:br/>
        <w:t>• Local Ollama Telemetry Card: Live ping indicator (Green '● Ollama Local: Online' or Amber '○ Offline'), showing local port 11434 status.</w:t>
      </w:r>
      <w:r>
        <w:br/>
        <w:t>• Academic Attribution: PE-1 Lab · MIT-WPU footer.</w:t>
      </w:r>
    </w:p>
    <w:p w14:paraId="1BCDE50E" w14:textId="77777777" w:rsidR="002C3A51" w:rsidRDefault="00000000">
      <w:pPr>
        <w:pStyle w:val="Heading1"/>
        <w:spacing w:before="320" w:after="160"/>
      </w:pPr>
      <w:r>
        <w:lastRenderedPageBreak/>
        <w:t>5. Headless REST API Backend (server.py)</w:t>
      </w:r>
    </w:p>
    <w:p w14:paraId="44D90641" w14:textId="77777777" w:rsidR="002C3A51" w:rsidRDefault="00000000">
      <w:pPr>
        <w:spacing w:after="280"/>
      </w:pPr>
      <w:r>
        <w:t>In addition to the interactive Streamlit dashboard, PhishShield includes a high-performance headless REST microservice (server.py) built with FastAPI and Uvicorn. This enables seamless integration into enterprise Security Orchestration, Automation, and Response (SOAR) playbooks, email security gateways, and SIEM pipelines.</w:t>
      </w:r>
      <w:r>
        <w:br/>
      </w:r>
      <w:r>
        <w:br/>
        <w:t>Primary Endpoints:</w:t>
      </w:r>
      <w:r>
        <w:br/>
        <w:t>• GET /health: Returns service health status and loaded model states.</w:t>
      </w:r>
      <w:r>
        <w:br/>
        <w:t>• GET /info: Returns pipeline metadata, active classifier architecture, and feature names.</w:t>
      </w:r>
      <w:r>
        <w:br/>
        <w:t>• POST /predict: Accepts a JSON payload containing either a raw URL string or a dictionary of features. Returns the full multi-paradigm verdict, calibrated confidence score, manual review flag, component signal breakdown, SHAP top features, and the Ollama incident briefing.</w:t>
      </w:r>
    </w:p>
    <w:p w14:paraId="54D1BFFB" w14:textId="77777777" w:rsidR="002C3A51" w:rsidRDefault="00000000">
      <w:pPr>
        <w:pStyle w:val="Heading1"/>
        <w:spacing w:before="320" w:after="160"/>
      </w:pPr>
      <w:r>
        <w:t>6. System Execution &amp; Operational Guide</w:t>
      </w:r>
    </w:p>
    <w:p w14:paraId="0DBEEE42" w14:textId="77777777" w:rsidR="002C3A51" w:rsidRDefault="00000000">
      <w:pPr>
        <w:spacing w:after="280"/>
      </w:pPr>
      <w:r>
        <w:t>To run PhishShield locally, execute the following commands in your PowerShell or terminal:</w:t>
      </w:r>
      <w:r>
        <w:br/>
      </w:r>
      <w:r>
        <w:br/>
        <w:t>1. Launch Local Ollama LLM Service (Terminal 1):</w:t>
      </w:r>
      <w:r>
        <w:br/>
        <w:t xml:space="preserve">   ollama run llama3</w:t>
      </w:r>
      <w:r>
        <w:br/>
        <w:t xml:space="preserve">   (Starts the local LLM server listening on http://localhost:11434 for zero-telemetry threat briefings).</w:t>
      </w:r>
      <w:r>
        <w:br/>
      </w:r>
      <w:r>
        <w:br/>
        <w:t>2. Launch Interactive SaaS Dashboard (Terminal 2):</w:t>
      </w:r>
      <w:r>
        <w:br/>
        <w:t xml:space="preserve">   python -m streamlit run app.py</w:t>
      </w:r>
      <w:r>
        <w:br/>
        <w:t xml:space="preserve">   (Opens the commercial SaaS interface at http://localhost:8501 or http://localhost:8502).</w:t>
      </w:r>
      <w:r>
        <w:br/>
      </w:r>
      <w:r>
        <w:br/>
        <w:t>3. Launch Headless REST API Server (Optional - Terminal 3):</w:t>
      </w:r>
      <w:r>
        <w:br/>
        <w:t xml:space="preserve">   python server.py</w:t>
      </w:r>
      <w:r>
        <w:br/>
        <w:t xml:space="preserve">   (Starts the FastAPI REST server at http://localhost:8000 with Swagger UI documentation at http://localhost:8000/docs).</w:t>
      </w:r>
    </w:p>
    <w:p w14:paraId="70C706EE" w14:textId="77777777" w:rsidR="002C3A51" w:rsidRDefault="00000000">
      <w:pPr>
        <w:pStyle w:val="Heading1"/>
        <w:spacing w:before="320" w:after="160"/>
      </w:pPr>
      <w:r>
        <w:t>7. Conclusion &amp; Academic Contributions</w:t>
      </w:r>
    </w:p>
    <w:p w14:paraId="1E61D811" w14:textId="77777777" w:rsidR="002C3A51" w:rsidRDefault="00000000">
      <w:pPr>
        <w:spacing w:after="280"/>
      </w:pPr>
      <w:r>
        <w:t>PhishShield fulfills all learning outcomes for the AI Systems &amp; Applications course by demonstrating the practical fusion of symbolic heuristics, supervised learning, unsupervised anomaly detection, explainable attribution (SHAP), and generative natural-language intelligence. By packaging these advanced capabilities inside a sleek, commercial-grade SaaS dashboard with dynamic raw-URL feature derivation, the project bridges the gap between academic theory and real-world cybersecurity engineering.</w:t>
      </w:r>
    </w:p>
    <w:sectPr w:rsidR="002C3A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218712">
    <w:abstractNumId w:val="8"/>
  </w:num>
  <w:num w:numId="2" w16cid:durableId="1906330694">
    <w:abstractNumId w:val="6"/>
  </w:num>
  <w:num w:numId="3" w16cid:durableId="1851917171">
    <w:abstractNumId w:val="5"/>
  </w:num>
  <w:num w:numId="4" w16cid:durableId="647592931">
    <w:abstractNumId w:val="4"/>
  </w:num>
  <w:num w:numId="5" w16cid:durableId="1446845008">
    <w:abstractNumId w:val="7"/>
  </w:num>
  <w:num w:numId="6" w16cid:durableId="315036789">
    <w:abstractNumId w:val="3"/>
  </w:num>
  <w:num w:numId="7" w16cid:durableId="1002975410">
    <w:abstractNumId w:val="2"/>
  </w:num>
  <w:num w:numId="8" w16cid:durableId="62339142">
    <w:abstractNumId w:val="1"/>
  </w:num>
  <w:num w:numId="9" w16cid:durableId="197775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97"/>
    <w:rsid w:val="0006063C"/>
    <w:rsid w:val="0015074B"/>
    <w:rsid w:val="0029639D"/>
    <w:rsid w:val="002C3A51"/>
    <w:rsid w:val="00326F90"/>
    <w:rsid w:val="005804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3FC6A"/>
  <w14:defaultImageDpi w14:val="300"/>
  <w15:docId w15:val="{9D62F3A4-A59F-4315-927A-3CE9C7E01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2711</Words>
  <Characters>15455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 Bakare</cp:lastModifiedBy>
  <cp:revision>2</cp:revision>
  <dcterms:created xsi:type="dcterms:W3CDTF">2013-12-23T23:15:00Z</dcterms:created>
  <dcterms:modified xsi:type="dcterms:W3CDTF">2026-10-13T07:31:00Z</dcterms:modified>
  <cp:category/>
</cp:coreProperties>
</file>