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rPr>
          <w:b/>
        </w:rPr>
        <w:t>Technology executive</w:t>
      </w:r>
      <w:r>
        <w:t xml:space="preserve"> with fifteen years leading infrastructure and security teams.</w:t>
      </w:r>
    </w:p>
    <w:p>
      <w:pPr>
        <w:pStyle w:val="Heading2"/>
      </w:pPr>
      <w:r>
        <w:t>Experience</w:t>
      </w:r>
    </w:p>
    <w:p>
      <w:pPr>
        <w:pStyle w:val="Heading3"/>
      </w:pPr>
      <w:r>
        <w:t>Northwind Freight, VP of Information Technology (2019 to 2024)</w:t>
      </w:r>
    </w:p>
    <w:p>
      <w:pPr>
        <w:pStyle w:val="ListBullet"/>
      </w:pPr>
      <w:r>
        <w:t>Cut managed-service spend by a third across two regional distribution hubs.</w:t>
      </w:r>
    </w:p>
    <w:p>
      <w:pPr>
        <w:pStyle w:val="ListBullet"/>
      </w:pPr>
      <w:r>
        <w:t>Led a HIPAA remediation that closed every audit finding in nine months.</w:t>
      </w:r>
    </w:p>
    <w:p>
      <w:pPr>
        <w:pStyle w:val="Heading3"/>
      </w:pPr>
      <w:r>
        <w:t>Cascade Regional Health, Director of Infrastructure (2014 to 2019)</w:t>
      </w:r>
    </w:p>
    <w:p>
      <w:pPr>
        <w:pStyle w:val="ListBullet"/>
      </w:pPr>
      <w:r>
        <w:t>Replaced a legacy fleet-tracking platform with a cloud service in under a year.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Infrastructure</w:t>
            </w:r>
          </w:p>
        </w:tc>
      </w:tr>
      <w:tr>
        <w:tc>
          <w:tcPr>
            <w:tcW w:type="dxa" w:w="4320"/>
          </w:tcPr>
          <w:p>
            <w:r>
              <w:t>HIPAA, SOC 2</w:t>
            </w:r>
          </w:p>
        </w:tc>
        <w:tc>
          <w:tcPr>
            <w:tcW w:type="dxa" w:w="4320"/>
          </w:tcPr>
          <w:p>
            <w:r>
              <w:t>Azure, VMware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