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jc w:val="center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Руководство по подготовке файлов заданий (.mng)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jc w:val="center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технологии сбалансированной идентификации (SvF)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jc w:val="center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v3.06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jc w:val="center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Файл задания (.mng) технологии сбалансированной идентификации (SvF) предназначен для формализации задачи идентификации, задании правил генерации кода на языке Python и опций выполнения расчетов. Файл задания используется для автоматического создания компьютерной модели. Для этого конструкции SvF компилируются в код на языке Python. Файлы задания могут содержать и обычный код на Python. Он переносится в компьютерную модель без изменений. Таким образом можно рассматривать входной язык SvF технологии как язык Python обогащенный специальными конструкциями.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Постановка задачи идентификации технологии SvF включает: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задание опции компиляции (COMPILE:  TaskName = '3Body';   UseHomeforPower=False): имя задачи и указание трактовать ^ как ** </w:t>
      </w:r>
    </w:p>
    <w:p>
      <w:pPr>
        <w:pStyle w:val="BodyText"/>
        <w:numPr>
          <w:ilvl w:val="0"/>
          <w:numId w:val="1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описание данных: </w:t>
      </w:r>
    </w:p>
    <w:p>
      <w:pPr>
        <w:pStyle w:val="BodyText"/>
        <w:numPr>
          <w:ilvl w:val="1"/>
          <w:numId w:val="1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задать таблицу и столбцы ( SELECT:  x,t  from  ’dat.txt’ )</w:t>
      </w:r>
    </w:p>
    <w:p>
      <w:pPr>
        <w:pStyle w:val="BodyText"/>
        <w:numPr>
          <w:ilvl w:val="0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описание модели: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задать множества, на которых определяются функции (SET:  t=[0, 1, 0.1] #  от 0 до 1 с шагом 0.1). 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задать функции-переменные, которые и являются предметом поиска (VAR:  x(t) # функция, определенная на множестве t) 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задать функции-параметры, которые предполагаются известными (PARAM:  p(t) # функция-параметр, определенная на множестве t)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определить уравнения, связывающие переменные (и параметры) модели (EQ:  x’ = f(x)  # связь  x и f)</w:t>
      </w:r>
    </w:p>
    <w:p>
      <w:pPr>
        <w:pStyle w:val="BodyText"/>
        <w:numPr>
          <w:ilvl w:val="0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описание процедуры идентификации: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задать параметры кросс-валидации (CV:   NumOfSets=7):  разбиение на 7 подмножеств для процедуры кросс-валидации.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задать параметры для выполнения расчетов (RUN: MaxIter=21;  RunMode='S&amp;S'): максимального количества итераций выбора штрафов (гиперпараметров) процедуры минимизации критерия идентификации (21), указание, что расчеты выполняются на сервере ('S&amp;S') </w:t>
      </w:r>
    </w:p>
    <w:p>
      <w:pPr>
        <w:pStyle w:val="BodyText"/>
        <w:numPr>
          <w:ilvl w:val="1"/>
          <w:numId w:val="2"/>
        </w:numPr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формализовать критерий выбора (OBJ:   x.MSD() + x.Complexity(Penal[0]) ), который содержит слагаемое, связанное с близостью искомой функции (x) к данным (x.MSD() - среднеквадратичное отклонение) и слагаемое, формализующее понятие сложности постановки (x.Complexity(Penal[0])-кривизна функции x) зависящее от штрафов (гиперпараметров, параметров регуляризации), в данном случае от Penal[0].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Основным принципом синтаксиса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является использование блочной структуры. Блок начинается с ключевых слов, которые должны находится в начале строки и заканчиваться символом :. Они не зависят от регистра. Ключевое слово начинает соответствующий блок однотипных выражений, который продолжается до тех пор, пока первым символом в строке является пробел или табуляция. т. е. записи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  <w:t xml:space="preserve">EQ:  </w:t>
        <w:tab/>
        <w:t>d2/dt2(x) =  f(x,v)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EQ:   </w:t>
        <w:tab/>
        <w:t>v = d/dt(x)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и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  <w:t>EQ:</w:t>
        <w:tab/>
        <w:t>d2/dt2(x) =  f(x,v)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>v = d/dt(x)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являются эквивалентными.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строка блока содержит несколько элементов, они разделяются ';'.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блоках SET:, VAR:, PARAM: и EQ: действует принцип одна строка - один объект, т. е. все элементы записи на одной строке относятся к одному объекту.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нотации SvF используются многие конструкции языка Python, например, комментарии  '#' и продолжение строки '\'.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фрагменте кода: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COMPILE:  </w:t>
      </w:r>
      <w:bookmarkStart w:id="0" w:name="__DdeLink__319_920308020"/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TaskName</w:t>
      </w:r>
      <w:bookmarkEnd w:id="0"/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 'Oscillator';   ShowAll=False   # Имя задачи и флаг отображения всех графиков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SELECT:  </w:t>
        <w:tab/>
        <w:t>x,t   from  Spring5.dat</w:t>
        <w:tab/>
        <w:t># считывание столбцов x и t  из файла  Spring5.dat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SET:</w:t>
        <w:tab/>
        <w:t>t  = [    ,    ]</w:t>
        <w:tab/>
        <w:t xml:space="preserve"> </w:t>
        <w:tab/>
        <w:tab/>
        <w:t># область определения функции x(t)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 xml:space="preserve">X = [ -0.1, 2.2, 0.1 ]  </w:t>
        <w:tab/>
        <w:t># область значений (с запасом) функции x(t)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VAR:    </w:t>
        <w:tab/>
        <w:t>x ( t );  x &lt;= 4</w:t>
        <w:tab/>
        <w:tab/>
        <w:t># искомая функция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>f ( X ) = Polynome (6)</w:t>
        <w:tab/>
        <w:t xml:space="preserve"># искомая правая часть - полином 6-ой степени от x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EQ:</w:t>
        <w:tab/>
        <w:t>d2/dt2(x) =  f(x)</w:t>
        <w:tab/>
        <w:tab/>
        <w:t># дифференциальное ур-ие 2-ого порядка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CV:     </w:t>
        <w:tab/>
        <w:t>NumOfSets=7</w:t>
        <w:tab/>
        <w:tab/>
        <w:t># кол-во подмножеств для процедуры кросс-валидации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RUN:</w:t>
        <w:tab/>
        <w:t>MaxIter  = 21</w:t>
        <w:tab/>
        <w:tab/>
        <w:t># максимальное кол-во итераций поиска весов регуляризации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OBJ:  </w:t>
        <w:tab/>
        <w:t>x.MSD() + f.Complexity(Penal[0])    # критерий выбора x(t) и f(x)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auto"/>
          <w:spacing w:val="0"/>
          <w:sz w:val="20"/>
          <w:szCs w:val="20"/>
          <w:highlight w:val="none"/>
          <w:shd w:fill="auto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auto"/>
          <w:spacing w:val="0"/>
          <w:sz w:val="20"/>
          <w:szCs w:val="20"/>
          <w:shd w:fill="auto" w:val="clear"/>
        </w:rPr>
        <w:t>PLOT:</w:t>
        <w:tab/>
        <w:t>*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D4EA6B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D4EA6B" w:val="clear"/>
        </w:rPr>
        <w:t>EoF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D4EA6B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D4EA6B" w:val="clear"/>
        </w:rPr>
        <w:t>EoTask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находятся 8 блоков  команд COMPILE:, SELECT:, SET:, VAR:, EQ:, CV:, RUN и OBJ:. 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Блоки могут идти в любом порядке (лишь бы используемые ссылки на имена объектов были определены).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Некоторые блоки и параметры можно опустить. В этом случае будут использоваться значения по умолчанию.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! Допускается сокращена запись присвоения системным флагам (булевым переменным) значения True — просто пишется имя переменной (записи 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ShowAll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и 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ShowAll=True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эквивалентны).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! Все ключевые слова не зависят от регистра ( записи 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ShowAll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и 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SHOWall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эквивалентны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! Во всех выражениях  неравенство &lt; эквивалентно &lt;=. Аналогично для &gt;.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Остальные правила синтаксиса совпадают с правилами языка Python.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COMPILE: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используется (в основном) для определения внутренних переменных, которые управляют процессом создания кода на языке Python. Например:</w:t>
      </w:r>
      <w:r>
        <w:rPr>
          <w:rFonts w:ascii="Arial;Helvetica;sans-serif" w:hAnsi="Arial;Helvetica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449" w:left="449" w:right="0"/>
        <w:jc w:val="left"/>
        <w:rPr>
          <w:rFonts w:ascii="Arial;Helvetica;sans-serif" w:hAnsi="Arial;Helvetica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ShowAll —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директива вставить в код команды отображения всех графиков одновременно (по умолчанию True).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UseHomeforPower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— замена в коде  ^  на  **  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(по умолчанию True)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449" w:left="449" w:right="0"/>
        <w:jc w:val="left"/>
        <w:rPr>
          <w:rFonts w:ascii="Arial;Helvetica;sans-serif" w:hAnsi="Arial;Helvetica;sans-serif" w:eastAsia="Noto Sans CJK SC Regular" w:cs="Free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oto Sans CJK SC Regular" w:cs="FreeSans"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  <w:t>UsePrime</w:t>
      </w:r>
      <w:r>
        <w:rPr>
          <w:rFonts w:eastAsia="Noto Sans CJK SC Regular" w:cs="FreeSans"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  <w:t xml:space="preserve"> — использование знака  '  для обозначения операции дифференцирования (по умолчанию True).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449" w:left="449" w:right="0"/>
        <w:jc w:val="left"/>
        <w:rPr>
          <w:rFonts w:ascii="Arial;Helvetica;sans-serif" w:hAnsi="Arial;Helvetica;sans-serif" w:eastAsia="Noto Sans CJK SC Regular" w:cs="Free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20"/>
          <w:szCs w:val="20"/>
          <w:highlight w:val="none"/>
          <w:shd w:fill="FF4000" w:val="clear"/>
          <w:lang w:val="ru-RU" w:eastAsia="zh-CN" w:bidi="hi-IN"/>
        </w:rPr>
      </w:pPr>
      <w:r>
        <w:rPr>
          <w:rFonts w:eastAsia="Noto Sans CJK SC Regular" w:cs="FreeSans"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0"/>
          <w:szCs w:val="20"/>
          <w:shd w:fill="FF4000" w:val="clear"/>
          <w:lang w:val="ru-RU" w:eastAsia="zh-CN" w:bidi="hi-IN"/>
        </w:rPr>
        <w:t>UseNaN</w:t>
      </w:r>
      <w:r>
        <w:rPr>
          <w:rFonts w:eastAsia="Noto Sans CJK SC Regular" w:cs="FreeSans"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20"/>
          <w:szCs w:val="20"/>
          <w:shd w:fill="FF4000" w:val="clear"/>
          <w:lang w:val="ru-RU" w:eastAsia="zh-CN" w:bidi="hi-IN"/>
        </w:rPr>
        <w:t xml:space="preserve"> = False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jc w:val="left"/>
        <w:rPr>
          <w:rFonts w:ascii="Arial;Helvetica;sans-serif" w:hAnsi="Arial;Helvetica;sans-serif" w:eastAsia="Noto Sans CJK SC Regular" w:cs="Free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oto Sans CJK SC Regular" w:cs="FreeSans"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  <w:t>TaskName</w:t>
      </w:r>
      <w:r>
        <w:rPr>
          <w:rFonts w:eastAsia="Noto Sans CJK SC Regular" w:cs="FreeSans"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  <w:t xml:space="preserve"> = '3 Body'  Если имя не содержит пробелов, кавычки можно опустить TaskName = 3Body.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jc w:val="left"/>
        <w:rPr>
          <w:rFonts w:ascii="Arial;Helvetica;sans-serif" w:hAnsi="Arial;Helvetica;sans-serif" w:eastAsia="Noto Sans CJK SC Regular" w:cs="Free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highlight w:val="none"/>
          <w:shd w:fill="FF4000" w:val="clear"/>
          <w:lang w:val="ru-RU" w:eastAsia="zh-CN" w:bidi="hi-IN"/>
        </w:rPr>
      </w:pPr>
      <w:r>
        <w:rPr>
          <w:rFonts w:eastAsia="Noto Sans CJK SC Regular" w:cs="FreeSans"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shd w:fill="FF4000" w:val="clear"/>
          <w:lang w:val="ru-RU" w:eastAsia="zh-CN" w:bidi="hi-IN"/>
        </w:rPr>
        <w:t>COMPILE: ResFile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jc w:val="left"/>
        <w:rPr>
          <w:rFonts w:ascii="Arial;Helvetica;sans-serif" w:hAnsi="Arial;Helvetica;sans-serif" w:eastAsia="Noto Sans CJK SC Regular" w:cs="Free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oto Sans CJK SC Regular" w:cs="FreeSans"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0"/>
          <w:szCs w:val="20"/>
          <w:lang w:val="ru-RU" w:eastAsia="zh-CN" w:bidi="hi-IN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SELECT: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определяет источники численных данных. Мы заимствовали некоторые конструкции из языка SQL. В приведенном коде из файла  Spring5.dat считываются все столбцы. Другой пример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SELECT: x, time as t, ROWNUM as n   from Spring5.dat  as DAT  where  t &lt; 0.5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демонстрирует считывание столбцов  x и time (конструкция time as t устанавливает столбцу новое имя t) их файла Spring5.dat. Кроме того формируется столбец номеров записей. Имя по умолчанию ROWNUM заменяется на n. Считываются только записи удовлетворяющие условию  t &lt; 0.5. Построенной таблице присваивается имя  DAT (конструкция as DAT).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Имена столбцов таблицы можно взять в кавычки или апострофы. Это необходимо, если в имени содержаться пробелы : SELECT: x,   'time of day'   as t, ...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Последняя считанная таблица становится текущей (</w:t>
      </w:r>
      <w:bookmarkStart w:id="1" w:name="__DdeLink__199_1191721772"/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currentTab</w:t>
      </w:r>
      <w:bookmarkEnd w:id="1"/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) — именно в ней ищутся данные, если не указана прямая ссылка на используемую таблицу.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Другие примеры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SELECT:  Q, H, E, Dat   FROM "Phot-7shoX5.json" AS Data  - из файла  json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SELECT:  *  FROM  Phot-7shoX5.xlsx   AS Data   -   '*'  все поля   из файла xlsx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SET: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описывает множества.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Конструкция SET:  X = [ -0.1, 2.2, 0.1 ]; Data=DAT.t   определяет множество (чисел) X от -0.1 до 2.2 с шагом 0.1, связанное с данными столбца 't'  таблицы DAT.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в конструкции [ -0.1, 2.2, 0.1 ] отсутствуют значения некоторых полей, то они заменяются значениями по умолчанию: для левой границы min из связанного столбца данных, для правой — max, для шага -50. Таким образом SET:  t = [ , , ] (или даже SET:   t = [ ]) эквивалентно. Можно и так [ , , 0.1]  - все кроме шага по умолчанию.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SET:  [min(currentTab.t), max(currentTab.t),-50].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Отрицательное значение шага определяет на сколько частей разбить интервал. Токим образом размер шага step=(max-min)/abs(step). Например, в [ -0.1, 2.2, -46 ] шаг = (2.2-(-0.1))/46 = 0.05.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имя таблицы отсутствует (Data='t') , столбец с соответствующим ('t') именем  ищется в таблице currentTab.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Data отсутствует, то таблице currentTab ищется столбец с именем X (совпадающим с именем множества).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Вместо знака = для наглядности можно использовать знак </w:t>
      </w:r>
      <w:r>
        <w:rPr>
          <w:caps w:val="false"/>
          <w:smallCaps w:val="false"/>
          <w:spacing w:val="0"/>
          <w:sz w:val="20"/>
          <w:szCs w:val="20"/>
        </w:rPr>
        <w:t>∈:  X ∈ [0,2]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VAR: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определяет неизвестные функции, которые необходимо найти.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FF4000" w:val="clear"/>
        </w:rPr>
        <w:t>C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FF4000" w:val="clear"/>
        </w:rPr>
        <w:t>y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FF4000" w:val="clear"/>
        </w:rPr>
        <w:t>c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FF4000" w:val="clear"/>
        </w:rPr>
        <w:t>l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FF4000" w:val="clear"/>
        </w:rPr>
        <w:t>e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Множества, на которых определена функция (стоящие в круглых скобках) должны быть определены. Если они не описаны, система попытается сделать это по-своему, не всегда правильно.  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примере выше x ( t ) определяет Mesh-функцию (ломаную) на множестве t.  В данном примере функция x ( t ) связана через имена с данными из столбцов x и t (со столбцом t через множество t). Это позволяет определить функцию расчета среднеквадратичного отклонения   x.MSD(), которая используется ниже в критерии идентификации (в OBJ:).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Другой пример VAR:  P(Q,T) &gt;0 определяет неотрицательную (сеточную) mesh — функцию, заданную на множествах Q и T, т.е на двумерной сетке Q x T. 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Конструкция  VAR:  f ( X ) = … - определяет символьную функцию.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Примеры: </w:t>
      </w:r>
    </w:p>
    <w:p>
      <w:pPr>
        <w:pStyle w:val="BodyText"/>
        <w:widowControl/>
        <w:numPr>
          <w:ilvl w:val="0"/>
          <w:numId w:val="3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VAR:   f ( X ) = Polynome (6);  SymbolInteg  -  определяет полином 6-ой степени от x, с неизвестными коэффициентами. </w:t>
      </w:r>
    </w:p>
    <w:p>
      <w:pPr>
        <w:pStyle w:val="BodyText"/>
        <w:widowControl/>
        <w:numPr>
          <w:ilvl w:val="0"/>
          <w:numId w:val="0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При этом при компиляции кода будет использоваться символьное интегрирование. </w:t>
      </w:r>
    </w:p>
    <w:p>
      <w:pPr>
        <w:pStyle w:val="BodyText"/>
        <w:widowControl/>
        <w:numPr>
          <w:ilvl w:val="0"/>
          <w:numId w:val="0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Здесь использовалась сокращенная форма (SymbolInteg) установки параметра в состояние True, эквивалентное  SymbolInteg= True.</w:t>
      </w:r>
    </w:p>
    <w:p>
      <w:pPr>
        <w:pStyle w:val="BodyText"/>
        <w:widowControl/>
        <w:numPr>
          <w:ilvl w:val="0"/>
          <w:numId w:val="0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умолчанию интегрирование отключено SymbolInteg= False.</w:t>
      </w:r>
    </w:p>
    <w:p>
      <w:pPr>
        <w:pStyle w:val="BodyText"/>
        <w:widowControl/>
        <w:numPr>
          <w:ilvl w:val="0"/>
          <w:numId w:val="3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VAR:   E(Q,H) = Eq(Q) * Eh(H) — определяет мультипликативную функцию из двух ранее определенных функций. При этом SymbolInteg и SymbolDiffer отключены (а они отключены по умолчанию) и производные и интегралы считаются разностно. </w:t>
      </w:r>
    </w:p>
    <w:p>
      <w:pPr>
        <w:pStyle w:val="BodyText"/>
        <w:widowControl/>
        <w:numPr>
          <w:ilvl w:val="0"/>
          <w:numId w:val="3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VAR:  WFlow(sW)= Polynome(6);  WFlow &gt; 0;  Wflow’ &lt;0;  WFlow(Wmax)=0  SymbolDiffer</w:t>
      </w:r>
    </w:p>
    <w:p>
      <w:pPr>
        <w:pStyle w:val="BodyText"/>
        <w:widowControl/>
        <w:numPr>
          <w:ilvl w:val="0"/>
          <w:numId w:val="0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Здесь функция  Wflow(sW) является (символьной функцией) полиномом, она неотрицательна, она не возрастает (производная не положительна - Wflow’ &lt;0 или d/dsW(Wflow) &lt;0) и при значении Wmax  равна 0.  При этом при компиляции кода будет использоваться символьное дифференцирование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(по умолчанию отключено — False). В WFlow(sW)= Polynome(6) используется сокращенная запись. Полная запись  Polynome (6, c, sW) задает имя для коэффициентов (с) и имя переменной. Другой пример полной записи для полинома от двух переменных - Polynome (6, c, X, V). </w:t>
      </w:r>
    </w:p>
    <w:p>
      <w:pPr>
        <w:pStyle w:val="BodyText"/>
        <w:widowControl/>
        <w:numPr>
          <w:ilvl w:val="0"/>
          <w:numId w:val="5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VAR:  Br(t) = Fourier (7, ω, c);  ArgNorm = False.  </w:t>
      </w:r>
      <w:r>
        <w:rPr/>
        <w:t xml:space="preserve">Здесь функция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Br(t)</w:t>
      </w:r>
      <w:r>
        <w:rPr/>
        <w:t xml:space="preserve"> — ряд Фурье.  7 неизвестных коэффициентов и неизвестная угловая скорость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ω. Нормализация аргументов (по умолчанию включенныя) отключена (ArgNorm = False), чтобы получить реальные значения коэффициентов (в данном случае нас интересует частота  ω. Для уменьшения проблем масштабирования и потери точности в технологии SvF использует нормализованные данные и функции. </w:t>
      </w:r>
    </w:p>
    <w:p>
      <w:pPr>
        <w:pStyle w:val="BodyText"/>
        <w:widowControl/>
        <w:numPr>
          <w:ilvl w:val="0"/>
          <w:numId w:val="5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VAR:  ω &gt;=0 — переменная простой числовой параметр.</w:t>
      </w:r>
    </w:p>
    <w:p>
      <w:pPr>
        <w:pStyle w:val="BodyText"/>
        <w:widowControl/>
        <w:numPr>
          <w:ilvl w:val="0"/>
          <w:numId w:val="5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VAR:  c[7] —  переменная вектор из 7  чисел (одномерный тензор).</w:t>
      </w:r>
    </w:p>
    <w:p>
      <w:pPr>
        <w:pStyle w:val="BodyText"/>
        <w:widowControl/>
        <w:numPr>
          <w:ilvl w:val="0"/>
          <w:numId w:val="5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VAR:  X(t) ∈ [0,2] — ограничение области значения переменной X с двух сторон.</w:t>
      </w:r>
    </w:p>
    <w:p>
      <w:pPr>
        <w:pStyle w:val="BodyText"/>
        <w:widowControl/>
        <w:numPr>
          <w:ilvl w:val="0"/>
          <w:numId w:val="5"/>
        </w:numPr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ind w:hanging="360" w:left="449" w:right="0"/>
        <w:jc w:val="left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VAR:  X(t); Type=SPWL — сглаженные  mash-функций.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jc w:val="left"/>
        <w:rPr>
          <w:rFonts w:ascii="Google Sans Text;Google Sans;sans-serif" w:hAnsi="Google Sans Text;Google Sans;sans-serif" w:eastAsia="Noto Sans CJK SC Regular" w:cs="FreeSans"/>
          <w:b w:val="false"/>
          <w:bCs w:val="false"/>
          <w:i w:val="false"/>
          <w:iCs/>
          <w:caps w:val="false"/>
          <w:smallCaps w:val="false"/>
          <w:color w:val="303030"/>
          <w:spacing w:val="0"/>
          <w:kern w:val="2"/>
          <w:sz w:val="18"/>
          <w:szCs w:val="18"/>
          <w:lang w:val="ru-RU" w:eastAsia="zh-CN" w:bidi="hi-IN"/>
        </w:rPr>
      </w:pPr>
      <w:r>
        <w:rPr>
          <w:rFonts w:eastAsia="Noto Sans CJK SC Regular" w:cs="FreeSans" w:ascii="Google Sans Text;Google Sans;sans-serif" w:hAnsi="Google Sans Text;Google Sans;sans-serif"/>
          <w:b w:val="false"/>
          <w:bCs w:val="false"/>
          <w:i w:val="false"/>
          <w:iCs/>
          <w:caps w:val="false"/>
          <w:smallCaps w:val="false"/>
          <w:color w:val="303030"/>
          <w:spacing w:val="0"/>
          <w:kern w:val="2"/>
          <w:sz w:val="18"/>
          <w:szCs w:val="18"/>
          <w:lang w:val="ru-RU" w:eastAsia="zh-CN" w:bidi="hi-IN"/>
        </w:rPr>
        <w:tab/>
        <w:t>На начальном (поисковом) этапе моделирования рекомендуется по возможности использовать mash-функции (в одномерном варианте ломаные). Однако, производные mash-функций имеет разрывы (например, для ломаной в ее узлах), поэтому использовать их при оптимизации надо аккуратно. Например, при суперпозиции функций  g(f(x)) функция g должна быть гладкой — для нее лучше использовать полиномы, ряды Фурье или сглаженные  mash-функции (тип SPWL)</w:t>
      </w:r>
    </w:p>
    <w:p>
      <w:pPr>
        <w:pStyle w:val="BodyText"/>
        <w:widowControl/>
        <w:shd w:val="clear" w:fill="FFFFFF"/>
        <w:tabs>
          <w:tab w:val="clear" w:pos="720"/>
          <w:tab w:val="left" w:pos="1134" w:leader="none"/>
        </w:tabs>
        <w:suppressAutoHyphens w:val="true"/>
        <w:overflowPunct w:val="true"/>
        <w:bidi w:val="0"/>
        <w:spacing w:lineRule="auto" w:line="240" w:before="0" w:after="0"/>
        <w:jc w:val="left"/>
        <w:rPr>
          <w:rFonts w:ascii="Google Sans Text;Google Sans;sans-serif" w:hAnsi="Google Sans Text;Google Sans;sans-serif" w:eastAsia="Noto Sans CJK SC Regular" w:cs="FreeSans"/>
          <w:b w:val="false"/>
          <w:bCs w:val="false"/>
          <w:i w:val="false"/>
          <w:iCs/>
          <w:caps w:val="false"/>
          <w:smallCaps w:val="false"/>
          <w:color w:val="303030"/>
          <w:spacing w:val="0"/>
          <w:kern w:val="2"/>
          <w:sz w:val="21"/>
          <w:szCs w:val="20"/>
          <w:lang w:val="ru-RU" w:eastAsia="zh-CN" w:bidi="hi-IN"/>
        </w:rPr>
      </w:pPr>
      <w:r>
        <w:rPr>
          <w:rFonts w:eastAsia="Noto Sans CJK SC Regular" w:cs="FreeSans" w:ascii="Google Sans Text;Google Sans;sans-serif" w:hAnsi="Google Sans Text;Google Sans;sans-serif"/>
          <w:b w:val="false"/>
          <w:bCs w:val="false"/>
          <w:i w:val="false"/>
          <w:iCs/>
          <w:caps w:val="false"/>
          <w:smallCaps w:val="false"/>
          <w:color w:val="303030"/>
          <w:spacing w:val="0"/>
          <w:kern w:val="2"/>
          <w:sz w:val="21"/>
          <w:szCs w:val="20"/>
          <w:lang w:val="ru-RU" w:eastAsia="zh-CN" w:bidi="hi-IN"/>
        </w:rPr>
        <w:t xml:space="preserve">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  <w:t xml:space="preserve">Блок </w:t>
      </w:r>
      <w:r>
        <w:rPr>
          <w:b/>
          <w:bCs/>
        </w:rPr>
        <w:t>PARAM:</w:t>
      </w:r>
      <w:r>
        <w:rPr/>
        <w:t xml:space="preserve"> определяет известные функции, которые должны быть заданы.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  <w:t xml:space="preserve">В примере  PARAM:  T(t) &lt;&lt;  </w:t>
      </w: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’Fun_T(t).sol’ определяется параметр-функция (ломаная), которая считывается из файла ’Fun_T(t).sol’.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В другом примере  PARAM:  T(t)  предполагается, что численные значения T(t) будут получены из текущей таблицы (по именам) или будут явно заданы каким-либо другим способом.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Google Sans Text;Google Sans;sans-serif" w:hAnsi="Google Sans Text;Google Sans;sans-serif"/>
          <w:b w:val="false"/>
          <w:bCs w:val="false"/>
          <w:i w:val="false"/>
          <w:iCs/>
          <w:caps w:val="false"/>
          <w:smallCaps w:val="false"/>
          <w:color w:val="303030"/>
          <w:spacing w:val="0"/>
          <w:sz w:val="21"/>
          <w:szCs w:val="20"/>
        </w:rPr>
        <w:t>Параметры, значение которых известно и фиксировано, могут быть заданы напрямую как операторы языка Python. Например:</w:t>
      </w:r>
    </w:p>
    <w:p>
      <w:pPr>
        <w:pStyle w:val="Normal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Style w:val="SourceText"/>
          <w:rFonts w:ascii="monospace" w:hAnsi="monospace"/>
          <w:b w:val="false"/>
          <w:bCs w:val="false"/>
          <w:i w:val="false"/>
          <w:iCs/>
          <w:caps w:val="false"/>
          <w:smallCaps w:val="false"/>
          <w:color w:val="282A2C"/>
          <w:spacing w:val="0"/>
          <w:sz w:val="21"/>
          <w:szCs w:val="20"/>
        </w:rPr>
        <w:t>G_const = 1</w:t>
      </w:r>
      <w:r>
        <w:rPr>
          <w:rFonts w:ascii="rem;Google Sans Text;Google Sans;sans-serif" w:hAnsi="rem;Google Sans Text;Google Sans;sans-serif"/>
          <w:b w:val="false"/>
          <w:bCs w:val="false"/>
          <w:i w:val="false"/>
          <w:iCs/>
          <w:caps w:val="false"/>
          <w:smallCaps w:val="false"/>
          <w:color w:val="303030"/>
          <w:spacing w:val="0"/>
          <w:sz w:val="21"/>
          <w:szCs w:val="20"/>
        </w:rPr>
        <w:t>.</w:t>
      </w:r>
    </w:p>
    <w:p>
      <w:pPr>
        <w:pStyle w:val="Normal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EQ: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предназначен для описания уравнений. Именно здесь находится основное содержание модели. Уравнение</w:t>
        <w:tab/>
        <w:t xml:space="preserve">d2/dt2(x) =  f(x) описывает модель (как автономное дифференциальное уравнение второго порядка), которая связывает описанные выше функции x(t) и f(x). Допустима так же запись   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x</w:t>
      </w: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’’</w:t>
      </w:r>
      <w:r>
        <w:rPr>
          <w:rFonts w:ascii="Arial;Helvetica;sans-serif" w:hAnsi="Arial;Helvetica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=  f(x).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Блок EQ: может использоваться для задания уравнений с допуском/точностью: в виде неравенств, что позволяет определить требуемую точность (допуск) соблюдения выполнения уравнения (описываемого явления):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EQ:            x'' - f(x) &gt; -.01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                   </w:t>
      </w:r>
      <w:r>
        <w:rPr>
          <w:rFonts w:ascii="Arial;Helvetica;sans-serif" w:hAnsi="Arial;Helvetica;sans-serif"/>
          <w:b w:val="false"/>
          <w:bCs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x'' - f(x) &lt;  .01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CV: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определяет параметры процедуры кросс-валидации. В данном случае (NumOfSets=7) выбирается простейшая процедура с разбиением всего массива данных на 7 подмножеств (блоков CV) по порядку следования: первое подмножество содержит записи с номерами 0, 7, 14, …, второе — 1, 8, 15 и т.д.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Приведем еще один пример: CV:  NumOfSets=7;  GroupByParam='Dat'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  <w:t xml:space="preserve">Здесь разбиение на группы осуществляется с использованием поля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'Dat' текущей </w:t>
      </w:r>
      <w:r>
        <w:rPr/>
        <w:t>таблицы. Предположим, что поле содержит номера суток начиная с 1. Тогда первое множество состоит из записей таблицы, в которых номера суток равны 1, 8, 15, … 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задана таблица DB,  то можно сослаться явно GroupByParam= DB.Dat.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Допустимо сокращение   GroupByParam до  GroupBy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записи CV:  NumOfSets=7;  GroupByNum=48 единицей разбиения являются группы по 48 записи.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этом случае записи таблицы группируются по 48 шт. Именно из этих групп и формируются обучающие и тестирующие множества. Если в течение суток всегда проводилось 48 измерения, записи  GroupByParam= DB.Dat и  GroupByNum=48 эквивалентны.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Блок </w:t>
      </w:r>
      <w:r>
        <w:rPr>
          <w:b/>
          <w:bCs/>
          <w:sz w:val="20"/>
          <w:szCs w:val="20"/>
        </w:rPr>
        <w:t xml:space="preserve">PENALTY: </w:t>
      </w:r>
      <w:r>
        <w:rPr>
          <w:iCs w:val="false"/>
          <w:sz w:val="20"/>
          <w:szCs w:val="20"/>
        </w:rPr>
        <w:t xml:space="preserve">определяет штрафы. Пока не используется.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iCs w:val="false"/>
          <w:sz w:val="20"/>
          <w:szCs w:val="20"/>
        </w:rPr>
      </w:pPr>
      <w:r>
        <w:rPr>
          <w:iCs w:val="false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Блок </w:t>
      </w:r>
      <w:r>
        <w:rPr>
          <w:b/>
          <w:bCs/>
          <w:sz w:val="20"/>
          <w:szCs w:val="20"/>
        </w:rPr>
        <w:t xml:space="preserve">RUN: </w:t>
      </w:r>
      <w:r>
        <w:rPr>
          <w:iCs w:val="false"/>
          <w:sz w:val="20"/>
          <w:szCs w:val="20"/>
        </w:rPr>
        <w:t>определяет параметры оптимизации. Например,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iCs w:val="false"/>
          <w:sz w:val="20"/>
          <w:szCs w:val="20"/>
        </w:rPr>
        <w:t xml:space="preserve">RUN: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MaxIter</w:t>
      </w:r>
      <w:r>
        <w:rPr>
          <w:iCs w:val="false"/>
          <w:sz w:val="20"/>
          <w:szCs w:val="20"/>
        </w:rPr>
        <w:t>=21;  RunMode='L&amp;S' — определяет максимальное  количество итераций (21), решение полной задачи будет происходить на локальной машине (L), решение (обучающих) задач кросс-валидации — на сервере (S).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iCs w:val="false"/>
          <w:sz w:val="20"/>
          <w:szCs w:val="20"/>
        </w:rPr>
        <w:t>Есть еще вариант RunMode='L&amp;P' -  решение (обучающих) задач кросс-валидации на локальной машине в режиме многозадачности (параллельно).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iCs w:val="false"/>
          <w:sz w:val="20"/>
          <w:szCs w:val="20"/>
        </w:rPr>
        <w:t xml:space="preserve">Если  MaxIter=0 — считается только полная задача, если   </w:t>
      </w:r>
      <w:r>
        <w:rPr>
          <w:rFonts w:ascii="Arial;Helvetica;sans-serif" w:hAnsi="Arial;Helvetica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MaxIter</w:t>
      </w:r>
      <w:r>
        <w:rPr>
          <w:iCs w:val="false"/>
          <w:sz w:val="20"/>
          <w:szCs w:val="20"/>
        </w:rPr>
        <w:t xml:space="preserve">=-1 — расчетов не производится — решения считываются.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OBJ: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определяет критерий выбора неизвестных функций модели ( x(t) и f(x) ) при заданном штрафе (параметра регуляризации) Penal[0].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 выражении  x.MSD() + f.Complexity(Penal[0]) критерий выбора состоит из двух слагаемых: первое определяет меру близости траектории x(t) к данным, второе — сложность модели (кривизну правой части f(x).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Возможны и другие варианты задания целевой функции. Например: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OBJ:    </w:t>
        <w:tab/>
        <w:t>Ni.MSDrel(2.0) \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>+ Ni.Complexity( Penal[0], Penal[1] ) \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>+ Ni.Norma_L2mL2Border() * 0.0001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Здесь используется относительная ошибка отклонения от данных ( Ni.MSDrel(2.0) ) и функция Ni(X,Y) прижимается к нулю на границе региона моделирования ( Ni.Norma_L2mL2Border() * 0.0001 ).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Если определяемых коэффициентов немного по сравнению с кол-вом данных можно вообще не использовать регуляризацию :  OBJ:    x1.MSD().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Практические правила: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- Для каждой неизвестной функции, которая должна быть «гладкой», как правило, в OBJ; добавляется отдельное слагаемое вида Func.Complexity(Penal[k]).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- Если мы разлагаем E(Q,H) = Eq(Q)*Eh(H), логично штрафовать функции Eq и Eh, а E использовать в MSD.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sz w:val="20"/>
          <w:szCs w:val="20"/>
        </w:rPr>
      </w:pPr>
      <w:r>
        <w:rPr>
          <w:iCs w:val="false"/>
        </w:rPr>
        <w:t xml:space="preserve">Penal — список штрафов, объявляется автоматически, хранится в специальном файле и обновляется на каждой итерации.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highlight w:val="none"/>
          <w:shd w:fill="D4EA6B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POLY: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или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POLYLINE: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определяет полилинию — поименованный объект - последовательность связанных отрезков.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Примеры: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POLY:  CVer (x.A[0].dat, x.CVerr) #  Cver — имя,  x.A[0].dat- массив x координт, x.CVerr- массив y координт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  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P0 ([x.A[0].dat[0],x.A[0].dat[-1]], [0,0]) — отрезок от (x.A[0].dat[0], 0)  до (x.A[0].dat[-1], 0).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DRAW: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(устаревший, но поддерживается) определяет отображение графиков функций.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Примеры: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DRAW:  fa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fb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ab/>
        <w:t>отображение  функций fa и fb на двух отдельных графиках.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DRAW:  fa fb;LC:green  отображение  fa и fb на одном графике,  fb — зеленым цветом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DRAW:  *  - отображение всех функций.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highlight w:val="none"/>
          <w:shd w:fill="auto" w:val="clear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Блок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PLOT: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определяет отображение графиков функций, полилиний и последовательностей связанных отрезков. Названия и сокращения многих параметров, определяющих отображение графиков заимствованы из Mathlab. Например, lw=0 — толщина линии равна 0,  c=gray — цвет серый ,marker='o' — маркер кружок, ms=3 — размер маркера 3. Кавычки при значении параметра можно опустить — записи c=gray и c='gray' эквивалентны.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Примеры: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PLOT:  fa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fb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отображение двух объектов (функций или полилиний) fa и fb на двух отдельных изображениях.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PLOT:   fa + fb,с=green,ls=.-  отображение  fa и fb на одной картинке (знак '+' - добавить график) ,  fb — зеленым цветом, пунктиром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PLOT:   *  - отображение всех функций.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PLOT:    DB.x1,DB.y1, lw=0,c=gray,marker='o',ms=3,label=Date — отображение точек определяемых двумя столбцами базы данных (DB),   lw=0 — толщина линии равна нулю,  c=gray — цвет серый, marker='o' — маркер окружность, ms=3 — размер маркера 3,  label=Date — имя графика  Date. </w:t>
      </w:r>
    </w:p>
    <w:p>
      <w:pPr>
        <w:pStyle w:val="BodyText"/>
        <w:shd w:val="clear" w:fill="FFFFFF"/>
        <w:tabs>
          <w:tab w:val="clear" w:pos="720"/>
          <w:tab w:val="left" w:pos="1134" w:leader="none"/>
        </w:tabs>
        <w:spacing w:lineRule="auto" w:line="240" w:before="0" w:after="0"/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Helvetica"/>
    <w:charset w:val="01"/>
    <w:family w:val="roman"/>
    <w:pitch w:val="variable"/>
  </w:font>
  <w:font w:name="Google Sans Text">
    <w:altName w:val="Google Sans"/>
    <w:charset w:val="01"/>
    <w:family w:val="roman"/>
    <w:pitch w:val="variable"/>
  </w:font>
  <w:font w:name="monospace">
    <w:charset w:val="01"/>
    <w:family w:val="roman"/>
    <w:pitch w:val="variable"/>
  </w:font>
  <w:font w:name="rem">
    <w:altName w:val="Google Sans Text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75"/>
        </w:tabs>
        <w:ind w:left="775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35"/>
        </w:tabs>
        <w:ind w:left="1135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55"/>
        </w:tabs>
        <w:ind w:left="1855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15"/>
        </w:tabs>
        <w:ind w:left="2215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75"/>
        </w:tabs>
        <w:ind w:left="2575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35"/>
        </w:tabs>
        <w:ind w:left="2935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95"/>
        </w:tabs>
        <w:ind w:left="329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55"/>
        </w:tabs>
        <w:ind w:left="3655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169"/>
        </w:tabs>
        <w:ind w:left="116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529"/>
        </w:tabs>
        <w:ind w:left="15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89"/>
        </w:tabs>
        <w:ind w:left="188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609"/>
        </w:tabs>
        <w:ind w:left="260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969"/>
        </w:tabs>
        <w:ind w:left="296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329"/>
        </w:tabs>
        <w:ind w:left="332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89"/>
        </w:tabs>
        <w:ind w:left="368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049"/>
        </w:tabs>
        <w:ind w:left="4049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23094</TotalTime>
  <Application>LibreOffice/25.8.4.2$Linux_X86_64 LibreOffice_project/580$Build-2</Application>
  <AppVersion>15.0000</AppVersion>
  <Pages>5</Pages>
  <Words>2161</Words>
  <Characters>13243</Characters>
  <CharactersWithSpaces>15636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2020-05-06T19:26:21Z</dcterms:created>
  <dc:creator/>
  <dc:description/>
  <dc:language>ru-RU</dc:language>
  <cp:lastModifiedBy/>
  <dcterms:modified xsi:type="dcterms:W3CDTF">2026-02-12T14:34:12Z</dcterms:modified>
  <cp:revision>153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