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RAPORT TRIMESTRIAL Q1 2024</w:t>
      </w:r>
    </w:p>
    <w:p>
      <w:pPr>
        <w:pStyle w:val="Heading1"/>
      </w:pPr>
      <w:r>
        <w:t>1. Sumar Executiv</w:t>
      </w:r>
    </w:p>
    <w:p>
      <w:r>
        <w:t>În trimestrul Q1 2024 compania a emis 29 facturi cu o valoare totală de 182,178 RON (fără TVA).</w:t>
      </w:r>
    </w:p>
    <w:p>
      <w:r>
        <w:t>Față de trimestrul anterior, se înregistrează o creștere de 7%.</w:t>
      </w:r>
    </w:p>
    <w:p>
      <w:pPr>
        <w:pStyle w:val="Heading1"/>
      </w:pPr>
      <w:r>
        <w:t>2. Defalcare pe Clienți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Nr. Facturi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  <w:tc>
          <w:tcPr>
            <w:tcW w:type="dxa" w:w="2160"/>
          </w:tcPr>
          <w:p>
            <w:r>
              <w:t>% din Total</w:t>
            </w:r>
          </w:p>
        </w:tc>
      </w:tr>
      <w:tr>
        <w:tc>
          <w:tcPr>
            <w:tcW w:type="dxa" w:w="2160"/>
          </w:tcPr>
          <w:p>
            <w:r>
              <w:t>TechSoft SRL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25,943</w:t>
            </w:r>
          </w:p>
        </w:tc>
        <w:tc>
          <w:tcPr>
            <w:tcW w:type="dxa" w:w="2160"/>
          </w:tcPr>
          <w:p>
            <w:r>
              <w:t>14.2%</w:t>
            </w:r>
          </w:p>
        </w:tc>
      </w:tr>
      <w:tr>
        <w:tc>
          <w:tcPr>
            <w:tcW w:type="dxa" w:w="2160"/>
          </w:tcPr>
          <w:p>
            <w:r>
              <w:t>DataPro SA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53,220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</w:tr>
      <w:tr>
        <w:tc>
          <w:tcPr>
            <w:tcW w:type="dxa" w:w="2160"/>
          </w:tcPr>
          <w:p>
            <w:r>
              <w:t>CloudNet SRL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24,338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</w:tr>
      <w:tr>
        <w:tc>
          <w:tcPr>
            <w:tcW w:type="dxa" w:w="2160"/>
          </w:tcPr>
          <w:p>
            <w:r>
              <w:t>WebDev Plus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37,231</w:t>
            </w:r>
          </w:p>
        </w:tc>
        <w:tc>
          <w:tcPr>
            <w:tcW w:type="dxa" w:w="2160"/>
          </w:tcPr>
          <w:p>
            <w:r>
              <w:t>20.4%</w:t>
            </w:r>
          </w:p>
        </w:tc>
      </w:tr>
      <w:tr>
        <w:tc>
          <w:tcPr>
            <w:tcW w:type="dxa" w:w="2160"/>
          </w:tcPr>
          <w:p>
            <w:r>
              <w:t>SecureIT SRL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41,446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</w:tr>
    </w:tbl>
    <w:p>
      <w:pPr>
        <w:pStyle w:val="Heading1"/>
      </w:pPr>
      <w:r>
        <w:t>3. Indicatori Financiari</w:t>
      </w:r>
    </w:p>
    <w:p>
      <w:r>
        <w:t>Rata de încasare: 85%</w:t>
      </w:r>
    </w:p>
    <w:p>
      <w:r>
        <w:t>Facturi restante: 15%</w:t>
      </w:r>
    </w:p>
    <w:p>
      <w:r>
        <w:t>Termen mediu încasare: 29 zile</w:t>
      </w:r>
    </w:p>
    <w:p>
      <w:pPr>
        <w:pStyle w:val="Heading1"/>
      </w:pPr>
      <w:r>
        <w:t>4. Concluzii și Recomandări</w:t>
      </w:r>
    </w:p>
    <w:p>
      <w:r>
        <w:t>Trimestrul Q1 2024 a fost unul pozitiv pentru companie. Se recomandă continuarea eforturilor de diversificare a portofoliului de clienți și optimizarea proceselor de facturare.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