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Easytax Financial Services Pty Ltd</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1451996/8</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24937039"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0808BE">
        <w:rPr>
          <w:rFonts w:ascii="Arial" w:eastAsia="Times New Roman" w:hAnsi="Arial" w:cs="Arial"/>
          <w:noProof/>
          <w:kern w:val="0"/>
          <w:sz w:val="20"/>
          <w:szCs w:val="20"/>
          <w14:ligatures w14:val="none"/>
        </w:rPr>
        <w:t>15 September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Easytax Financial Services Pty Ltd</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Easytax Financial Services Pty Ltd</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1451996/8</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73 Rossini Boulevard, Vanderbijlpark, 1911,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17 April 2020 to 30 April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Easytax Financial Services Pty Ltd</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Easytax Financial Services Pty Ltd</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Easytax Financial Services Pty Ltd</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Easytax Financial Services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Easytax Financial Services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7048.86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7048.86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7048.86.</w:t>
        <w:br/>
        <w:t xml:space="preserve">• We verified the employment of all 3 employees.</w:t>
        <w:br/>
        <w:t xml:space="preserve">• The employer provided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Easytax Financial Services Pty Ltd</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17 April 2020 to 30 April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7048.86</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7048.86</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7048.86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7048.86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7048.86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7048.86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Easytax Financial Services Pty Ltd</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the payments verification testing, we noted that the fund sent R 7048.86 and we could confirm that the employer received R5,437.88.</w:t>
        <w:br/>
        <w:t xml:space="preserve">• During the review of bank statement, it was noted that R 7048.86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3 employees claimed for were employed 3 months prior to the lockdown.</w:t>
        <w:br/>
        <w:t xml:space="preserve">• During the review of IRP5s and employment contracts, we could confirm that all 3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Escalate immediately to the fund instances where confirmation of fraudulent activities have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Easytax Financial Services Pty Ltd</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7048.86</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7048.86</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2E40" w14:textId="77777777" w:rsidR="00860808" w:rsidRDefault="00860808">
      <w:pPr>
        <w:spacing w:after="0" w:line="240" w:lineRule="auto"/>
      </w:pPr>
      <w:r>
        <w:separator/>
      </w:r>
    </w:p>
  </w:endnote>
  <w:endnote w:type="continuationSeparator" w:id="0">
    <w:p w14:paraId="44242EB6" w14:textId="77777777" w:rsidR="00860808" w:rsidRDefault="00860808">
      <w:pPr>
        <w:spacing w:after="0" w:line="240" w:lineRule="auto"/>
      </w:pPr>
      <w:r>
        <w:continuationSeparator/>
      </w:r>
    </w:p>
  </w:endnote>
  <w:endnote w:type="continuationNotice" w:id="1">
    <w:p w14:paraId="7780355E" w14:textId="77777777" w:rsidR="00860808" w:rsidRDefault="00860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57315012"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0808BE">
      <w:rPr>
        <w:rFonts w:ascii="Arial" w:hAnsi="Arial" w:cs="Arial"/>
        <w:noProof/>
        <w:sz w:val="24"/>
        <w:szCs w:val="24"/>
      </w:rPr>
      <w:t>15 September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2186" w14:textId="77777777" w:rsidR="00860808" w:rsidRDefault="00860808">
      <w:pPr>
        <w:spacing w:after="0" w:line="240" w:lineRule="auto"/>
      </w:pPr>
      <w:r>
        <w:separator/>
      </w:r>
    </w:p>
  </w:footnote>
  <w:footnote w:type="continuationSeparator" w:id="0">
    <w:p w14:paraId="7322C1B4" w14:textId="77777777" w:rsidR="00860808" w:rsidRDefault="00860808">
      <w:pPr>
        <w:spacing w:after="0" w:line="240" w:lineRule="auto"/>
      </w:pPr>
      <w:r>
        <w:continuationSeparator/>
      </w:r>
    </w:p>
  </w:footnote>
  <w:footnote w:type="continuationNotice" w:id="1">
    <w:p w14:paraId="710D28F0" w14:textId="77777777" w:rsidR="00860808" w:rsidRDefault="008608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Easytax Financial Services Pty Ltd</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467DF6DD"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0808BE">
      <w:rPr>
        <w:rFonts w:ascii="Arial" w:eastAsia="Calibri" w:hAnsi="Arial" w:cs="Arial"/>
        <w:b/>
        <w:noProof/>
        <w:color w:val="000000"/>
        <w:sz w:val="18"/>
        <w:szCs w:val="18"/>
      </w:rPr>
      <w:t>15 September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28</cp:revision>
  <dcterms:created xsi:type="dcterms:W3CDTF">2025-08-14T08:49:00Z</dcterms:created>
  <dcterms:modified xsi:type="dcterms:W3CDTF">2025-09-15T10:12:00Z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