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Federated Mining Union &amp; Allied Workers Union</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0301662/8</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Federated Mining Union &amp; Allied Workers Union</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Federated Mining Union &amp; Allied Workers Union</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0301662/8</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23 Nelson Mandela Drive, Rustenburg,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Federated Mining Union &amp; Allied Workers Union</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Federated Mining Union &amp; Allied Workers Union</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Federated Mining Union &amp; Allied Workers Union</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Federated Mining Union &amp; Allied Workers Union</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Charitable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Federated Mining Union &amp; Allied Workers Union</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44982.96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44982.96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5 employees accurately across all claimed periods. The total amount paid out to employees was R 44982.96.</w:t>
        <w:br/>
        <w:t xml:space="preserve">• We verified the employment of all 5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Federated Mining Union &amp; Allied Workers Union</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5</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Charitable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5</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23854.6</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5</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21128.36</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10</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44982.96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23854.6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23854.6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21128.36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21128.36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44982.96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44982.96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Federated Mining Union &amp; Allied Workers Union</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44982.96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0 employees could not be confirmed.</w:t>
        <w:br/>
        <w:t xml:space="preserve">• During the review of IRP5s and employment contracts, we could confirm that all 5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5</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ID Copies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Minor</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was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EMP201</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the required documents.</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Federated Mining Union &amp; Allied Workers Union</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44982.96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44982.96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Federated Mining Union &amp; Allied Workers Union</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