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740049"/>
        </w:rPr>
        <w:t>Ditteau Data — Production Operating Rules</w:t>
      </w:r>
    </w:p>
    <w:p>
      <w:r>
        <w:rPr>
          <w:b/>
        </w:rPr>
        <w:t>Status:</w:t>
      </w:r>
      <w:r>
        <w:t xml:space="preserve"> Active</w:t>
      </w:r>
    </w:p>
    <w:p>
      <w:r>
        <w:rPr>
          <w:b/>
        </w:rPr>
        <w:t>Effective:</w:t>
      </w:r>
      <w:r>
        <w:t xml:space="preserve"> 2026-08-16</w:t>
      </w:r>
    </w:p>
    <w:p>
      <w:r>
        <w:rPr>
          <w:b/>
        </w:rPr>
        <w:t>Owner:</w:t>
      </w:r>
      <w:r>
        <w:t xml:space="preserve"> LVP (Data Engineering) · Governance sign-off: KKM · Security: WDT</w:t>
      </w:r>
    </w:p>
    <w:p>
      <w:r>
        <w:rPr>
          <w:b/>
        </w:rPr>
        <w:t>Applies to:</w:t>
      </w:r>
      <w:r>
        <w:t xml:space="preserve"> all </w:t>
      </w:r>
      <w:r>
        <w:rPr>
          <w:rFonts w:ascii="Consolas" w:hAnsi="Consolas"/>
          <w:color w:val="740049"/>
          <w:sz w:val="19"/>
        </w:rPr>
        <w:t>{SCHOOL}_DD_{DEV,TEST,PROD}</w:t>
      </w:r>
      <w:r>
        <w:t xml:space="preserve"> databases</w:t>
      </w:r>
    </w:p>
    <w:p>
      <w:r>
        <w:t>This document states how the Ditteau platform runs in production: what each environment</w:t>
      </w:r>
    </w:p>
    <w:p>
      <w:r>
        <w:t>is for, how data moves between them, who is permitted to write, and what must be</w:t>
      </w:r>
    </w:p>
    <w:p>
      <w:r>
        <w:t>observed before a change is considered done.</w:t>
      </w:r>
    </w:p>
    <w:p>
      <w:r>
        <w:t>It is a rules document, not a runbook. Procedures live in</w:t>
      </w:r>
    </w:p>
    <w:p>
      <w:r>
        <w:rPr>
          <w:color w:val="13405A"/>
          <w:u w:val="single"/>
        </w:rPr>
        <w:t>runbooks/row-access-policies.md</w:t>
      </w:r>
      <w:r>
        <w:t>. The reasoning</w:t>
      </w:r>
    </w:p>
    <w:p>
      <w:r>
        <w:t>behind several of these rules is in</w:t>
      </w:r>
    </w:p>
    <w:p>
      <w:r>
        <w:rPr>
          <w:color w:val="13405A"/>
          <w:u w:val="single"/>
        </w:rPr>
        <w:t>governance/rap-implementation-review.md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1. Environment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Consumers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</w:t>
            </w:r>
          </w:p>
        </w:tc>
        <w:tc>
          <w:tcPr>
            <w:tcW w:type="dxa" w:w="2880"/>
          </w:tcPr>
          <w:p>
            <w:r/>
            <w:r>
              <w:t>Environment of record. The only environment anyone consumes from.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{CODE}_REPORTING_PROD</w:t>
            </w:r>
            <w:r>
              <w:t>, business roles, Streamlit apps, BI tools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t>CI and pre-release verification</w:t>
            </w:r>
          </w:p>
        </w:tc>
        <w:tc>
          <w:tcPr>
            <w:tcW w:type="dxa" w:w="2880"/>
          </w:tcPr>
          <w:p>
            <w:r/>
            <w:r>
              <w:t>Automated pipelines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DEV</w:t>
            </w:r>
          </w:p>
        </w:tc>
        <w:tc>
          <w:tcPr>
            <w:tcW w:type="dxa" w:w="2880"/>
          </w:tcPr>
          <w:p>
            <w:r/>
            <w:r>
              <w:t>Engineering workbench</w:t>
            </w:r>
          </w:p>
        </w:tc>
        <w:tc>
          <w:tcPr>
            <w:tcW w:type="dxa" w:w="2880"/>
          </w:tcPr>
          <w:p>
            <w:r/>
            <w:r>
              <w:t>Engineers</w:t>
            </w:r>
          </w:p>
        </w:tc>
      </w:tr>
    </w:tbl>
    <w:p/>
    <w:p>
      <w:r>
        <w:rPr>
          <w:b/>
        </w:rPr>
        <w:t>Rule 1.1</w:t>
      </w:r>
      <w:r>
        <w:t xml:space="preserve"> — PROD is the only environment with a </w:t>
      </w:r>
      <w:r>
        <w:rPr>
          <w:rFonts w:ascii="Consolas" w:hAnsi="Consolas"/>
          <w:color w:val="740049"/>
          <w:sz w:val="19"/>
        </w:rPr>
        <w:t>REPORTING</w:t>
      </w:r>
      <w:r>
        <w:t xml:space="preserve"> role, an </w:t>
      </w:r>
      <w:r>
        <w:rPr>
          <w:rFonts w:ascii="Consolas" w:hAnsi="Consolas"/>
          <w:color w:val="740049"/>
          <w:sz w:val="19"/>
        </w:rPr>
        <w:t>ANALYTICS</w:t>
      </w:r>
    </w:p>
    <w:p>
      <w:r>
        <w:t>warehouse, and warehouse grants for business-function roles. No dashboard, report or</w:t>
      </w:r>
    </w:p>
    <w:p>
      <w:r>
        <w:t>external consumer may point at DEV or TEST.</w:t>
      </w:r>
    </w:p>
    <w:p>
      <w:r>
        <w:rPr>
          <w:b/>
        </w:rPr>
        <w:t>Rule 1.2</w:t>
      </w:r>
      <w:r>
        <w:t xml:space="preserve"> — DEV and TEST carry no service-level expectation. They may be rebuilt,</w:t>
      </w:r>
    </w:p>
    <w:p>
      <w:r>
        <w:t>truncated or cloned over at any time without notice.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2. Data flow</w:t>
      </w:r>
    </w:p>
    <w:p>
      <w:r>
        <w:rPr>
          <w:b/>
        </w:rPr>
        <w:t>Rule 2.1</w:t>
      </w:r>
      <w:r>
        <w:t xml:space="preserve"> — Institutional feeds land in </w:t>
      </w:r>
      <w:r>
        <w:rPr>
          <w:b/>
        </w:rPr>
        <w:t>PROD only</w:t>
      </w:r>
      <w:r>
        <w:t>. A school delivers one export;</w:t>
      </w:r>
    </w:p>
    <w:p>
      <w:r>
        <w:t xml:space="preserve">that export goes to </w:t>
      </w:r>
      <w:r>
        <w:rPr>
          <w:rFonts w:ascii="Consolas" w:hAnsi="Consolas"/>
          <w:color w:val="740049"/>
          <w:sz w:val="19"/>
        </w:rPr>
        <w:t>{CODE}_DD_PROD.DEPOSIT</w:t>
      </w:r>
      <w:r>
        <w:t xml:space="preserve"> via </w:t>
      </w:r>
      <w:r>
        <w:rPr>
          <w:rFonts w:ascii="Consolas" w:hAnsi="Consolas"/>
          <w:color w:val="740049"/>
          <w:sz w:val="19"/>
        </w:rPr>
        <w:t>deposit_loader</w:t>
      </w:r>
      <w:r>
        <w:t>.</w:t>
      </w:r>
    </w:p>
    <w:p>
      <w:r>
        <w:rPr>
          <w:b/>
        </w:rPr>
        <w:t>Rule 2.2</w:t>
      </w:r>
      <w:r>
        <w:t xml:space="preserve"> — DEV and TEST receive deposit data by </w:t>
      </w:r>
      <w:r>
        <w:rPr>
          <w:b/>
        </w:rPr>
        <w:t>zero-copy clone from PROD</w:t>
      </w:r>
      <w:r>
        <w:t>, using</w:t>
      </w:r>
    </w:p>
    <w:p>
      <w:r>
        <w:rPr>
          <w:rFonts w:ascii="Consolas" w:hAnsi="Consolas"/>
          <w:color w:val="740049"/>
          <w:sz w:val="19"/>
        </w:rPr>
        <w:t>scripts/clone_deposit.py</w:t>
      </w:r>
      <w:r>
        <w:t>. Never the reverse.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python scripts/clone_deposit.py --src DEMEAU_DD_PROD --dst DEMEAU_DD_TEST</w:t>
      </w:r>
    </w:p>
    <w:p>
      <w:r>
        <w:rPr>
          <w:b/>
        </w:rPr>
        <w:t>Rule 2.3</w:t>
      </w:r>
      <w:r>
        <w:t xml:space="preserve"> — Deterge and distribute are </w:t>
      </w:r>
      <w:r>
        <w:rPr>
          <w:b/>
        </w:rPr>
        <w:t>never copied</w:t>
      </w:r>
      <w:r>
        <w:t xml:space="preserve"> between environments. Each</w:t>
      </w:r>
    </w:p>
    <w:p>
      <w:r>
        <w:t>environment rebuilds them from its own deposit via dbt. Copying built layers would</w:t>
      </w:r>
    </w:p>
    <w:p>
      <w:r>
        <w:t>detach them from the deposit that produced them.</w:t>
      </w:r>
    </w:p>
    <w:p>
      <w:r>
        <w:rPr>
          <w:b/>
        </w:rPr>
        <w:t>Rule 2.4</w:t>
      </w:r>
      <w:r>
        <w:t xml:space="preserve"> — </w:t>
      </w:r>
      <w:r>
        <w:rPr>
          <w:rFonts w:ascii="Consolas" w:hAnsi="Consolas"/>
          <w:color w:val="740049"/>
          <w:sz w:val="19"/>
        </w:rPr>
        <w:t>_LOAD_HISTORY</w:t>
      </w:r>
      <w:r>
        <w:t xml:space="preserve"> is never cloned. Its </w:t>
      </w:r>
      <w:r>
        <w:rPr>
          <w:rFonts w:ascii="Consolas" w:hAnsi="Consolas"/>
          <w:color w:val="740049"/>
          <w:sz w:val="19"/>
        </w:rPr>
        <w:t>environment</w:t>
      </w:r>
      <w:r>
        <w:t xml:space="preserve"> column records where a</w:t>
      </w:r>
    </w:p>
    <w:p>
      <w:r>
        <w:t>load happened; copying it makes the target misreport its own provenance.</w:t>
      </w:r>
    </w:p>
    <w:p>
      <w:r>
        <w:rPr>
          <w:b/>
        </w:rPr>
        <w:t>Rule 2.5</w:t>
      </w:r>
      <w:r>
        <w:t xml:space="preserve"> — Cross-school cloning is prohibited. </w:t>
      </w:r>
      <w:r>
        <w:rPr>
          <w:rFonts w:ascii="Consolas" w:hAnsi="Consolas"/>
          <w:color w:val="740049"/>
          <w:sz w:val="19"/>
        </w:rPr>
        <w:t>clone_deposit.py</w:t>
      </w:r>
      <w:r>
        <w:t xml:space="preserve"> refuses it. In a</w:t>
      </w:r>
    </w:p>
    <w:p>
      <w:r>
        <w:t>multi-tenant account a mistyped database name is a cross-institution disclosure.</w:t>
      </w:r>
    </w:p>
    <w:p>
      <w:pPr>
        <w:ind w:left="504"/>
      </w:pPr>
      <w:r>
        <w:rPr>
          <w:i/>
          <w:color w:val="444444"/>
        </w:rPr>
        <w:t xml:space="preserve">Shares and </w:t>
      </w:r>
      <w:r>
        <w:rPr>
          <w:rFonts w:ascii="Consolas" w:hAnsi="Consolas"/>
          <w:i/>
          <w:color w:val="444444"/>
          <w:sz w:val="19"/>
        </w:rPr>
        <w:t>DITTEAU_SHARED</w:t>
      </w:r>
      <w:r>
        <w:rPr>
          <w:i/>
          <w:color w:val="444444"/>
        </w:rPr>
        <w:t xml:space="preserve"> are environment-independent by design. All three</w:t>
      </w:r>
    </w:p>
    <w:p>
      <w:pPr>
        <w:ind w:left="504"/>
      </w:pPr>
      <w:r>
        <w:rPr>
          <w:i/>
          <w:color w:val="444444"/>
        </w:rPr>
        <w:t xml:space="preserve">environments read the same </w:t>
      </w:r>
      <w:r>
        <w:rPr>
          <w:rFonts w:ascii="Consolas" w:hAnsi="Consolas"/>
          <w:i/>
          <w:color w:val="444444"/>
          <w:sz w:val="19"/>
        </w:rPr>
        <w:t>{CODE}_CX_ARCHIVE</w:t>
      </w:r>
      <w:r>
        <w:rPr>
          <w:i/>
          <w:color w:val="444444"/>
        </w:rPr>
        <w:t xml:space="preserve"> share live. This is correct and is not</w:t>
      </w:r>
    </w:p>
    <w:p>
      <w:pPr>
        <w:ind w:left="504"/>
      </w:pPr>
      <w:r>
        <w:rPr>
          <w:i/>
          <w:color w:val="444444"/>
        </w:rPr>
        <w:t>an exception to 2.2.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3. Who may write</w:t>
      </w:r>
    </w:p>
    <w:p>
      <w:r>
        <w:rPr>
          <w:b/>
        </w:rPr>
        <w:t>Rule 3.1</w:t>
      </w:r>
      <w:r>
        <w:t xml:space="preserve"> — PROD and TEST dbt runs execute as the dedicated service user</w:t>
      </w:r>
    </w:p>
    <w:p>
      <w:r>
        <w:rPr>
          <w:rFonts w:ascii="Consolas" w:hAnsi="Consolas"/>
          <w:color w:val="740049"/>
          <w:sz w:val="19"/>
        </w:rPr>
        <w:t>SVC_{CODE}_DBT_{ENV}</w:t>
      </w:r>
      <w:r>
        <w:t>, never as a person with a role override.</w:t>
      </w:r>
    </w:p>
    <w:p>
      <w:r>
        <w:rPr>
          <w:b/>
        </w:rPr>
        <w:t>Rule 3.2</w:t>
      </w:r>
      <w:r>
        <w:t xml:space="preserve"> — Service users are </w:t>
      </w:r>
      <w:r>
        <w:rPr>
          <w:rFonts w:ascii="Consolas" w:hAnsi="Consolas"/>
          <w:color w:val="740049"/>
          <w:sz w:val="19"/>
        </w:rPr>
        <w:t>TYPE = SERVICE</w:t>
      </w:r>
      <w:r>
        <w:t>, authenticate by key pair, hold</w:t>
      </w:r>
    </w:p>
    <w:p>
      <w:r>
        <w:t xml:space="preserve">exactly one role, and carry </w:t>
      </w:r>
      <w:r>
        <w:rPr>
          <w:rFonts w:ascii="Consolas" w:hAnsi="Consolas"/>
          <w:color w:val="740049"/>
          <w:sz w:val="19"/>
        </w:rPr>
        <w:t>DEFAULT_SECONDARY_ROLES = ()</w:t>
      </w:r>
      <w:r>
        <w:t>.</w:t>
      </w:r>
    </w:p>
    <w:p>
      <w:r>
        <w:rPr>
          <w:b/>
        </w:rPr>
        <w:t>Rule 3.3</w:t>
      </w:r>
      <w:r>
        <w:t xml:space="preserve"> — Setting a role at connect time does </w:t>
      </w:r>
      <w:r>
        <w:rPr>
          <w:b/>
        </w:rPr>
        <w:t>not</w:t>
      </w:r>
      <w:r>
        <w:t xml:space="preserve"> scope a person's session.</w:t>
      </w:r>
    </w:p>
    <w:p>
      <w:r>
        <w:t xml:space="preserve">Accounts with </w:t>
      </w:r>
      <w:r>
        <w:rPr>
          <w:rFonts w:ascii="Consolas" w:hAnsi="Consolas"/>
          <w:color w:val="740049"/>
          <w:sz w:val="19"/>
        </w:rPr>
        <w:t>DEFAULT_SECONDARY_ROLES = ["ALL"]</w:t>
      </w:r>
      <w:r>
        <w:t xml:space="preserve"> keep </w:t>
      </w:r>
      <w:r>
        <w:rPr>
          <w:rFonts w:ascii="Consolas" w:hAnsi="Consolas"/>
          <w:color w:val="740049"/>
          <w:sz w:val="19"/>
        </w:rPr>
        <w:t>ACCOUNTADMIN</w:t>
      </w:r>
      <w:r>
        <w:t xml:space="preserve"> active as a</w:t>
      </w:r>
    </w:p>
    <w:p>
      <w:r>
        <w:t>secondary role regardless of the primary role requested, and object access resolves</w:t>
      </w:r>
    </w:p>
    <w:p>
      <w:r>
        <w:t>against the union. Any session used to test or verify access must begin: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USE SECONDARY ROLES NONE;</w:t>
        <w:br/>
        <w:t>SELECT CURRENT_ROLE(), CURRENT_SECONDARY_ROLES();  -- confirm before trusting results</w:t>
      </w:r>
    </w:p>
    <w:p>
      <w:r>
        <w:rPr>
          <w:b/>
        </w:rPr>
        <w:t>Rule 3.4</w:t>
      </w:r>
      <w:r>
        <w:t xml:space="preserve"> — Engineers hold </w:t>
      </w:r>
      <w:r>
        <w:rPr>
          <w:rFonts w:ascii="Consolas" w:hAnsi="Consolas"/>
          <w:color w:val="740049"/>
          <w:sz w:val="19"/>
        </w:rPr>
        <w:t>DITTEAU_ENGINEER</w:t>
      </w:r>
      <w:r>
        <w:t>: full in DEV and TEST, **read-only in</w:t>
      </w:r>
    </w:p>
    <w:p>
      <w:r>
        <w:t>PROD**. Routine PROD writes go through the service account. Administrative changes go</w:t>
      </w:r>
    </w:p>
    <w:p>
      <w:r>
        <w:t xml:space="preserve">through a reviewed migration in </w:t>
      </w:r>
      <w:r>
        <w:rPr>
          <w:rFonts w:ascii="Consolas" w:hAnsi="Consolas"/>
          <w:color w:val="740049"/>
          <w:sz w:val="19"/>
        </w:rPr>
        <w:t>ditteau_data_infra/school_setup/migrations/</w:t>
      </w:r>
      <w:r>
        <w:t>.</w:t>
      </w:r>
    </w:p>
    <w:p>
      <w:r>
        <w:rPr>
          <w:b/>
        </w:rPr>
        <w:t>Rule 3.5</w:t>
      </w:r>
      <w:r>
        <w:t xml:space="preserve"> — Service roles are not granted </w:t>
      </w:r>
      <w:r>
        <w:rPr>
          <w:rFonts w:ascii="Consolas" w:hAnsi="Consolas"/>
          <w:color w:val="740049"/>
          <w:sz w:val="19"/>
        </w:rPr>
        <w:t>CREATE SCHEMA</w:t>
      </w:r>
      <w:r>
        <w:t>. Schemas are provisioned by</w:t>
      </w:r>
    </w:p>
    <w:p>
      <w:r>
        <w:t>migration. A transform role that can mint schemas lets a mistyped config create one</w:t>
      </w:r>
    </w:p>
    <w:p>
      <w:r>
        <w:t>silently instead of failing.</w:t>
      </w:r>
    </w:p>
    <w:p>
      <w:r>
        <w:rPr>
          <w:b/>
        </w:rPr>
        <w:t>Rule 3.6</w:t>
      </w:r>
      <w:r>
        <w:t xml:space="preserve"> — No school's dbt role may hold write access to </w:t>
      </w:r>
      <w:r>
        <w:rPr>
          <w:rFonts w:ascii="Consolas" w:hAnsi="Consolas"/>
          <w:color w:val="740049"/>
          <w:sz w:val="19"/>
        </w:rPr>
        <w:t>DITTEAU_SHARED</w:t>
      </w:r>
      <w:r>
        <w:t>. Shared</w:t>
      </w:r>
    </w:p>
    <w:p>
      <w:r>
        <w:t>reference data is read-only to tenants; one tenant's build must not be able to corrupt</w:t>
      </w:r>
    </w:p>
    <w:p>
      <w:r>
        <w:t>data every other tenant reads.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4. What can and cannot be rebuilt</w:t>
      </w:r>
    </w:p>
    <w:p>
      <w:r>
        <w:t>Three classes of object, requiring different handling.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740049"/>
                <w:sz w:val="19"/>
              </w:rPr>
              <w:t>--full-refresh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Derivable</w:t>
            </w:r>
          </w:p>
        </w:tc>
        <w:tc>
          <w:tcPr>
            <w:tcW w:type="dxa" w:w="2880"/>
          </w:tcPr>
          <w:p>
            <w:r/>
            <w:r>
              <w:t>staging views, dimensions, facts, marts</w:t>
            </w:r>
          </w:p>
        </w:tc>
        <w:tc>
          <w:tcPr>
            <w:tcW w:type="dxa" w:w="2880"/>
          </w:tcPr>
          <w:p>
            <w:r/>
            <w:r>
              <w:t>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Accumulating</w:t>
            </w:r>
          </w:p>
        </w:tc>
        <w:tc>
          <w:tcPr>
            <w:tcW w:type="dxa" w:w="2880"/>
          </w:tcPr>
          <w:p>
            <w:r/>
            <w:r>
              <w:t xml:space="preserve">the five </w:t>
            </w:r>
            <w:r>
              <w:rPr>
                <w:rFonts w:ascii="Consolas" w:hAnsi="Consolas"/>
                <w:color w:val="740049"/>
                <w:sz w:val="19"/>
              </w:rPr>
              <w:t>snap_*</w:t>
            </w:r>
            <w:r>
              <w:t xml:space="preserve"> models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Destroys history</w:t>
            </w:r>
            <w:r>
              <w:t xml:space="preserve"> that cannot be recreated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Minted identity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int_ditteau_id_registry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Re-mints every ID</w:t>
            </w:r>
            <w:r>
              <w:t>; breaks every external reference</w:t>
            </w:r>
          </w:p>
        </w:tc>
      </w:tr>
    </w:tbl>
    <w:p/>
    <w:p>
      <w:r>
        <w:rPr>
          <w:b/>
        </w:rPr>
        <w:t>Rule 4.1</w:t>
      </w:r>
      <w:r>
        <w:t xml:space="preserve"> — </w:t>
      </w:r>
      <w:r>
        <w:rPr>
          <w:rFonts w:ascii="Consolas" w:hAnsi="Consolas"/>
          <w:color w:val="740049"/>
          <w:sz w:val="19"/>
        </w:rPr>
        <w:t>int_ditteau_id_registry</w:t>
      </w:r>
      <w:r>
        <w:t xml:space="preserve"> is append-only and must never be</w:t>
      </w:r>
    </w:p>
    <w:p>
      <w:r>
        <w:t xml:space="preserve">full-refreshed. The model enforces </w:t>
      </w:r>
      <w:r>
        <w:rPr>
          <w:rFonts w:ascii="Consolas" w:hAnsi="Consolas"/>
          <w:color w:val="740049"/>
          <w:sz w:val="19"/>
        </w:rPr>
        <w:t>full_refresh=false</w:t>
      </w:r>
      <w:r>
        <w:t>; do not override it.</w:t>
      </w:r>
    </w:p>
    <w:p>
      <w:r>
        <w:rPr>
          <w:b/>
        </w:rPr>
        <w:t>Rule 4.2</w:t>
      </w:r>
      <w:r>
        <w:t xml:space="preserve"> — The </w:t>
      </w:r>
      <w:r>
        <w:rPr>
          <w:rFonts w:ascii="Consolas" w:hAnsi="Consolas"/>
          <w:color w:val="740049"/>
          <w:sz w:val="19"/>
        </w:rPr>
        <w:t>snap_*</w:t>
      </w:r>
      <w:r>
        <w:t xml:space="preserve"> models hold point-in-time history that depends on what</w:t>
      </w:r>
    </w:p>
    <w:p>
      <w:r>
        <w:t>deposit looked like on past dates. Full-refresh recreates only what current deposit can</w:t>
      </w:r>
    </w:p>
    <w:p>
      <w:r>
        <w:t>produce.</w:t>
      </w:r>
    </w:p>
    <w:p>
      <w:r>
        <w:rPr>
          <w:b/>
        </w:rPr>
        <w:t>Rule 4.3</w:t>
      </w:r>
      <w:r>
        <w:t xml:space="preserve"> — Identity is order-dependent. </w:t>
      </w:r>
      <w:r>
        <w:rPr>
          <w:rFonts w:ascii="Consolas" w:hAnsi="Consolas"/>
          <w:color w:val="740049"/>
          <w:sz w:val="19"/>
        </w:rPr>
        <w:t>ditteau_id</w:t>
      </w:r>
      <w:r>
        <w:t xml:space="preserve"> is deterministic given</w:t>
      </w:r>
    </w:p>
    <w:p>
      <w:r>
        <w:rPr>
          <w:rFonts w:ascii="Consolas" w:hAnsi="Consolas"/>
          <w:color w:val="740049"/>
          <w:sz w:val="19"/>
        </w:rPr>
        <w:t>(institution, anchor_source_system, anchor_source_id)</w:t>
      </w:r>
      <w:r>
        <w:t>, but *which* source becomes the</w:t>
      </w:r>
    </w:p>
    <w:p>
      <w:r>
        <w:t>anchor depends on what data existed when the person first appeared. Two environments</w:t>
      </w:r>
    </w:p>
    <w:p>
      <w:r>
        <w:t xml:space="preserve">populated in a different order can assign different </w:t>
      </w:r>
      <w:r>
        <w:rPr>
          <w:rFonts w:ascii="Consolas" w:hAnsi="Consolas"/>
          <w:color w:val="740049"/>
          <w:sz w:val="19"/>
        </w:rPr>
        <w:t>ditteau_id</w:t>
      </w:r>
      <w:r>
        <w:t xml:space="preserve"> values to the same</w:t>
      </w:r>
    </w:p>
    <w:p>
      <w:r>
        <w:t>person. Do not join identity across environments.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5. Governance controls</w:t>
      </w:r>
    </w:p>
    <w:p>
      <w:r>
        <w:rPr>
          <w:b/>
        </w:rPr>
        <w:t>Rule 5.1</w:t>
      </w:r>
      <w:r>
        <w:t xml:space="preserve"> — </w:t>
      </w:r>
      <w:r>
        <w:rPr>
          <w:rFonts w:ascii="Consolas" w:hAnsi="Consolas"/>
          <w:color w:val="740049"/>
          <w:sz w:val="19"/>
        </w:rPr>
        <w:t>enable_row_level_security</w:t>
      </w:r>
      <w:r>
        <w:t xml:space="preserve"> and </w:t>
      </w:r>
      <w:r>
        <w:rPr>
          <w:rFonts w:ascii="Consolas" w:hAnsi="Consolas"/>
          <w:color w:val="740049"/>
          <w:sz w:val="19"/>
        </w:rPr>
        <w:t>enable_masking_policies</w:t>
      </w:r>
      <w:r>
        <w:t xml:space="preserve"> are **false in</w:t>
      </w:r>
    </w:p>
    <w:p>
      <w:r>
        <w:t>all environments** until the preconditions in §5.3 are met for that environment.</w:t>
      </w:r>
    </w:p>
    <w:p>
      <w:r>
        <w:t>Flipping either is a governance decision requiring KKM sign-off, not a deployment step.</w:t>
      </w:r>
    </w:p>
    <w:p>
      <w:r>
        <w:rPr>
          <w:b/>
        </w:rPr>
        <w:t>Rule 5.2</w:t>
      </w:r>
      <w:r>
        <w:t xml:space="preserve"> — Access tiers resolve </w:t>
      </w:r>
      <w:r>
        <w:rPr>
          <w:rFonts w:ascii="Consolas" w:hAnsi="Consolas"/>
          <w:color w:val="740049"/>
          <w:sz w:val="19"/>
        </w:rPr>
        <w:t>COALESCE(user_domain_access, role_domain_access)</w:t>
      </w:r>
      <w:r>
        <w:t>.</w:t>
      </w:r>
    </w:p>
    <w:p>
      <w:r>
        <w:t>The user-keyed path exists because Streamlit in Snowflake runs owner's-rights, so</w:t>
      </w:r>
    </w:p>
    <w:p>
      <w:r>
        <w:rPr>
          <w:rFonts w:ascii="Consolas" w:hAnsi="Consolas"/>
          <w:color w:val="740049"/>
          <w:sz w:val="19"/>
        </w:rPr>
        <w:t>CURRENT_ROLE()</w:t>
      </w:r>
      <w:r>
        <w:t xml:space="preserve"> returns the app owner for every viewer.</w:t>
      </w:r>
    </w:p>
    <w:p>
      <w:r>
        <w:rPr>
          <w:b/>
        </w:rPr>
        <w:t>Rule 5.3 — Preconditions before enabling row-level security in an environment:</w:t>
      </w:r>
    </w:p>
    <w:p>
      <w:pPr>
        <w:pStyle w:val="ListNumber"/>
      </w:pPr>
      <w:r>
        <w:t>The three domain policies exist in that database</w:t>
      </w:r>
    </w:p>
    <w:p>
      <w:pPr>
        <w:pStyle w:val="ListNumber"/>
      </w:pPr>
      <w:r>
        <w:rPr>
          <w:rFonts w:ascii="Consolas" w:hAnsi="Consolas"/>
          <w:color w:val="740049"/>
          <w:sz w:val="19"/>
        </w:rPr>
        <w:t>{CODE}_DBT_{ENV}</w:t>
      </w:r>
      <w:r>
        <w:t xml:space="preserve"> holds </w:t>
      </w:r>
      <w:r>
        <w:rPr>
          <w:rFonts w:ascii="Consolas" w:hAnsi="Consolas"/>
          <w:color w:val="740049"/>
          <w:sz w:val="19"/>
        </w:rPr>
        <w:t>APPLY</w:t>
      </w:r>
      <w:r>
        <w:t xml:space="preserve"> on each of them</w:t>
      </w:r>
    </w:p>
    <w:p>
      <w:pPr>
        <w:pStyle w:val="ListNumber"/>
      </w:pPr>
      <w:r>
        <w:rPr>
          <w:rFonts w:ascii="Consolas" w:hAnsi="Consolas"/>
          <w:color w:val="740049"/>
          <w:sz w:val="19"/>
        </w:rPr>
        <w:t>role_domain_access</w:t>
      </w:r>
      <w:r>
        <w:t xml:space="preserve"> is populated</w:t>
      </w:r>
    </w:p>
    <w:p>
      <w:pPr>
        <w:pStyle w:val="ListNumber"/>
      </w:pPr>
      <w:r>
        <w:rPr>
          <w:rFonts w:ascii="Consolas" w:hAnsi="Consolas"/>
          <w:color w:val="740049"/>
          <w:sz w:val="19"/>
        </w:rPr>
        <w:t>user_domain_access</w:t>
      </w:r>
      <w:r>
        <w:t xml:space="preserve"> is populated for every user who will access through a</w:t>
      </w:r>
    </w:p>
    <w:p>
      <w:r>
        <w:t xml:space="preserve">Streamlit app — </w:t>
      </w:r>
      <w:r>
        <w:rPr>
          <w:b/>
        </w:rPr>
        <w:t>an empty grid denies everything under owner's-rights</w:t>
      </w:r>
    </w:p>
    <w:p>
      <w:pPr>
        <w:pStyle w:val="ListNumber"/>
      </w:pPr>
      <w:r>
        <w:rPr>
          <w:rFonts w:ascii="Consolas" w:hAnsi="Consolas"/>
          <w:color w:val="740049"/>
          <w:sz w:val="19"/>
        </w:rPr>
        <w:t>advisor_student_map</w:t>
      </w:r>
      <w:r>
        <w:t xml:space="preserve"> is populated, or no role holds </w:t>
      </w:r>
      <w:r>
        <w:rPr>
          <w:rFonts w:ascii="Consolas" w:hAnsi="Consolas"/>
          <w:color w:val="740049"/>
          <w:sz w:val="19"/>
        </w:rPr>
        <w:t>SCOPED</w:t>
      </w:r>
      <w:r>
        <w:t xml:space="preserve"> in that environment</w:t>
      </w:r>
    </w:p>
    <w:p>
      <w:pPr>
        <w:pStyle w:val="ListNumber"/>
      </w:pPr>
      <w:r>
        <w:t xml:space="preserve">Attachment is confirmed by querying </w:t>
      </w:r>
      <w:r>
        <w:rPr>
          <w:rFonts w:ascii="Consolas" w:hAnsi="Consolas"/>
          <w:color w:val="740049"/>
          <w:sz w:val="19"/>
        </w:rPr>
        <w:t>information_schema.policy_references</w:t>
      </w:r>
    </w:p>
    <w:p>
      <w:r>
        <w:rPr>
          <w:b/>
        </w:rPr>
        <w:t>Rule 5.4 — Preconditions before enabling masking:</w:t>
      </w:r>
      <w:r>
        <w:t xml:space="preserve"> the policy set exists in that</w:t>
      </w:r>
    </w:p>
    <w:p>
      <w:r>
        <w:t xml:space="preserve">database, and </w:t>
      </w:r>
      <w:r>
        <w:rPr>
          <w:rFonts w:ascii="Consolas" w:hAnsi="Consolas"/>
          <w:color w:val="740049"/>
          <w:sz w:val="19"/>
        </w:rPr>
        <w:t>role_pii_unmask</w:t>
      </w:r>
      <w:r>
        <w:t xml:space="preserve"> / </w:t>
      </w:r>
      <w:r>
        <w:rPr>
          <w:rFonts w:ascii="Consolas" w:hAnsi="Consolas"/>
          <w:color w:val="740049"/>
          <w:sz w:val="19"/>
        </w:rPr>
        <w:t>user_pii_unmask</w:t>
      </w:r>
      <w:r>
        <w:t xml:space="preserve"> are populated. Both grids default to</w:t>
      </w:r>
    </w:p>
    <w:p>
      <w:r>
        <w:t>deny by absence: enabling masking against empty grids masks the column for everyone,</w:t>
      </w:r>
    </w:p>
    <w:p>
      <w:r>
        <w:t>including the registrar.</w:t>
      </w:r>
    </w:p>
    <w:p>
      <w:r>
        <w:rPr>
          <w:b/>
        </w:rPr>
        <w:t>Rule 5.5</w:t>
      </w:r>
      <w:r>
        <w:t xml:space="preserve"> — </w:t>
      </w:r>
      <w:r>
        <w:rPr>
          <w:rFonts w:ascii="Consolas" w:hAnsi="Consolas"/>
          <w:color w:val="740049"/>
          <w:sz w:val="19"/>
        </w:rPr>
        <w:t>{CODE}_STREAMLIT_OWNER_{ENV}</w:t>
      </w:r>
      <w:r>
        <w:t xml:space="preserve"> must </w:t>
      </w:r>
      <w:r>
        <w:rPr>
          <w:b/>
        </w:rPr>
        <w:t>never</w:t>
      </w:r>
      <w:r>
        <w:t xml:space="preserve"> appear in</w:t>
      </w:r>
    </w:p>
    <w:p>
      <w:r>
        <w:rPr>
          <w:rFonts w:ascii="Consolas" w:hAnsi="Consolas"/>
          <w:color w:val="740049"/>
          <w:sz w:val="19"/>
        </w:rPr>
        <w:t>role_domain_access</w:t>
      </w:r>
      <w:r>
        <w:t xml:space="preserve">, including with tier </w:t>
      </w:r>
      <w:r>
        <w:rPr>
          <w:rFonts w:ascii="Consolas" w:hAnsi="Consolas"/>
          <w:color w:val="740049"/>
          <w:sz w:val="19"/>
        </w:rPr>
        <w:t>NONE</w:t>
      </w:r>
      <w:r>
        <w:t xml:space="preserve">. Absence and </w:t>
      </w:r>
      <w:r>
        <w:rPr>
          <w:rFonts w:ascii="Consolas" w:hAnsi="Consolas"/>
          <w:color w:val="740049"/>
          <w:sz w:val="19"/>
        </w:rPr>
        <w:t>NONE</w:t>
      </w:r>
      <w:r>
        <w:t xml:space="preserve"> both deny today, but</w:t>
      </w:r>
    </w:p>
    <w:p>
      <w:r>
        <w:t xml:space="preserve">an explicit row invites a later edit to </w:t>
      </w:r>
      <w:r>
        <w:rPr>
          <w:rFonts w:ascii="Consolas" w:hAnsi="Consolas"/>
          <w:color w:val="740049"/>
          <w:sz w:val="19"/>
        </w:rPr>
        <w:t>FULL</w:t>
      </w:r>
      <w:r>
        <w:t>, which would grant every viewer of that</w:t>
      </w:r>
    </w:p>
    <w:p>
      <w:r>
        <w:t>app full access simultaneously. Enforced by</w:t>
      </w:r>
    </w:p>
    <w:p>
      <w:r>
        <w:rPr>
          <w:rFonts w:ascii="Consolas" w:hAnsi="Consolas"/>
          <w:color w:val="740049"/>
          <w:sz w:val="19"/>
        </w:rPr>
        <w:t>tests/governance/assert_no_app_owner_in_role_domain_access.sql</w:t>
      </w:r>
      <w:r>
        <w:t>.</w:t>
      </w:r>
    </w:p>
    <w:p>
      <w:r>
        <w:rPr>
          <w:b/>
        </w:rPr>
        <w:t>Rule 5.6</w:t>
      </w:r>
      <w:r>
        <w:t xml:space="preserve"> — Row access and column masking resolve through </w:t>
      </w:r>
      <w:r>
        <w:rPr>
          <w:b/>
        </w:rPr>
        <w:t>separate</w:t>
      </w:r>
      <w:r>
        <w:t xml:space="preserve"> grids. Widening</w:t>
      </w:r>
    </w:p>
    <w:p>
      <w:r>
        <w:t>a role's row access must not silently unmask PII.</w:t>
      </w:r>
    </w:p>
    <w:p>
      <w:r>
        <w:rPr>
          <w:b/>
        </w:rPr>
        <w:t>Rule 5.7</w:t>
      </w:r>
      <w:r>
        <w:t xml:space="preserve"> — Read the entitlement grid across a role's row, not down a domain's column.</w:t>
      </w:r>
    </w:p>
    <w:p>
      <w:r>
        <w:t>Snowflake permits one row access policy per table, so a conformed dimension has a single</w:t>
      </w:r>
    </w:p>
    <w:p>
      <w:r>
        <w:t>domain owner, and that ownership fixes the tier every role gets on it regardless of their</w:t>
      </w:r>
    </w:p>
    <w:p>
      <w:r>
        <w:t>tier elsewhere.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6. Verification standard</w:t>
      </w:r>
    </w:p>
    <w:p>
      <w:r>
        <w:rPr>
          <w:b/>
        </w:rPr>
        <w:t>Rule 6.1</w:t>
      </w:r>
      <w:r>
        <w:t xml:space="preserve"> — A change is complete when its </w:t>
      </w:r>
      <w:r>
        <w:rPr>
          <w:b/>
        </w:rPr>
        <w:t>effect is observed</w:t>
      </w:r>
      <w:r>
        <w:t>, not when the code is</w:t>
      </w:r>
    </w:p>
    <w:p>
      <w:r>
        <w:t>written or the command exits zero.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observation</w:t>
            </w:r>
          </w:p>
        </w:tc>
      </w:tr>
      <w:tr>
        <w:tc>
          <w:tcPr>
            <w:tcW w:type="dxa" w:w="4320"/>
          </w:tcPr>
          <w:p>
            <w:r/>
            <w:r>
              <w:t>Policy attached</w:t>
            </w:r>
          </w:p>
        </w:tc>
        <w:tc>
          <w:tcPr>
            <w:tcW w:type="dxa" w:w="4320"/>
          </w:tcPr>
          <w:p>
            <w:r/>
            <w:r>
              <w:t xml:space="preserve">a row in </w:t>
            </w:r>
            <w:r>
              <w:rPr>
                <w:rFonts w:ascii="Consolas" w:hAnsi="Consolas"/>
                <w:color w:val="740049"/>
                <w:sz w:val="19"/>
              </w:rPr>
              <w:t>information_schema.policy_references</w:t>
            </w:r>
          </w:p>
        </w:tc>
      </w:tr>
      <w:tr>
        <w:tc>
          <w:tcPr>
            <w:tcW w:type="dxa" w:w="4320"/>
          </w:tcPr>
          <w:p>
            <w:r/>
            <w:r>
              <w:t>Procedure deployed</w:t>
            </w:r>
          </w:p>
        </w:tc>
        <w:tc>
          <w:tcPr>
            <w:tcW w:type="dxa" w:w="4320"/>
          </w:tcPr>
          <w:p>
            <w:r/>
            <w:r>
              <w:t>a successful call</w:t>
            </w:r>
          </w:p>
        </w:tc>
      </w:tr>
      <w:tr>
        <w:tc>
          <w:tcPr>
            <w:tcW w:type="dxa" w:w="4320"/>
          </w:tcPr>
          <w:p>
            <w:r/>
            <w:r>
              <w:t>Table created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rFonts w:ascii="Consolas" w:hAnsi="Consolas"/>
                <w:color w:val="740049"/>
                <w:sz w:val="19"/>
              </w:rPr>
              <w:t>SELECT</w:t>
            </w:r>
            <w:r>
              <w:t xml:space="preserve"> in the target account</w:t>
            </w:r>
          </w:p>
        </w:tc>
      </w:tr>
      <w:tr>
        <w:tc>
          <w:tcPr>
            <w:tcW w:type="dxa" w:w="4320"/>
          </w:tcPr>
          <w:p>
            <w:r/>
            <w:r>
              <w:t>Grant issued</w:t>
            </w:r>
          </w:p>
        </w:tc>
        <w:tc>
          <w:tcPr>
            <w:tcW w:type="dxa" w:w="4320"/>
          </w:tcPr>
          <w:p>
            <w:r/>
            <w:r>
              <w:t xml:space="preserve">a read performed </w:t>
            </w:r>
            <w:r>
              <w:rPr>
                <w:b/>
              </w:rPr>
              <w:t>as the grantee</w:t>
            </w:r>
          </w:p>
        </w:tc>
      </w:tr>
      <w:tr>
        <w:tc>
          <w:tcPr>
            <w:tcW w:type="dxa" w:w="4320"/>
          </w:tcPr>
          <w:p>
            <w:r/>
            <w:r>
              <w:t>Test added</w:t>
            </w:r>
          </w:p>
        </w:tc>
        <w:tc>
          <w:tcPr>
            <w:tcW w:type="dxa" w:w="4320"/>
          </w:tcPr>
          <w:p>
            <w:r/>
            <w:r>
              <w:t>a confirmed failure when its invariant is deliberately broken</w:t>
            </w:r>
          </w:p>
        </w:tc>
      </w:tr>
    </w:tbl>
    <w:p/>
    <w:p>
      <w:r>
        <w:rPr>
          <w:b/>
        </w:rPr>
        <w:t>Rule 6.2</w:t>
      </w:r>
      <w:r>
        <w:t xml:space="preserve"> — Exit code zero means "nothing raised", not "something happened". Piping a</w:t>
      </w:r>
    </w:p>
    <w:p>
      <w:r>
        <w:t>command through another process replaces its exit code. Confirm the effect independently.</w:t>
      </w:r>
    </w:p>
    <w:p>
      <w:r>
        <w:rPr>
          <w:b/>
        </w:rPr>
        <w:t>Rule 6.3</w:t>
      </w:r>
      <w:r>
        <w:t xml:space="preserve"> — Flag-gated code is untested code. Anything behind a flag that has never</w:t>
      </w:r>
    </w:p>
    <w:p>
      <w:r>
        <w:t>been true has never run. Exercise it with the flag on in DEMEAU DEV, observe, revert.</w:t>
      </w:r>
    </w:p>
    <w:p>
      <w:r>
        <w:rPr>
          <w:b/>
        </w:rPr>
        <w:t>Rule 6.4</w:t>
      </w:r>
      <w:r>
        <w:t xml:space="preserve"> — Deployment state is verified against Snowflake, never inferred from the</w:t>
      </w:r>
    </w:p>
    <w:p>
      <w:r>
        <w:t>repository. A migration file in git is evidence of intent, not of execution.</w:t>
      </w:r>
    </w:p>
    <w:p>
      <w:r>
        <w:rPr>
          <w:b/>
        </w:rPr>
        <w:t>Rule 6.5</w:t>
      </w:r>
      <w:r>
        <w:t xml:space="preserve"> — When fixing a defect, check whether its siblings share it. Repeated</w:t>
      </w:r>
    </w:p>
    <w:p>
      <w:r>
        <w:t>finding: fixes reach the model, policy or environment in front of you and not the others</w:t>
      </w:r>
    </w:p>
    <w:p>
      <w:r>
        <w:t>beside it.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7. Prohibited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Never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CREATE OR REPLACE SCHEMA</w:t>
            </w:r>
            <w:r>
              <w:t xml:space="preserve"> on a deposit schema</w:t>
            </w:r>
          </w:p>
        </w:tc>
        <w:tc>
          <w:tcPr>
            <w:tcW w:type="dxa" w:w="4320"/>
          </w:tcPr>
          <w:p>
            <w:r/>
            <w:r>
              <w:t xml:space="preserve">Destroys </w:t>
            </w:r>
            <w:r>
              <w:rPr>
                <w:rFonts w:ascii="Consolas" w:hAnsi="Consolas"/>
                <w:color w:val="740049"/>
                <w:sz w:val="19"/>
              </w:rPr>
              <w:t>INGEST_STAGE</w:t>
            </w:r>
            <w:r>
              <w:t xml:space="preserve"> and the direct </w:t>
            </w:r>
            <w:r>
              <w:rPr>
                <w:rFonts w:ascii="Consolas" w:hAnsi="Consolas"/>
                <w:color w:val="740049"/>
                <w:sz w:val="19"/>
              </w:rPr>
              <w:t>WRITE</w:t>
            </w:r>
            <w:r>
              <w:t xml:space="preserve"> grant no future grant covers</w:t>
            </w:r>
          </w:p>
        </w:tc>
      </w:tr>
      <w:tr>
        <w:tc>
          <w:tcPr>
            <w:tcW w:type="dxa" w:w="4320"/>
          </w:tcPr>
          <w:p>
            <w:r/>
            <w:r>
              <w:t xml:space="preserve">dbt </w:t>
            </w:r>
            <w:r>
              <w:rPr>
                <w:rFonts w:ascii="Consolas" w:hAnsi="Consolas"/>
                <w:color w:val="740049"/>
                <w:sz w:val="19"/>
              </w:rPr>
              <w:t>+grants:</w:t>
            </w:r>
            <w:r>
              <w:t xml:space="preserve"> configuration</w:t>
            </w:r>
          </w:p>
        </w:tc>
        <w:tc>
          <w:tcPr>
            <w:tcW w:type="dxa" w:w="4320"/>
          </w:tcPr>
          <w:p>
            <w:r/>
            <w:r>
              <w:t>Revokes working future grants</w:t>
            </w:r>
          </w:p>
        </w:tc>
      </w:tr>
      <w:tr>
        <w:tc>
          <w:tcPr>
            <w:tcW w:type="dxa" w:w="4320"/>
          </w:tcPr>
          <w:p>
            <w:r/>
            <w:r>
              <w:t xml:space="preserve">Full-refresh of </w:t>
            </w:r>
            <w:r>
              <w:rPr>
                <w:rFonts w:ascii="Consolas" w:hAnsi="Consolas"/>
                <w:color w:val="740049"/>
                <w:sz w:val="19"/>
              </w:rPr>
              <w:t>int_ditteau_id_registry</w:t>
            </w:r>
          </w:p>
        </w:tc>
        <w:tc>
          <w:tcPr>
            <w:tcW w:type="dxa" w:w="4320"/>
          </w:tcPr>
          <w:p>
            <w:r/>
            <w:r>
              <w:t xml:space="preserve">Re-mints every </w:t>
            </w:r>
            <w:r>
              <w:rPr>
                <w:rFonts w:ascii="Consolas" w:hAnsi="Consolas"/>
                <w:color w:val="740049"/>
                <w:sz w:val="19"/>
              </w:rPr>
              <w:t>ditteau_id</w:t>
            </w:r>
          </w:p>
        </w:tc>
      </w:tr>
      <w:tr>
        <w:tc>
          <w:tcPr>
            <w:tcW w:type="dxa" w:w="4320"/>
          </w:tcPr>
          <w:p>
            <w:r/>
            <w:r>
              <w:t xml:space="preserve">Adding </w:t>
            </w:r>
            <w:r>
              <w:rPr>
                <w:rFonts w:ascii="Consolas" w:hAnsi="Consolas"/>
                <w:color w:val="740049"/>
                <w:sz w:val="19"/>
              </w:rPr>
              <w:t>STREAMLIT_OWNER</w:t>
            </w:r>
            <w:r>
              <w:t xml:space="preserve"> to </w:t>
            </w:r>
            <w:r>
              <w:rPr>
                <w:rFonts w:ascii="Consolas" w:hAnsi="Consolas"/>
                <w:color w:val="740049"/>
                <w:sz w:val="19"/>
              </w:rPr>
              <w:t>role_domain_access</w:t>
            </w:r>
          </w:p>
        </w:tc>
        <w:tc>
          <w:tcPr>
            <w:tcW w:type="dxa" w:w="4320"/>
          </w:tcPr>
          <w:p>
            <w:r/>
            <w:r>
              <w:t>See 5.5</w:t>
            </w:r>
          </w:p>
        </w:tc>
      </w:tr>
      <w:tr>
        <w:tc>
          <w:tcPr>
            <w:tcW w:type="dxa" w:w="4320"/>
          </w:tcPr>
          <w:p>
            <w:r/>
            <w:r>
              <w:t xml:space="preserve">Granting a school's dbt role write on </w:t>
            </w:r>
            <w:r>
              <w:rPr>
                <w:rFonts w:ascii="Consolas" w:hAnsi="Consolas"/>
                <w:color w:val="740049"/>
                <w:sz w:val="19"/>
              </w:rPr>
              <w:t>DITTEAU_SHARED</w:t>
            </w:r>
          </w:p>
        </w:tc>
        <w:tc>
          <w:tcPr>
            <w:tcW w:type="dxa" w:w="4320"/>
          </w:tcPr>
          <w:p>
            <w:r/>
            <w:r>
              <w:t>See 3.6</w:t>
            </w:r>
          </w:p>
        </w:tc>
      </w:tr>
      <w:tr>
        <w:tc>
          <w:tcPr>
            <w:tcW w:type="dxa" w:w="4320"/>
          </w:tcPr>
          <w:p>
            <w:r/>
            <w:r>
              <w:t xml:space="preserve">Testing access as </w:t>
            </w:r>
            <w:r>
              <w:rPr>
                <w:rFonts w:ascii="Consolas" w:hAnsi="Consolas"/>
                <w:color w:val="740049"/>
                <w:sz w:val="19"/>
              </w:rPr>
              <w:t>SYSADMIN</w:t>
            </w:r>
            <w:r>
              <w:t xml:space="preserve"> or </w:t>
            </w:r>
            <w:r>
              <w:rPr>
                <w:rFonts w:ascii="Consolas" w:hAnsi="Consolas"/>
                <w:color w:val="740049"/>
                <w:sz w:val="19"/>
              </w:rPr>
              <w:t>ACCOUNTADMIN</w:t>
            </w:r>
          </w:p>
        </w:tc>
        <w:tc>
          <w:tcPr>
            <w:tcW w:type="dxa" w:w="4320"/>
          </w:tcPr>
          <w:p>
            <w:r/>
            <w:r>
              <w:t xml:space="preserve">Policies short-circuit to </w:t>
            </w:r>
            <w:r>
              <w:rPr>
                <w:rFonts w:ascii="Consolas" w:hAnsi="Consolas"/>
                <w:color w:val="740049"/>
                <w:sz w:val="19"/>
              </w:rPr>
              <w:t>TRUE</w:t>
            </w:r>
          </w:p>
        </w:tc>
      </w:tr>
      <w:tr>
        <w:tc>
          <w:tcPr>
            <w:tcW w:type="dxa" w:w="4320"/>
          </w:tcPr>
          <w:p>
            <w:r/>
            <w:r>
              <w:t xml:space="preserve">Passing </w:t>
            </w:r>
            <w:r>
              <w:rPr>
                <w:rFonts w:ascii="Consolas" w:hAnsi="Consolas"/>
                <w:color w:val="740049"/>
                <w:sz w:val="19"/>
              </w:rPr>
              <w:t>--vars</w:t>
            </w:r>
            <w:r>
              <w:t xml:space="preserve"> or </w:t>
            </w:r>
            <w:r>
              <w:rPr>
                <w:rFonts w:ascii="Consolas" w:hAnsi="Consolas"/>
                <w:color w:val="740049"/>
                <w:sz w:val="19"/>
              </w:rPr>
              <w:t>--target</w:t>
            </w:r>
            <w:r>
              <w:t xml:space="preserve"> to a school run script</w:t>
            </w:r>
          </w:p>
        </w:tc>
        <w:tc>
          <w:tcPr>
            <w:tcW w:type="dxa" w:w="4320"/>
          </w:tcPr>
          <w:p>
            <w:r/>
            <w:r>
              <w:t xml:space="preserve">Replaces the var block; use </w:t>
            </w:r>
            <w:r>
              <w:rPr>
                <w:rFonts w:ascii="Consolas" w:hAnsi="Consolas"/>
                <w:color w:val="740049"/>
                <w:sz w:val="19"/>
              </w:rPr>
              <w:t>EXTRA_VARS</w:t>
            </w:r>
            <w:r>
              <w:t xml:space="preserve"> and </w:t>
            </w:r>
            <w:r>
              <w:rPr>
                <w:rFonts w:ascii="Consolas" w:hAnsi="Consolas"/>
                <w:color w:val="740049"/>
                <w:sz w:val="19"/>
              </w:rPr>
              <w:t>ENV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8. Current state — 2026-08-16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DEMEAU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Merrimack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Anselm</w:t>
            </w:r>
          </w:p>
        </w:tc>
      </w:tr>
      <w:tr>
        <w:tc>
          <w:tcPr>
            <w:tcW w:type="dxa" w:w="2160"/>
          </w:tcPr>
          <w:p>
            <w:r/>
            <w:r>
              <w:t>DEV / TEST / PROD built</w:t>
            </w:r>
          </w:p>
        </w:tc>
        <w:tc>
          <w:tcPr>
            <w:tcW w:type="dxa" w:w="2160"/>
          </w:tcPr>
          <w:p>
            <w:r/>
            <w:r>
              <w:t>✅ all three</w:t>
            </w:r>
          </w:p>
        </w:tc>
        <w:tc>
          <w:tcPr>
            <w:tcW w:type="dxa" w:w="2160"/>
          </w:tcPr>
          <w:p>
            <w:r/>
            <w:r>
              <w:t>DEV only</w:t>
            </w:r>
          </w:p>
        </w:tc>
        <w:tc>
          <w:tcPr>
            <w:tcW w:type="dxa" w:w="2160"/>
          </w:tcPr>
          <w:p>
            <w:r/>
            <w:r>
              <w:t>DEV only</w:t>
            </w:r>
          </w:p>
        </w:tc>
      </w:tr>
      <w:tr>
        <w:tc>
          <w:tcPr>
            <w:tcW w:type="dxa" w:w="2160"/>
          </w:tcPr>
          <w:p>
            <w:r/>
            <w:r>
              <w:t>Service users in use</w:t>
            </w:r>
          </w:p>
        </w:tc>
        <w:tc>
          <w:tcPr>
            <w:tcW w:type="dxa" w:w="2160"/>
          </w:tcPr>
          <w:p>
            <w:r/>
            <w:r>
              <w:t>TEST, PROD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RLS enabled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Masking enabled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Masking policies deployed</w:t>
            </w:r>
          </w:p>
        </w:tc>
        <w:tc>
          <w:tcPr>
            <w:tcW w:type="dxa" w:w="2160"/>
          </w:tcPr>
          <w:p>
            <w:r/>
            <w:r>
              <w:t>DEV only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user_domain_access</w:t>
            </w:r>
            <w:r>
              <w:t xml:space="preserve"> populated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Advisor roster populated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</w:tbl>
    <w:p/>
    <w:p>
      <w:r>
        <w:t>Open dependencies outside engineering control:</w:t>
      </w:r>
    </w:p>
    <w:p>
      <w:pPr>
        <w:pStyle w:val="ListBullet"/>
      </w:pPr>
      <w:r>
        <w:t>No school has advisor data in any source. Anselm's Workday export carries no advisor</w:t>
      </w:r>
    </w:p>
    <w:p>
      <w:r>
        <w:t xml:space="preserve">column; Merrimack's J1 advisor tables are empty. </w:t>
      </w:r>
      <w:r>
        <w:rPr>
          <w:rFonts w:ascii="Consolas" w:hAnsi="Consolas"/>
          <w:color w:val="740049"/>
          <w:sz w:val="19"/>
        </w:rPr>
        <w:t>SCOPED</w:t>
      </w:r>
      <w:r>
        <w:t xml:space="preserve"> cannot function until a</w:t>
      </w:r>
    </w:p>
    <w:p>
      <w:r>
        <w:t>school supplies the field.</w:t>
      </w:r>
    </w:p>
    <w:p>
      <w:pPr>
        <w:pStyle w:val="ListBullet"/>
      </w:pPr>
      <w:r>
        <w:t>No institutional staff hold Snowflake accounts.</w:t>
      </w:r>
    </w:p>
    <w:p>
      <w:pPr>
        <w:pStyle w:val="ListBullet"/>
      </w:pPr>
      <w:r>
        <w:t>Nine service-account private keys are held on an engineer workstation pending a</w:t>
      </w:r>
    </w:p>
    <w:p>
      <w:r>
        <w:t>secrets-manager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