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IITB Insti-Assist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 RAG-Powered Academic Assistant for IIT Bombay — Project Write-Up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1. Chosen Scope and Why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project implements the Academic Assistant track: course registration, grading policy (SPI/CPI), the academic calendar, medals and academic prizes, academic malpractice consequences, and postgraduate (M.Sc./PG) regulations. This scope was chosen because IIT Bombay's academic rules are dense, frequently cross-referenced (e.g. a grading rule depends on a registration category, which depends on a Senate-approved credit limit), and are exactly the kind of information a generic LLM cannot get right from parametric knowledge alone — making it a strong demonstration of RAG's value over a base model. It is also narrow enough to cover thoroughly within the project's time frame, unlike a General Insti Assistant.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2. Data Sources Used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Eleven official documents published by the IIT Bombay Academic Office were used, converted from PDF into structured plain-text source files for ingestion: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UG Rules &amp; Regulations (updated June 2025) — </w:t>
      </w:r>
      <w:hyperlink w:history="1" r:id="rIdzms7hdwph7h7umpbuqxwl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https://acad.iitb.ac.in/files/UG_RULE_BOOK.pdf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Academic Calendar 2025-26 — </w:t>
      </w:r>
      <w:hyperlink w:history="1" r:id="rIdcqyfq5aqzkly1qsq5zzxr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https://acad.iitb.ac.in/sites/default/files/Academic%20Calendar%202025-26_FINAL.pdf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Rules for Award of Medals &amp; Academic Prizes (UG &amp; PG) — </w:t>
      </w:r>
      <w:hyperlink w:history="1" r:id="rIdy0qe8w-kqmooyi_rs6get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https://www.iitb.ac.in/newacadhome/RulesforAwardofMedalsandAcademicprizesforUGandPG.pdf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Disciplinary Actions for Academic Malpractice — </w:t>
      </w:r>
      <w:hyperlink w:history="1" r:id="rIdxgijdcaqv2eyyfvhtzfhl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https://www.iitb.ac.in/newacadhome/punishments201521July.pdf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M.Sc./PG Rules &amp; Regulations — </w:t>
      </w:r>
      <w:hyperlink w:history="1" r:id="rIdkkci-zzqsamvaqwyyt31o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https://acad.iitb.ac.in/files/M.Sc_.%20Rules.pdf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Ph.D. Programme Rules &amp; Regulations (July 2025) — </w:t>
      </w:r>
      <w:hyperlink w:history="1" r:id="rIdaihmjm8nedvtxhy4prvdf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https://acad.iitb.ac.in/files/Ph.D.%20Rules.pdf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M.Tech./MPP/M.Des./MBA Rules &amp; Regulations (July 2025) — </w:t>
      </w:r>
      <w:hyperlink w:history="1" r:id="rIdtj16imgrknsnuazsxjbfv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https://acad.iitb.ac.in/files/M.Tech_.%20MPP.%20M.Des_.%20MBA%20Rules_0.pdf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Exit Degree Rules (M.Tech./MPP/MS by Research/Dual Degree/PhD) — </w:t>
      </w:r>
      <w:hyperlink w:history="1" r:id="rIdtssaanqdegmnbxfplogvb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https://acad.iitb.ac.in/files/ExitDegreemtechphd_0.pdf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Institute Scholarships FAQ (UG &amp; M.Sc.) — </w:t>
      </w:r>
      <w:hyperlink w:history="1" r:id="rIdsfvvlcvmtentmn_ojibqv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https://www.iitb.ac.in/newacadhome/FAQ_Scholarship.pdf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Guidelines for TA/RA/TAP/RAP/FA Duty — </w:t>
      </w:r>
      <w:hyperlink w:history="1" r:id="rIdvtuqqmzuniveiwhs1rf1t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https://www.iitb.ac.in/newacadhome/TA-RADuty.pdf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Convocation Form Submission Procedure — </w:t>
      </w:r>
      <w:hyperlink w:history="1" r:id="rIdcflmyyjcjb7n8rlfqu9at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https://www.iitb.ac.in/newacadhome/ConvocationProcedure.pdf</w:t>
        </w:r>
      </w:hyperlink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Each PDF was fetched and reorganized into a clearly sectioned plain-text file (retaining section numbers and terminology from the original) so that chunk boundaries would align with logical rule boundaries rather than arbitrary page breaks.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3. Chunking Strategy and Why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Documents are split on paragraph boundaries (blank lines) and packed into ~1000-character chunks with a 200-character overlap carried from the tail of the previous chunk. This paragraph-first approach keeps a single rule, deadline, or grading definition intact within one chunk rather than splitting it mid-sentence at a fixed character offset, which is important for regulatory text where a number (a CPI threshold, a credit limit, a deadline) only makes sense with its surrounding clause. The overlap preserves continuity for rules that do span a chunk boundary. Paragraphs longer than the chunk size are hard-split with the same overlap as a fallback. This produced 97 chunks across the 11 documents (roughly 4-18 chunks per document, proportional to length).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4. System Architecture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Chunks are embedded with sentence-transformers (all-MiniLM-L6-v2) and indexed in FAISS using cosine similarity (inner product over normalized vectors). At query time, the user's question is embedded and the top-4 most similar chunks are retrieved. If the best similarity score falls below a 0.30 threshold, the system returns “I don't know” immediately without calling the LLM, avoiding a weak-context guess. Otherwise, the retrieved chunks are injected into a system prompt that instructs the model (Groq API, Llama 3.3 70B) to answer only from the provided context and to output a fixed refusal string when the context is insufficient. The Streamlit UI displays the answer alongside an expandable panel listing the source document(s) and relevance score(s) used.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5. Known Limitations / What I'd Improve With More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Coverage: only Academic Office-level rules are indexed; department-specific curricula, minor/honours course lists, and informal FAQ content are excluded, so department-level questions correctly fall back to “I don't know.”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Chunking: paragraph-based chunking suits prose well but is not tuned for tabular content (e.g. dense date tables in the academic calendar); a table-aware chunker would preserve row/column relationships more faithfully.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Retrieval: uses a single dense retriever (FAISS + MiniLM) only. A hybrid dense + BM25 (keyword) retriever would likely improve recall for queries using exact codes or terms (e.g. “GC 101”, “DX grade”).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Evaluation: no formal labeled Q&amp;A evaluation set was built due to time constraints; this would let refusal precision and retrieval recall be measured quantitatively rather than spot-checked.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Bonus goals not implemented: multi-turn conversational memory, and exact-sentence citation highlighting (currently shows source document name and relevance score, not the specific quoted sentence).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ms7hdwph7h7umpbuqxwl" Type="http://schemas.openxmlformats.org/officeDocument/2006/relationships/hyperlink" Target="https://acad.iitb.ac.in/files/UG_RULE_BOOK.pdf" TargetMode="External"/><Relationship Id="rIdcqyfq5aqzkly1qsq5zzxr" Type="http://schemas.openxmlformats.org/officeDocument/2006/relationships/hyperlink" Target="https://acad.iitb.ac.in/sites/default/files/Academic%20Calendar%202025-26_FINAL.pdf" TargetMode="External"/><Relationship Id="rIdy0qe8w-kqmooyi_rs6get" Type="http://schemas.openxmlformats.org/officeDocument/2006/relationships/hyperlink" Target="https://www.iitb.ac.in/newacadhome/RulesforAwardofMedalsandAcademicprizesforUGandPG.pdf" TargetMode="External"/><Relationship Id="rIdxgijdcaqv2eyyfvhtzfhl" Type="http://schemas.openxmlformats.org/officeDocument/2006/relationships/hyperlink" Target="https://www.iitb.ac.in/newacadhome/punishments201521July.pdf" TargetMode="External"/><Relationship Id="rIdkkci-zzqsamvaqwyyt31o" Type="http://schemas.openxmlformats.org/officeDocument/2006/relationships/hyperlink" Target="https://acad.iitb.ac.in/files/M.Sc_.%20Rules.pdf" TargetMode="External"/><Relationship Id="rIdaihmjm8nedvtxhy4prvdf" Type="http://schemas.openxmlformats.org/officeDocument/2006/relationships/hyperlink" Target="https://acad.iitb.ac.in/files/Ph.D.%20Rules.pdf" TargetMode="External"/><Relationship Id="rIdtj16imgrknsnuazsxjbfv" Type="http://schemas.openxmlformats.org/officeDocument/2006/relationships/hyperlink" Target="https://acad.iitb.ac.in/files/M.Tech_.%20MPP.%20M.Des_.%20MBA%20Rules_0.pdf" TargetMode="External"/><Relationship Id="rIdtssaanqdegmnbxfplogvb" Type="http://schemas.openxmlformats.org/officeDocument/2006/relationships/hyperlink" Target="https://acad.iitb.ac.in/files/ExitDegreemtechphd_0.pdf" TargetMode="External"/><Relationship Id="rIdsfvvlcvmtentmn_ojibqv" Type="http://schemas.openxmlformats.org/officeDocument/2006/relationships/hyperlink" Target="https://www.iitb.ac.in/newacadhome/FAQ_Scholarship.pdf" TargetMode="External"/><Relationship Id="rIdvtuqqmzuniveiwhs1rf1t" Type="http://schemas.openxmlformats.org/officeDocument/2006/relationships/hyperlink" Target="https://www.iitb.ac.in/newacadhome/TA-RADuty.pdf" TargetMode="External"/><Relationship Id="rIdcflmyyjcjb7n8rlfqu9at" Type="http://schemas.openxmlformats.org/officeDocument/2006/relationships/hyperlink" Target="https://www.iitb.ac.in/newacadhome/ConvocationProcedure.pdf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2026-07-11T11:44:22.836Z</dcterms:created>
  <dcterms:modified xsi:type="dcterms:W3CDTF">2026-07-11T11:44:22.847Z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