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2980B9"/>
          <w:sz w:val="22"/>
        </w:rPr>
        <w:t>SOFTWARE REQUIREMENTS SPECIFICATION (IEEE 830 STANDARD)</w:t>
      </w:r>
    </w:p>
    <w:p>
      <w:pPr>
        <w:spacing w:after="360"/>
        <w:jc w:val="center"/>
      </w:pPr>
      <w:r>
        <w:rPr>
          <w:b/>
          <w:color w:val="182B49"/>
          <w:sz w:val="44"/>
        </w:rPr>
        <w:t>Online Passport Appointment and Processing System (OPAPS)</w:t>
      </w:r>
    </w:p>
    <w:p>
      <w:pPr>
        <w:spacing w:after="800"/>
        <w:jc w:val="center"/>
      </w:pPr>
      <w:r>
        <w:rPr>
          <w:i/>
          <w:color w:val="7F8C8D"/>
          <w:sz w:val="22"/>
        </w:rPr>
        <w:t>A Complete End-to-End System Specifications Document for Automated Consular &amp; Passport Issuance Operations</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680"/>
        <w:gridCol w:w="4680"/>
      </w:tblGrid>
      <w:tr>
        <w:tc>
          <w:tcPr>
            <w:tcW w:type="dxa" w:w="3168"/>
            <w:shd w:fill="F4F6F9"/>
          </w:tcPr>
          <w:p>
            <w:r>
              <w:rPr>
                <w:b/>
                <w:color w:val="182B49"/>
                <w:sz w:val="20"/>
              </w:rPr>
              <w:t>Document Version</w:t>
            </w:r>
          </w:p>
        </w:tc>
        <w:tc>
          <w:tcPr>
            <w:tcW w:type="dxa" w:w="6192"/>
            <w:shd w:fill="FFFFFF"/>
          </w:tcPr>
          <w:p>
            <w:r>
              <w:rPr>
                <w:color w:val="2C3E50"/>
                <w:sz w:val="20"/>
              </w:rPr>
              <w:t>1.0 approved</w:t>
            </w:r>
          </w:p>
        </w:tc>
      </w:tr>
      <w:tr>
        <w:tc>
          <w:tcPr>
            <w:tcW w:type="dxa" w:w="3168"/>
            <w:shd w:fill="F4F6F9"/>
          </w:tcPr>
          <w:p>
            <w:r>
              <w:rPr>
                <w:b/>
                <w:color w:val="182B49"/>
                <w:sz w:val="20"/>
              </w:rPr>
              <w:t>Prepared By</w:t>
            </w:r>
          </w:p>
        </w:tc>
        <w:tc>
          <w:tcPr>
            <w:tcW w:type="dxa" w:w="6192"/>
            <w:shd w:fill="FFFFFF"/>
          </w:tcPr>
          <w:p>
            <w:r>
              <w:rPr>
                <w:color w:val="2C3E50"/>
                <w:sz w:val="20"/>
              </w:rPr>
              <w:t>Systems Engineering &amp; Architecture Team</w:t>
            </w:r>
          </w:p>
        </w:tc>
      </w:tr>
      <w:tr>
        <w:tc>
          <w:tcPr>
            <w:tcW w:type="dxa" w:w="3168"/>
            <w:shd w:fill="F4F6F9"/>
          </w:tcPr>
          <w:p>
            <w:r>
              <w:rPr>
                <w:b/>
                <w:color w:val="182B49"/>
                <w:sz w:val="20"/>
              </w:rPr>
              <w:t>Organization</w:t>
            </w:r>
          </w:p>
        </w:tc>
        <w:tc>
          <w:tcPr>
            <w:tcW w:type="dxa" w:w="6192"/>
            <w:shd w:fill="FFFFFF"/>
          </w:tcPr>
          <w:p>
            <w:r>
              <w:rPr>
                <w:color w:val="2C3E50"/>
                <w:sz w:val="20"/>
              </w:rPr>
              <w:t>Department of Consular Affairs / Passport Seva Authority</w:t>
            </w:r>
          </w:p>
        </w:tc>
      </w:tr>
      <w:tr>
        <w:tc>
          <w:tcPr>
            <w:tcW w:type="dxa" w:w="3168"/>
            <w:shd w:fill="F4F6F9"/>
          </w:tcPr>
          <w:p>
            <w:r>
              <w:rPr>
                <w:b/>
                <w:color w:val="182B49"/>
                <w:sz w:val="20"/>
              </w:rPr>
              <w:t>Date of Approval</w:t>
            </w:r>
          </w:p>
        </w:tc>
        <w:tc>
          <w:tcPr>
            <w:tcW w:type="dxa" w:w="6192"/>
            <w:shd w:fill="FFFFFF"/>
          </w:tcPr>
          <w:p>
            <w:r>
              <w:rPr>
                <w:color w:val="2C3E50"/>
                <w:sz w:val="20"/>
              </w:rPr>
              <w:t>August 29, 2026</w:t>
            </w:r>
          </w:p>
        </w:tc>
      </w:tr>
    </w:tbl>
    <w:p>
      <w:r>
        <w:br w:type="page"/>
      </w:r>
    </w:p>
    <w:p>
      <w:pPr>
        <w:keepNext/>
        <w:spacing w:before="320" w:after="120"/>
      </w:pPr>
      <w:r>
        <w:rPr>
          <w:rFonts w:ascii="Calibri" w:hAnsi="Calibri"/>
          <w:b/>
          <w:color w:val="182B49"/>
          <w:sz w:val="30"/>
        </w:rPr>
        <w:t>Revision History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160"/>
            <w:shd w:fill="182B49"/>
          </w:tcPr>
          <w:p>
            <w:r>
              <w:rPr>
                <w:b/>
                <w:color w:val="FFFFFF"/>
                <w:sz w:val="20"/>
              </w:rPr>
              <w:t>Name</w:t>
            </w:r>
          </w:p>
        </w:tc>
        <w:tc>
          <w:tcPr>
            <w:tcW w:type="dxa" w:w="1584"/>
            <w:shd w:fill="182B49"/>
          </w:tcPr>
          <w:p>
            <w:r>
              <w:rPr>
                <w:b/>
                <w:color w:val="FFFFFF"/>
                <w:sz w:val="20"/>
              </w:rPr>
              <w:t>Date</w:t>
            </w:r>
          </w:p>
        </w:tc>
        <w:tc>
          <w:tcPr>
            <w:tcW w:type="dxa" w:w="4176"/>
            <w:shd w:fill="182B49"/>
          </w:tcPr>
          <w:p>
            <w:r>
              <w:rPr>
                <w:b/>
                <w:color w:val="FFFFFF"/>
                <w:sz w:val="20"/>
              </w:rPr>
              <w:t>Reason For Changes</w:t>
            </w:r>
          </w:p>
        </w:tc>
        <w:tc>
          <w:tcPr>
            <w:tcW w:type="dxa" w:w="1440"/>
            <w:shd w:fill="182B49"/>
          </w:tcPr>
          <w:p>
            <w:r>
              <w:rPr>
                <w:b/>
                <w:color w:val="FFFFFF"/>
                <w:sz w:val="20"/>
              </w:rPr>
              <w:t>Version</w:t>
            </w:r>
          </w:p>
        </w:tc>
      </w:tr>
      <w:tr>
        <w:tc>
          <w:tcPr>
            <w:tcW w:type="dxa" w:w="2160"/>
            <w:shd w:fill="FFFFFF"/>
          </w:tcPr>
          <w:p>
            <w:r>
              <w:rPr>
                <w:sz w:val="19"/>
              </w:rPr>
              <w:t>Initial Engineering Draft</w:t>
            </w:r>
          </w:p>
        </w:tc>
        <w:tc>
          <w:tcPr>
            <w:tcW w:type="dxa" w:w="1584"/>
            <w:shd w:fill="FFFFFF"/>
          </w:tcPr>
          <w:p>
            <w:r>
              <w:rPr>
                <w:sz w:val="19"/>
              </w:rPr>
              <w:t>2026-08-10</w:t>
            </w:r>
          </w:p>
        </w:tc>
        <w:tc>
          <w:tcPr>
            <w:tcW w:type="dxa" w:w="4176"/>
            <w:shd w:fill="FFFFFF"/>
          </w:tcPr>
          <w:p>
            <w:r>
              <w:rPr>
                <w:sz w:val="19"/>
              </w:rPr>
              <w:t>Initial baseline draft based on stakeholder interviews</w:t>
            </w:r>
          </w:p>
        </w:tc>
        <w:tc>
          <w:tcPr>
            <w:tcW w:type="dxa" w:w="1440"/>
            <w:shd w:fill="FFFFFF"/>
          </w:tcPr>
          <w:p>
            <w:r>
              <w:rPr>
                <w:sz w:val="19"/>
              </w:rPr>
              <w:t>0.1</w:t>
            </w:r>
          </w:p>
        </w:tc>
      </w:tr>
      <w:tr>
        <w:tc>
          <w:tcPr>
            <w:tcW w:type="dxa" w:w="2160"/>
            <w:shd w:fill="F4F6F9"/>
          </w:tcPr>
          <w:p>
            <w:r>
              <w:rPr>
                <w:sz w:val="19"/>
              </w:rPr>
              <w:t>Review Board</w:t>
            </w:r>
          </w:p>
        </w:tc>
        <w:tc>
          <w:tcPr>
            <w:tcW w:type="dxa" w:w="1584"/>
            <w:shd w:fill="F4F6F9"/>
          </w:tcPr>
          <w:p>
            <w:r>
              <w:rPr>
                <w:sz w:val="19"/>
              </w:rPr>
              <w:t>2026-08-20</w:t>
            </w:r>
          </w:p>
        </w:tc>
        <w:tc>
          <w:tcPr>
            <w:tcW w:type="dxa" w:w="4176"/>
            <w:shd w:fill="F4F6F9"/>
          </w:tcPr>
          <w:p>
            <w:r>
              <w:rPr>
                <w:sz w:val="19"/>
              </w:rPr>
              <w:t>Incorporated payment gateway &amp; biometric specifications</w:t>
            </w:r>
          </w:p>
        </w:tc>
        <w:tc>
          <w:tcPr>
            <w:tcW w:type="dxa" w:w="1440"/>
            <w:shd w:fill="F4F6F9"/>
          </w:tcPr>
          <w:p>
            <w:r>
              <w:rPr>
                <w:sz w:val="19"/>
              </w:rPr>
              <w:t>0.9</w:t>
            </w:r>
          </w:p>
        </w:tc>
      </w:tr>
      <w:tr>
        <w:tc>
          <w:tcPr>
            <w:tcW w:type="dxa" w:w="2160"/>
            <w:shd w:fill="FFFFFF"/>
          </w:tcPr>
          <w:p>
            <w:r>
              <w:rPr>
                <w:sz w:val="19"/>
              </w:rPr>
              <w:t>Lead Architect</w:t>
            </w:r>
          </w:p>
        </w:tc>
        <w:tc>
          <w:tcPr>
            <w:tcW w:type="dxa" w:w="1584"/>
            <w:shd w:fill="FFFFFF"/>
          </w:tcPr>
          <w:p>
            <w:r>
              <w:rPr>
                <w:sz w:val="19"/>
              </w:rPr>
              <w:t>2026-08-29</w:t>
            </w:r>
          </w:p>
        </w:tc>
        <w:tc>
          <w:tcPr>
            <w:tcW w:type="dxa" w:w="4176"/>
            <w:shd w:fill="FFFFFF"/>
          </w:tcPr>
          <w:p>
            <w:r>
              <w:rPr>
                <w:sz w:val="19"/>
              </w:rPr>
              <w:t>Final review, quality checklist, and formal sign-off</w:t>
            </w:r>
          </w:p>
        </w:tc>
        <w:tc>
          <w:tcPr>
            <w:tcW w:type="dxa" w:w="1440"/>
            <w:shd w:fill="FFFFFF"/>
          </w:tcPr>
          <w:p>
            <w:r>
              <w:rPr>
                <w:sz w:val="19"/>
              </w:rPr>
              <w:t>1.0 approved</w:t>
            </w:r>
          </w:p>
        </w:tc>
      </w:tr>
    </w:tbl>
    <w:p>
      <w:pPr>
        <w:keepNext/>
        <w:spacing w:before="320" w:after="120"/>
      </w:pPr>
      <w:r>
        <w:rPr>
          <w:rFonts w:ascii="Calibri" w:hAnsi="Calibri"/>
          <w:b/>
          <w:color w:val="182B49"/>
          <w:sz w:val="30"/>
        </w:rPr>
        <w:t>1. Introduction</w:t>
      </w:r>
    </w:p>
    <w:p>
      <w:pPr>
        <w:keepNext/>
        <w:spacing w:before="240" w:after="80"/>
      </w:pPr>
      <w:r>
        <w:rPr>
          <w:rFonts w:ascii="Calibri" w:hAnsi="Calibri"/>
          <w:b/>
          <w:color w:val="2980B9"/>
          <w:sz w:val="25"/>
        </w:rPr>
        <w:t>1.1 Purpose</w:t>
      </w:r>
    </w:p>
    <w:p>
      <w:r>
        <w:t>This Software Requirements Specification (SRS) document details the complete functional and non-functional requirements for the Online Passport Appointment and Processing System (OPAPS), Release Version 1.0. It specifies the exact operational capabilities for citizen registration, application validation, biometric data capture interfaces, automated slot scheduling, secure multi-mode payment clearance, police verification workflows, and passport dispatch management.</w:t>
      </w:r>
    </w:p>
    <w:p>
      <w:pPr>
        <w:keepNext/>
        <w:spacing w:before="240" w:after="80"/>
      </w:pPr>
      <w:r>
        <w:rPr>
          <w:rFonts w:ascii="Calibri" w:hAnsi="Calibri"/>
          <w:b/>
          <w:color w:val="2980B9"/>
          <w:sz w:val="25"/>
        </w:rPr>
        <w:t>1.2 Document Conventions</w:t>
      </w:r>
    </w:p>
    <w:p>
      <w:r>
        <w:t>This document complies with the IEEE Std 830-1998 standard. The following typographic and identification conventions are observed:</w:t>
        <w:br/>
        <w:t>• Functional Requirements are uniquely tagged as REQ-&lt;Module&gt;-&lt;Number&gt;.</w:t>
        <w:br/>
        <w:t>• Priority components are categorized as High (essential for core release), Medium (necessary for full automation), or Low (deferred/optional enhancement).</w:t>
        <w:br/>
        <w:t>• UI labels, officer role titles, and operational states are highlighted in Bold.</w:t>
      </w:r>
    </w:p>
    <w:p>
      <w:pPr>
        <w:keepNext/>
        <w:spacing w:before="240" w:after="80"/>
      </w:pPr>
      <w:r>
        <w:rPr>
          <w:rFonts w:ascii="Calibri" w:hAnsi="Calibri"/>
          <w:b/>
          <w:color w:val="2980B9"/>
          <w:sz w:val="25"/>
        </w:rPr>
        <w:t>1.3 Intended Audience and Reading Suggestions</w:t>
      </w:r>
    </w:p>
    <w:p>
      <w:r>
        <w:t>This specification is intended for the following stakeholders:</w:t>
        <w:br/>
        <w:t>• Software Architects &amp; Developers: Focus on Sections 3 (External Interfaces), 4 (System Features), and Appendix B for architectural modeling and interface design.</w:t>
        <w:br/>
        <w:t>• QA Engineers &amp; Testers: Reference Section 4 and Section 5 to generate comprehensive acceptance and boundary test suites.</w:t>
        <w:br/>
        <w:t>• Consular Project Managers: Review Section 1.4, Section 2, and Section 5.5 for governance and delivery milestones.</w:t>
      </w:r>
    </w:p>
    <w:p>
      <w:pPr>
        <w:keepNext/>
        <w:spacing w:before="240" w:after="80"/>
      </w:pPr>
      <w:r>
        <w:rPr>
          <w:rFonts w:ascii="Calibri" w:hAnsi="Calibri"/>
          <w:b/>
          <w:color w:val="2980B9"/>
          <w:sz w:val="25"/>
        </w:rPr>
        <w:t>1.4 Product Scope</w:t>
      </w:r>
    </w:p>
    <w:p>
      <w:r>
        <w:t>The OPAPS is a modern, high-concurrency web and enterprise platform designed to replace legacy manual passport issuance queues with a digitized, transparent, and auditable process. The system orchestrates end-to-end interactions between citizens, Passport Seva Kendra (PSK) officers, police verification units, banking payment gateways, and national postal dispatch systems.</w:t>
      </w:r>
    </w:p>
    <w:p>
      <w:pPr>
        <w:keepNext/>
        <w:spacing w:before="240" w:after="80"/>
      </w:pPr>
      <w:r>
        <w:rPr>
          <w:rFonts w:ascii="Calibri" w:hAnsi="Calibri"/>
          <w:b/>
          <w:color w:val="2980B9"/>
          <w:sz w:val="25"/>
        </w:rPr>
        <w:t>1.5 References</w:t>
      </w:r>
    </w:p>
    <w:p>
      <w:r>
        <w:t>1. IEEE Std 830-1998: IEEE Recommended Practice for Software Requirements Specifications.</w:t>
        <w:br/>
        <w:t>2. ISO/IEC 27001: Information Security Management Systems Specifications.</w:t>
        <w:br/>
        <w:t>3. National e-Governance Standards for Biometric and Citizen Data Protection.</w:t>
        <w:br/>
        <w:t>4. ICAO Document 9303: Machine Readable Travel Documents (MRTD).</w:t>
      </w:r>
    </w:p>
    <w:p>
      <w:pPr>
        <w:keepNext/>
        <w:spacing w:before="320" w:after="120"/>
      </w:pPr>
      <w:r>
        <w:rPr>
          <w:rFonts w:ascii="Calibri" w:hAnsi="Calibri"/>
          <w:b/>
          <w:color w:val="182B49"/>
          <w:sz w:val="30"/>
        </w:rPr>
        <w:t>2. Overall Description</w:t>
      </w:r>
    </w:p>
    <w:p>
      <w:pPr>
        <w:keepNext/>
        <w:spacing w:before="240" w:after="80"/>
      </w:pPr>
      <w:r>
        <w:rPr>
          <w:rFonts w:ascii="Calibri" w:hAnsi="Calibri"/>
          <w:b/>
          <w:color w:val="2980B9"/>
          <w:sz w:val="25"/>
        </w:rPr>
        <w:t>2.1 Product Perspective</w:t>
      </w:r>
    </w:p>
    <w:p>
      <w:r>
        <w:t>OPAPS is a self-contained, centralized enterprise system operating across national regional passport offices (RPOs) and Passport Seva Kendras (PSKs). It interfaces externally with national citizen identity databases, central police portals, authorized payment gateways, and the national postal network.</w:t>
      </w:r>
    </w:p>
    <w:p>
      <w:pPr>
        <w:keepNext/>
        <w:spacing w:before="240" w:after="80"/>
      </w:pPr>
      <w:r>
        <w:rPr>
          <w:rFonts w:ascii="Calibri" w:hAnsi="Calibri"/>
          <w:b/>
          <w:color w:val="2980B9"/>
          <w:sz w:val="25"/>
        </w:rPr>
        <w:t>2.2 Product Functions</w:t>
      </w:r>
    </w:p>
    <w:p>
      <w:r>
        <w:t>The core functional capabilities of the OPAPS platform include:</w:t>
        <w:br/>
        <w:t>• Citizen Profile &amp; KYC Registration: Verification via national ID and multi-factor authentication.</w:t>
        <w:br/>
        <w:t>• Smart Application Filing: Dynamic multi-step wizard supporting Fresh, Re-issue, Tatkaal (urgent), and Diplomatic categories.</w:t>
        <w:br/>
        <w:t>• Real-time Appointment Engine: Center capacity quota management, slot reservation, lock periods, and rescheduling.</w:t>
        <w:br/>
        <w:t>• Integrated Payment Gateway: Real-time electronic payment reconciliation, receipt generation, and refunds.</w:t>
        <w:br/>
        <w:t>• PSK Workstation Terminal: Biometric capture (fingerprints, iris, photo), document scrutiny, and Granting Officer digital signing.</w:t>
        <w:br/>
        <w:t>• Police Verification Integration: Automated electronic dossier dispatch and field report tracking.</w:t>
        <w:br/>
        <w:t>• Lifecycle Dispatch &amp; Delivery Tracking: Barcode generation and API sync with postal logistics.</w:t>
      </w:r>
    </w:p>
    <w:p>
      <w:pPr>
        <w:keepNext/>
        <w:spacing w:before="240" w:after="80"/>
      </w:pPr>
      <w:r>
        <w:rPr>
          <w:rFonts w:ascii="Calibri" w:hAnsi="Calibri"/>
          <w:b/>
          <w:color w:val="2980B9"/>
          <w:sz w:val="25"/>
        </w:rPr>
        <w:t>2.3 User Classes and Characteristics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160"/>
            <w:shd w:fill="182B49"/>
          </w:tcPr>
          <w:p>
            <w:r>
              <w:rPr>
                <w:b/>
                <w:color w:val="FFFFFF"/>
                <w:sz w:val="20"/>
              </w:rPr>
              <w:t>User Class</w:t>
            </w:r>
          </w:p>
        </w:tc>
        <w:tc>
          <w:tcPr>
            <w:tcW w:type="dxa" w:w="1728"/>
            <w:shd w:fill="182B49"/>
          </w:tcPr>
          <w:p>
            <w:r>
              <w:rPr>
                <w:b/>
                <w:color w:val="FFFFFF"/>
                <w:sz w:val="20"/>
              </w:rPr>
              <w:t>Technical Skill</w:t>
            </w:r>
          </w:p>
        </w:tc>
        <w:tc>
          <w:tcPr>
            <w:tcW w:type="dxa" w:w="3312"/>
            <w:shd w:fill="182B49"/>
          </w:tcPr>
          <w:p>
            <w:r>
              <w:rPr>
                <w:b/>
                <w:color w:val="FFFFFF"/>
                <w:sz w:val="20"/>
              </w:rPr>
              <w:t>System Privileges</w:t>
            </w:r>
          </w:p>
        </w:tc>
        <w:tc>
          <w:tcPr>
            <w:tcW w:type="dxa" w:w="2160"/>
            <w:shd w:fill="182B49"/>
          </w:tcPr>
          <w:p>
            <w:r>
              <w:rPr>
                <w:b/>
                <w:color w:val="FFFFFF"/>
                <w:sz w:val="20"/>
              </w:rPr>
              <w:t>Usage Pattern</w:t>
            </w:r>
          </w:p>
        </w:tc>
      </w:tr>
      <w:tr>
        <w:tc>
          <w:tcPr>
            <w:tcW w:type="dxa" w:w="2160"/>
            <w:shd w:fill="FFFFFF"/>
          </w:tcPr>
          <w:p>
            <w:r>
              <w:rPr>
                <w:sz w:val="19"/>
              </w:rPr>
              <w:t>Applicant (Citizen)</w:t>
            </w:r>
          </w:p>
        </w:tc>
        <w:tc>
          <w:tcPr>
            <w:tcW w:type="dxa" w:w="1728"/>
            <w:shd w:fill="FFFFFF"/>
          </w:tcPr>
          <w:p>
            <w:r>
              <w:rPr>
                <w:sz w:val="19"/>
              </w:rPr>
              <w:t>Low / General</w:t>
            </w:r>
          </w:p>
        </w:tc>
        <w:tc>
          <w:tcPr>
            <w:tcW w:type="dxa" w:w="3312"/>
            <w:shd w:fill="FFFFFF"/>
          </w:tcPr>
          <w:p>
            <w:r>
              <w:rPr>
                <w:sz w:val="19"/>
              </w:rPr>
              <w:t>Submit applications, pay fees, book slots, track status</w:t>
            </w:r>
          </w:p>
        </w:tc>
        <w:tc>
          <w:tcPr>
            <w:tcW w:type="dxa" w:w="2160"/>
            <w:shd w:fill="FFFFFF"/>
          </w:tcPr>
          <w:p>
            <w:r>
              <w:rPr>
                <w:sz w:val="19"/>
              </w:rPr>
              <w:t>Occasional</w:t>
            </w:r>
          </w:p>
        </w:tc>
      </w:tr>
      <w:tr>
        <w:tc>
          <w:tcPr>
            <w:tcW w:type="dxa" w:w="2160"/>
            <w:shd w:fill="F4F6F9"/>
          </w:tcPr>
          <w:p>
            <w:r>
              <w:rPr>
                <w:sz w:val="19"/>
              </w:rPr>
              <w:t>Verification Officer (VO)</w:t>
            </w:r>
          </w:p>
        </w:tc>
        <w:tc>
          <w:tcPr>
            <w:tcW w:type="dxa" w:w="1728"/>
            <w:shd w:fill="F4F6F9"/>
          </w:tcPr>
          <w:p>
            <w:r>
              <w:rPr>
                <w:sz w:val="19"/>
              </w:rPr>
              <w:t>Moderate</w:t>
            </w:r>
          </w:p>
        </w:tc>
        <w:tc>
          <w:tcPr>
            <w:tcW w:type="dxa" w:w="3312"/>
            <w:shd w:fill="F4F6F9"/>
          </w:tcPr>
          <w:p>
            <w:r>
              <w:rPr>
                <w:sz w:val="19"/>
              </w:rPr>
              <w:t>Examine original documents, approve/reject file checklist</w:t>
            </w:r>
          </w:p>
        </w:tc>
        <w:tc>
          <w:tcPr>
            <w:tcW w:type="dxa" w:w="2160"/>
            <w:shd w:fill="F4F6F9"/>
          </w:tcPr>
          <w:p>
            <w:r>
              <w:rPr>
                <w:sz w:val="19"/>
              </w:rPr>
              <w:t>Daily (Continuous)</w:t>
            </w:r>
          </w:p>
        </w:tc>
      </w:tr>
      <w:tr>
        <w:tc>
          <w:tcPr>
            <w:tcW w:type="dxa" w:w="2160"/>
            <w:shd w:fill="FFFFFF"/>
          </w:tcPr>
          <w:p>
            <w:r>
              <w:rPr>
                <w:sz w:val="19"/>
              </w:rPr>
              <w:t>Granting Officer (GO)</w:t>
            </w:r>
          </w:p>
        </w:tc>
        <w:tc>
          <w:tcPr>
            <w:tcW w:type="dxa" w:w="1728"/>
            <w:shd w:fill="FFFFFF"/>
          </w:tcPr>
          <w:p>
            <w:r>
              <w:rPr>
                <w:sz w:val="19"/>
              </w:rPr>
              <w:t>High</w:t>
            </w:r>
          </w:p>
        </w:tc>
        <w:tc>
          <w:tcPr>
            <w:tcW w:type="dxa" w:w="3312"/>
            <w:shd w:fill="FFFFFF"/>
          </w:tcPr>
          <w:p>
            <w:r>
              <w:rPr>
                <w:sz w:val="19"/>
              </w:rPr>
              <w:t>Final executive grant/deny authorization with digital certificate</w:t>
            </w:r>
          </w:p>
        </w:tc>
        <w:tc>
          <w:tcPr>
            <w:tcW w:type="dxa" w:w="2160"/>
            <w:shd w:fill="FFFFFF"/>
          </w:tcPr>
          <w:p>
            <w:r>
              <w:rPr>
                <w:sz w:val="19"/>
              </w:rPr>
              <w:t>Daily (Continuous)</w:t>
            </w:r>
          </w:p>
        </w:tc>
      </w:tr>
      <w:tr>
        <w:tc>
          <w:tcPr>
            <w:tcW w:type="dxa" w:w="2160"/>
            <w:shd w:fill="F4F6F9"/>
          </w:tcPr>
          <w:p>
            <w:r>
              <w:rPr>
                <w:sz w:val="19"/>
              </w:rPr>
              <w:t>Police Officer</w:t>
            </w:r>
          </w:p>
        </w:tc>
        <w:tc>
          <w:tcPr>
            <w:tcW w:type="dxa" w:w="1728"/>
            <w:shd w:fill="F4F6F9"/>
          </w:tcPr>
          <w:p>
            <w:r>
              <w:rPr>
                <w:sz w:val="19"/>
              </w:rPr>
              <w:t>Moderate</w:t>
            </w:r>
          </w:p>
        </w:tc>
        <w:tc>
          <w:tcPr>
            <w:tcW w:type="dxa" w:w="3312"/>
            <w:shd w:fill="F4F6F9"/>
          </w:tcPr>
          <w:p>
            <w:r>
              <w:rPr>
                <w:sz w:val="19"/>
              </w:rPr>
              <w:t>Access assigned field files, record verification reports</w:t>
            </w:r>
          </w:p>
        </w:tc>
        <w:tc>
          <w:tcPr>
            <w:tcW w:type="dxa" w:w="2160"/>
            <w:shd w:fill="F4F6F9"/>
          </w:tcPr>
          <w:p>
            <w:r>
              <w:rPr>
                <w:sz w:val="19"/>
              </w:rPr>
              <w:t>Daily</w:t>
            </w:r>
          </w:p>
        </w:tc>
      </w:tr>
      <w:tr>
        <w:tc>
          <w:tcPr>
            <w:tcW w:type="dxa" w:w="2160"/>
            <w:shd w:fill="FFFFFF"/>
          </w:tcPr>
          <w:p>
            <w:r>
              <w:rPr>
                <w:sz w:val="19"/>
              </w:rPr>
              <w:t>System Administrator</w:t>
            </w:r>
          </w:p>
        </w:tc>
        <w:tc>
          <w:tcPr>
            <w:tcW w:type="dxa" w:w="1728"/>
            <w:shd w:fill="FFFFFF"/>
          </w:tcPr>
          <w:p>
            <w:r>
              <w:rPr>
                <w:sz w:val="19"/>
              </w:rPr>
              <w:t>High (Expert)</w:t>
            </w:r>
          </w:p>
        </w:tc>
        <w:tc>
          <w:tcPr>
            <w:tcW w:type="dxa" w:w="3312"/>
            <w:shd w:fill="FFFFFF"/>
          </w:tcPr>
          <w:p>
            <w:r>
              <w:rPr>
                <w:sz w:val="19"/>
              </w:rPr>
              <w:t>Manage user roles, center capacities, slot quotas, audit logs</w:t>
            </w:r>
          </w:p>
        </w:tc>
        <w:tc>
          <w:tcPr>
            <w:tcW w:type="dxa" w:w="2160"/>
            <w:shd w:fill="FFFFFF"/>
          </w:tcPr>
          <w:p>
            <w:r>
              <w:rPr>
                <w:sz w:val="19"/>
              </w:rPr>
              <w:t>As Needed / Ongoing</w:t>
            </w:r>
          </w:p>
        </w:tc>
      </w:tr>
    </w:tbl>
    <w:p>
      <w:pPr>
        <w:keepNext/>
        <w:spacing w:before="240" w:after="80"/>
      </w:pPr>
      <w:r>
        <w:rPr>
          <w:rFonts w:ascii="Calibri" w:hAnsi="Calibri"/>
          <w:b/>
          <w:color w:val="2980B9"/>
          <w:sz w:val="25"/>
        </w:rPr>
        <w:t>2.4 Operating Environment</w:t>
      </w:r>
    </w:p>
    <w:p>
      <w:r>
        <w:t>• Web Server &amp; Microservices: Containerized Linux deployment (Docker / Kubernetes on RHEL 9.x / Ubuntu 22.04 LTS).</w:t>
        <w:br/>
        <w:t>• Database Cluster: Active-Passive Relational DB (PostgreSQL 15+ / Oracle 19c Enterprise) with automated failover.</w:t>
        <w:br/>
        <w:t>• Client Browsers: Standards-compliant modern web browsers (Chrome 110+, Firefox 110+, Edge 110+, Safari 16+).</w:t>
        <w:br/>
        <w:t>• PSK On-Premise Workstations: Core i5/i7 hardware, 16 GB RAM, STQC-certified biometric USB peripherals, high-speed scanners.</w:t>
      </w:r>
    </w:p>
    <w:p>
      <w:pPr>
        <w:keepNext/>
        <w:spacing w:before="240" w:after="80"/>
      </w:pPr>
      <w:r>
        <w:rPr>
          <w:rFonts w:ascii="Calibri" w:hAnsi="Calibri"/>
          <w:b/>
          <w:color w:val="2980B9"/>
          <w:sz w:val="25"/>
        </w:rPr>
        <w:t>2.5 Design and Implementation Constraints</w:t>
      </w:r>
    </w:p>
    <w:p>
      <w:r>
        <w:t>• Security &amp; Compliance: Compliance with ISO/IEC 27001, OWASP Top 10, and national citizen data privacy laws.</w:t>
        <w:br/>
        <w:t>• Network Bandwidth: PSK terminals must operate smoothly on constrained intranet links (minimum 2 Mbps per active counter).</w:t>
        <w:br/>
        <w:t>• Data Formats: All external biometric streams must conform to ICAO Doc 9303 / ANSI/NIST-ITL standards.</w:t>
      </w:r>
    </w:p>
    <w:p>
      <w:pPr>
        <w:keepNext/>
        <w:spacing w:before="240" w:after="80"/>
      </w:pPr>
      <w:r>
        <w:rPr>
          <w:rFonts w:ascii="Calibri" w:hAnsi="Calibri"/>
          <w:b/>
          <w:color w:val="2980B9"/>
          <w:sz w:val="25"/>
        </w:rPr>
        <w:t>2.6 User Documentation</w:t>
      </w:r>
    </w:p>
    <w:p>
      <w:r>
        <w:t>The delivery package shall include an interactive online Citizen Portal User Guide, video walkthrough tutorials for appointment booking, a Standard Operating Procedure (SOP) manual for PSK officers, and a comprehensive System Administration &amp; Runbook.</w:t>
      </w:r>
    </w:p>
    <w:p>
      <w:pPr>
        <w:keepNext/>
        <w:spacing w:before="240" w:after="80"/>
      </w:pPr>
      <w:r>
        <w:rPr>
          <w:rFonts w:ascii="Calibri" w:hAnsi="Calibri"/>
          <w:b/>
          <w:color w:val="2980B9"/>
          <w:sz w:val="25"/>
        </w:rPr>
        <w:t>2.7 Assumptions and Dependencies</w:t>
      </w:r>
    </w:p>
    <w:p>
      <w:r>
        <w:t>• Third-Party APIs: External payment gateways, National ID verification services, and SMS providers maintain &gt;= 99.9% service uptime.</w:t>
        <w:br/>
        <w:t>• Local Station Connectivity: Local police verification cells are equipped with authenticated web terminals for status submission.</w:t>
      </w:r>
    </w:p>
    <w:p>
      <w:pPr>
        <w:keepNext/>
        <w:spacing w:before="320" w:after="120"/>
      </w:pPr>
      <w:r>
        <w:rPr>
          <w:rFonts w:ascii="Calibri" w:hAnsi="Calibri"/>
          <w:b/>
          <w:color w:val="182B49"/>
          <w:sz w:val="30"/>
        </w:rPr>
        <w:t>3. External Interface Requirements</w:t>
      </w:r>
    </w:p>
    <w:p>
      <w:pPr>
        <w:keepNext/>
        <w:spacing w:before="240" w:after="80"/>
      </w:pPr>
      <w:r>
        <w:rPr>
          <w:rFonts w:ascii="Calibri" w:hAnsi="Calibri"/>
          <w:b/>
          <w:color w:val="2980B9"/>
          <w:sz w:val="25"/>
        </w:rPr>
        <w:t>3.1 User Interfaces</w:t>
      </w:r>
    </w:p>
    <w:p>
      <w:r>
        <w:t>• Citizen Interface: Clean, responsive, multi-language interface conforming to WCAG 2.1 Level AA accessibility criteria.</w:t>
        <w:br/>
        <w:t>• Counter Officer Interface: Keyboard-shortcut enabled, high-speed verification screen designed for sub-3-minute applicant processing.</w:t>
        <w:br/>
        <w:t>• Administrative Console: Interactive dashboard providing visual representations of center-wise slot occupancy, queue delays, and payment summaries.</w:t>
      </w:r>
    </w:p>
    <w:p>
      <w:pPr>
        <w:keepNext/>
        <w:spacing w:before="240" w:after="80"/>
      </w:pPr>
      <w:r>
        <w:rPr>
          <w:rFonts w:ascii="Calibri" w:hAnsi="Calibri"/>
          <w:b/>
          <w:color w:val="2980B9"/>
          <w:sz w:val="25"/>
        </w:rPr>
        <w:t>3.2 Hardware Interfaces</w:t>
      </w:r>
    </w:p>
    <w:p>
      <w:r>
        <w:t>• Biometric Devices: Direct integration with FBI/STQC-certified 10-finger optical fingerprint scanners and dual-iris capture devices.</w:t>
        <w:br/>
        <w:t>• Camera Systems: USB/Twain interface for automated facial recognition portrait capture meeting ICAO standards.</w:t>
        <w:br/>
        <w:t>• Scanners &amp; Barcode Readers: High-speed flatbed/ADF document scanners and 2D QR/Barcode handheld readers.</w:t>
      </w:r>
    </w:p>
    <w:p>
      <w:pPr>
        <w:keepNext/>
        <w:spacing w:before="240" w:after="80"/>
      </w:pPr>
      <w:r>
        <w:rPr>
          <w:rFonts w:ascii="Calibri" w:hAnsi="Calibri"/>
          <w:b/>
          <w:color w:val="2980B9"/>
          <w:sz w:val="25"/>
        </w:rPr>
        <w:t>3.3 Software Interfaces</w:t>
      </w:r>
    </w:p>
    <w:p>
      <w:r>
        <w:t>• National Identity Service: JSON REST APIs over Mutual TLS (mTLS) for instant identity verification.</w:t>
        <w:br/>
        <w:t>• Payment Gateway Aggregators: Webhook-enabled interfaces supporting ISO 8583 and PCI-DSS compliance.</w:t>
        <w:br/>
        <w:t>• Postal Dispatch Logistics API: Real-time dispatch booking, airway bill (AWB) generation, and webhook tracking.</w:t>
      </w:r>
    </w:p>
    <w:p>
      <w:pPr>
        <w:keepNext/>
        <w:spacing w:before="240" w:after="80"/>
      </w:pPr>
      <w:r>
        <w:rPr>
          <w:rFonts w:ascii="Calibri" w:hAnsi="Calibri"/>
          <w:b/>
          <w:color w:val="2980B9"/>
          <w:sz w:val="25"/>
        </w:rPr>
        <w:t>3.4 Communications Interfaces</w:t>
      </w:r>
    </w:p>
    <w:p>
      <w:r>
        <w:t>• Transport Protocol: Strict HTTPS with TLS 1.3 encryption for all external communication.</w:t>
        <w:br/>
        <w:t>• Messaging Infrastructure: SMPP protocol connectivity with National SMS Gateways and SMTP relays with SPF/DKIM validation.</w:t>
      </w:r>
    </w:p>
    <w:p>
      <w:pPr>
        <w:keepNext/>
        <w:spacing w:before="320" w:after="120"/>
      </w:pPr>
      <w:r>
        <w:rPr>
          <w:rFonts w:ascii="Calibri" w:hAnsi="Calibri"/>
          <w:b/>
          <w:color w:val="182B49"/>
          <w:sz w:val="30"/>
        </w:rPr>
        <w:t>4. System Features (Functional Requirements)</w:t>
      </w:r>
    </w:p>
    <w:p>
      <w:pPr>
        <w:keepNext/>
        <w:spacing w:before="240" w:after="80"/>
      </w:pPr>
      <w:r>
        <w:rPr>
          <w:rFonts w:ascii="Calibri" w:hAnsi="Calibri"/>
          <w:b/>
          <w:color w:val="2980B9"/>
          <w:sz w:val="25"/>
        </w:rPr>
        <w:t>4.1 User Registration and Identity Verification</w:t>
      </w:r>
    </w:p>
    <w:p>
      <w:r>
        <w:t>Short Description: Facilitates secure citizen account creation, profile management, and multi-factor authentication. Priority: High</w:t>
      </w:r>
    </w:p>
    <w:p>
      <w:r>
        <w:t>Stimulus / Response Sequence:</w:t>
        <w:br/>
        <w:t>1. Citizen enters mobile number, email, and basic identity details.</w:t>
        <w:br/>
        <w:t>2. System dispatches a cryptographically secure 6-digit OTP.</w:t>
        <w:br/>
        <w:t>3. Citizen enters OTP within 5 minutes; system validates and activates the citizen profile.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182B49"/>
          </w:tcPr>
          <w:p>
            <w:r>
              <w:rPr>
                <w:b/>
                <w:color w:val="FFFFFF"/>
                <w:sz w:val="19"/>
              </w:rPr>
              <w:t>Req ID</w:t>
            </w:r>
          </w:p>
        </w:tc>
        <w:tc>
          <w:tcPr>
            <w:tcW w:type="dxa" w:w="5760"/>
            <w:shd w:fill="182B49"/>
          </w:tcPr>
          <w:p>
            <w:r>
              <w:rPr>
                <w:b/>
                <w:color w:val="FFFFFF"/>
                <w:sz w:val="19"/>
              </w:rPr>
              <w:t>Requirement Description</w:t>
            </w:r>
          </w:p>
        </w:tc>
        <w:tc>
          <w:tcPr>
            <w:tcW w:type="dxa" w:w="1440"/>
            <w:shd w:fill="182B49"/>
          </w:tcPr>
          <w:p>
            <w:r>
              <w:rPr>
                <w:b/>
                <w:color w:val="FFFFFF"/>
                <w:sz w:val="19"/>
              </w:rPr>
              <w:t>Priority</w:t>
            </w:r>
          </w:p>
        </w:tc>
      </w:tr>
      <w:tr>
        <w:tc>
          <w:tcPr>
            <w:tcW w:type="dxa" w:w="2160"/>
            <w:shd w:fill="FFFFFF"/>
          </w:tcPr>
          <w:p>
            <w:r>
              <w:rPr>
                <w:sz w:val="18"/>
              </w:rPr>
              <w:t>REQ-REG-1</w:t>
            </w:r>
          </w:p>
        </w:tc>
        <w:tc>
          <w:tcPr>
            <w:tcW w:type="dxa" w:w="5760"/>
            <w:shd w:fill="FFFFFF"/>
          </w:tcPr>
          <w:p>
            <w:r>
              <w:rPr>
                <w:sz w:val="18"/>
              </w:rPr>
              <w:t>Enforce unique registration using verified email ID and mobile number.</w:t>
            </w:r>
          </w:p>
        </w:tc>
        <w:tc>
          <w:tcPr>
            <w:tcW w:type="dxa" w:w="1440"/>
            <w:shd w:fill="FFFFFF"/>
          </w:tcPr>
          <w:p>
            <w:r>
              <w:rPr>
                <w:sz w:val="18"/>
              </w:rPr>
              <w:t>High</w:t>
            </w:r>
          </w:p>
        </w:tc>
      </w:tr>
      <w:tr>
        <w:tc>
          <w:tcPr>
            <w:tcW w:type="dxa" w:w="2160"/>
            <w:shd w:fill="F4F6F9"/>
          </w:tcPr>
          <w:p>
            <w:r>
              <w:rPr>
                <w:sz w:val="18"/>
              </w:rPr>
              <w:t>REQ-REG-2</w:t>
            </w:r>
          </w:p>
        </w:tc>
        <w:tc>
          <w:tcPr>
            <w:tcW w:type="dxa" w:w="5760"/>
            <w:shd w:fill="F4F6F9"/>
          </w:tcPr>
          <w:p>
            <w:r>
              <w:rPr>
                <w:sz w:val="18"/>
              </w:rPr>
              <w:t>Implement Two-Factor Authentication (2FA) via SMS/Email OTP for all citizen logins.</w:t>
            </w:r>
          </w:p>
        </w:tc>
        <w:tc>
          <w:tcPr>
            <w:tcW w:type="dxa" w:w="1440"/>
            <w:shd w:fill="F4F6F9"/>
          </w:tcPr>
          <w:p>
            <w:r>
              <w:rPr>
                <w:sz w:val="18"/>
              </w:rPr>
              <w:t>High</w:t>
            </w:r>
          </w:p>
        </w:tc>
      </w:tr>
      <w:tr>
        <w:tc>
          <w:tcPr>
            <w:tcW w:type="dxa" w:w="2160"/>
            <w:shd w:fill="FFFFFF"/>
          </w:tcPr>
          <w:p>
            <w:r>
              <w:rPr>
                <w:sz w:val="18"/>
              </w:rPr>
              <w:t>REQ-REG-3</w:t>
            </w:r>
          </w:p>
        </w:tc>
        <w:tc>
          <w:tcPr>
            <w:tcW w:type="dxa" w:w="5760"/>
            <w:shd w:fill="FFFFFF"/>
          </w:tcPr>
          <w:p>
            <w:r>
              <w:rPr>
                <w:sz w:val="18"/>
              </w:rPr>
              <w:t>Enforce temporary account lock (30 minutes) after 5 consecutive failed login attempts.</w:t>
            </w:r>
          </w:p>
        </w:tc>
        <w:tc>
          <w:tcPr>
            <w:tcW w:type="dxa" w:w="1440"/>
            <w:shd w:fill="FFFFFF"/>
          </w:tcPr>
          <w:p>
            <w:r>
              <w:rPr>
                <w:sz w:val="18"/>
              </w:rPr>
              <w:t>Medium</w:t>
            </w:r>
          </w:p>
        </w:tc>
      </w:tr>
    </w:tbl>
    <w:p>
      <w:pPr>
        <w:keepNext/>
        <w:spacing w:before="240" w:after="80"/>
      </w:pPr>
      <w:r>
        <w:rPr>
          <w:rFonts w:ascii="Calibri" w:hAnsi="Calibri"/>
          <w:b/>
          <w:color w:val="2980B9"/>
          <w:sz w:val="25"/>
        </w:rPr>
        <w:t>4.2 Application Submission and Document Upload</w:t>
      </w:r>
    </w:p>
    <w:p>
      <w:r>
        <w:t>Short Description: Dynamic wizard for entering passport details (Fresh/Reissue/Tatkaal) and uploading supporting documents. Priority: High</w:t>
      </w:r>
    </w:p>
    <w:p>
      <w:r>
        <w:t>Stimulus / Response Sequence:</w:t>
        <w:br/>
        <w:t>1. Citizen completes application fields and uploads digital scans of identity/address proofs.</w:t>
        <w:br/>
        <w:t>2. System performs client/server-side validation and file integrity scans.</w:t>
        <w:br/>
        <w:t>3. System generates a unique 15-character Application Reference Number (ARN).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182B49"/>
          </w:tcPr>
          <w:p>
            <w:r>
              <w:rPr>
                <w:b/>
                <w:color w:val="FFFFFF"/>
                <w:sz w:val="19"/>
              </w:rPr>
              <w:t>Req ID</w:t>
            </w:r>
          </w:p>
        </w:tc>
        <w:tc>
          <w:tcPr>
            <w:tcW w:type="dxa" w:w="5760"/>
            <w:shd w:fill="182B49"/>
          </w:tcPr>
          <w:p>
            <w:r>
              <w:rPr>
                <w:b/>
                <w:color w:val="FFFFFF"/>
                <w:sz w:val="19"/>
              </w:rPr>
              <w:t>Requirement Description</w:t>
            </w:r>
          </w:p>
        </w:tc>
        <w:tc>
          <w:tcPr>
            <w:tcW w:type="dxa" w:w="1440"/>
            <w:shd w:fill="182B49"/>
          </w:tcPr>
          <w:p>
            <w:r>
              <w:rPr>
                <w:b/>
                <w:color w:val="FFFFFF"/>
                <w:sz w:val="19"/>
              </w:rPr>
              <w:t>Priority</w:t>
            </w:r>
          </w:p>
        </w:tc>
      </w:tr>
      <w:tr>
        <w:tc>
          <w:tcPr>
            <w:tcW w:type="dxa" w:w="2160"/>
            <w:shd w:fill="FFFFFF"/>
          </w:tcPr>
          <w:p>
            <w:r>
              <w:rPr>
                <w:sz w:val="18"/>
              </w:rPr>
              <w:t>REQ-APP-1</w:t>
            </w:r>
          </w:p>
        </w:tc>
        <w:tc>
          <w:tcPr>
            <w:tcW w:type="dxa" w:w="5760"/>
            <w:shd w:fill="FFFFFF"/>
          </w:tcPr>
          <w:p>
            <w:r>
              <w:rPr>
                <w:sz w:val="18"/>
              </w:rPr>
              <w:t>Dynamically render application fields based on application category (Fresh vs Renewal vs Tatkaal).</w:t>
            </w:r>
          </w:p>
        </w:tc>
        <w:tc>
          <w:tcPr>
            <w:tcW w:type="dxa" w:w="1440"/>
            <w:shd w:fill="FFFFFF"/>
          </w:tcPr>
          <w:p>
            <w:r>
              <w:rPr>
                <w:sz w:val="18"/>
              </w:rPr>
              <w:t>High</w:t>
            </w:r>
          </w:p>
        </w:tc>
      </w:tr>
      <w:tr>
        <w:tc>
          <w:tcPr>
            <w:tcW w:type="dxa" w:w="2160"/>
            <w:shd w:fill="F4F6F9"/>
          </w:tcPr>
          <w:p>
            <w:r>
              <w:rPr>
                <w:sz w:val="18"/>
              </w:rPr>
              <w:t>REQ-APP-2</w:t>
            </w:r>
          </w:p>
        </w:tc>
        <w:tc>
          <w:tcPr>
            <w:tcW w:type="dxa" w:w="5760"/>
            <w:shd w:fill="F4F6F9"/>
          </w:tcPr>
          <w:p>
            <w:r>
              <w:rPr>
                <w:sz w:val="18"/>
              </w:rPr>
              <w:t>Generate a cryptographically unique 15-character Application Reference Number (ARN) upon submission.</w:t>
            </w:r>
          </w:p>
        </w:tc>
        <w:tc>
          <w:tcPr>
            <w:tcW w:type="dxa" w:w="1440"/>
            <w:shd w:fill="F4F6F9"/>
          </w:tcPr>
          <w:p>
            <w:r>
              <w:rPr>
                <w:sz w:val="18"/>
              </w:rPr>
              <w:t>High</w:t>
            </w:r>
          </w:p>
        </w:tc>
      </w:tr>
      <w:tr>
        <w:tc>
          <w:tcPr>
            <w:tcW w:type="dxa" w:w="2160"/>
            <w:shd w:fill="FFFFFF"/>
          </w:tcPr>
          <w:p>
            <w:r>
              <w:rPr>
                <w:sz w:val="18"/>
              </w:rPr>
              <w:t>REQ-APP-3</w:t>
            </w:r>
          </w:p>
        </w:tc>
        <w:tc>
          <w:tcPr>
            <w:tcW w:type="dxa" w:w="5760"/>
            <w:shd w:fill="FFFFFF"/>
          </w:tcPr>
          <w:p>
            <w:r>
              <w:rPr>
                <w:sz w:val="18"/>
              </w:rPr>
              <w:t>Enforce strict document upload validation (PDF/JPEG, 100KB to 2MB) and execute anti-virus scanning.</w:t>
            </w:r>
          </w:p>
        </w:tc>
        <w:tc>
          <w:tcPr>
            <w:tcW w:type="dxa" w:w="1440"/>
            <w:shd w:fill="FFFFFF"/>
          </w:tcPr>
          <w:p>
            <w:r>
              <w:rPr>
                <w:sz w:val="18"/>
              </w:rPr>
              <w:t>High</w:t>
            </w:r>
          </w:p>
        </w:tc>
      </w:tr>
    </w:tbl>
    <w:p>
      <w:pPr>
        <w:keepNext/>
        <w:spacing w:before="240" w:after="80"/>
      </w:pPr>
      <w:r>
        <w:rPr>
          <w:rFonts w:ascii="Calibri" w:hAnsi="Calibri"/>
          <w:b/>
          <w:color w:val="2980B9"/>
          <w:sz w:val="25"/>
        </w:rPr>
        <w:t>4.3 Appointment Scheduling and Slot Management</w:t>
      </w:r>
    </w:p>
    <w:p>
      <w:r>
        <w:t>Short Description: Enables applicants to view real-time center availability, reserve interview slots, and reschedule. Priority: High</w:t>
      </w:r>
    </w:p>
    <w:p>
      <w:r>
        <w:t>Stimulus / Response Sequence:</w:t>
        <w:br/>
        <w:t>1. Citizen selects target PSK and requests available dates.</w:t>
        <w:br/>
        <w:t>2. System displays open appointment slots; citizen selects a preferred time slot.</w:t>
        <w:br/>
        <w:t>3. System locks the slot for 10 minutes pending fee payment.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182B49"/>
          </w:tcPr>
          <w:p>
            <w:r>
              <w:rPr>
                <w:b/>
                <w:color w:val="FFFFFF"/>
                <w:sz w:val="19"/>
              </w:rPr>
              <w:t>Req ID</w:t>
            </w:r>
          </w:p>
        </w:tc>
        <w:tc>
          <w:tcPr>
            <w:tcW w:type="dxa" w:w="5760"/>
            <w:shd w:fill="182B49"/>
          </w:tcPr>
          <w:p>
            <w:r>
              <w:rPr>
                <w:b/>
                <w:color w:val="FFFFFF"/>
                <w:sz w:val="19"/>
              </w:rPr>
              <w:t>Requirement Description</w:t>
            </w:r>
          </w:p>
        </w:tc>
        <w:tc>
          <w:tcPr>
            <w:tcW w:type="dxa" w:w="1440"/>
            <w:shd w:fill="182B49"/>
          </w:tcPr>
          <w:p>
            <w:r>
              <w:rPr>
                <w:b/>
                <w:color w:val="FFFFFF"/>
                <w:sz w:val="19"/>
              </w:rPr>
              <w:t>Priority</w:t>
            </w:r>
          </w:p>
        </w:tc>
      </w:tr>
      <w:tr>
        <w:tc>
          <w:tcPr>
            <w:tcW w:type="dxa" w:w="2160"/>
            <w:shd w:fill="FFFFFF"/>
          </w:tcPr>
          <w:p>
            <w:r>
              <w:rPr>
                <w:sz w:val="18"/>
              </w:rPr>
              <w:t>REQ-SCH-1</w:t>
            </w:r>
          </w:p>
        </w:tc>
        <w:tc>
          <w:tcPr>
            <w:tcW w:type="dxa" w:w="5760"/>
            <w:shd w:fill="FFFFFF"/>
          </w:tcPr>
          <w:p>
            <w:r>
              <w:rPr>
                <w:sz w:val="18"/>
              </w:rPr>
              <w:t>Maintain real-time slot inventory based on daily counter capacities per PSK center.</w:t>
            </w:r>
          </w:p>
        </w:tc>
        <w:tc>
          <w:tcPr>
            <w:tcW w:type="dxa" w:w="1440"/>
            <w:shd w:fill="FFFFFF"/>
          </w:tcPr>
          <w:p>
            <w:r>
              <w:rPr>
                <w:sz w:val="18"/>
              </w:rPr>
              <w:t>High</w:t>
            </w:r>
          </w:p>
        </w:tc>
      </w:tr>
      <w:tr>
        <w:tc>
          <w:tcPr>
            <w:tcW w:type="dxa" w:w="2160"/>
            <w:shd w:fill="F4F6F9"/>
          </w:tcPr>
          <w:p>
            <w:r>
              <w:rPr>
                <w:sz w:val="18"/>
              </w:rPr>
              <w:t>REQ-SCH-2</w:t>
            </w:r>
          </w:p>
        </w:tc>
        <w:tc>
          <w:tcPr>
            <w:tcW w:type="dxa" w:w="5760"/>
            <w:shd w:fill="F4F6F9"/>
          </w:tcPr>
          <w:p>
            <w:r>
              <w:rPr>
                <w:sz w:val="18"/>
              </w:rPr>
              <w:t>Enforce an automated 10-minute temporary lock on selected slots during payment processing.</w:t>
            </w:r>
          </w:p>
        </w:tc>
        <w:tc>
          <w:tcPr>
            <w:tcW w:type="dxa" w:w="1440"/>
            <w:shd w:fill="F4F6F9"/>
          </w:tcPr>
          <w:p>
            <w:r>
              <w:rPr>
                <w:sz w:val="18"/>
              </w:rPr>
              <w:t>High</w:t>
            </w:r>
          </w:p>
        </w:tc>
      </w:tr>
      <w:tr>
        <w:tc>
          <w:tcPr>
            <w:tcW w:type="dxa" w:w="2160"/>
            <w:shd w:fill="FFFFFF"/>
          </w:tcPr>
          <w:p>
            <w:r>
              <w:rPr>
                <w:sz w:val="18"/>
              </w:rPr>
              <w:t>REQ-SCH-3</w:t>
            </w:r>
          </w:p>
        </w:tc>
        <w:tc>
          <w:tcPr>
            <w:tcW w:type="dxa" w:w="5760"/>
            <w:shd w:fill="FFFFFF"/>
          </w:tcPr>
          <w:p>
            <w:r>
              <w:rPr>
                <w:sz w:val="18"/>
              </w:rPr>
              <w:t>Allow a maximum of 3 appointment rescheduling attempts per ARN within a 12-month period.</w:t>
            </w:r>
          </w:p>
        </w:tc>
        <w:tc>
          <w:tcPr>
            <w:tcW w:type="dxa" w:w="1440"/>
            <w:shd w:fill="FFFFFF"/>
          </w:tcPr>
          <w:p>
            <w:r>
              <w:rPr>
                <w:sz w:val="18"/>
              </w:rPr>
              <w:t>Medium</w:t>
            </w:r>
          </w:p>
        </w:tc>
      </w:tr>
    </w:tbl>
    <w:p>
      <w:pPr>
        <w:keepNext/>
        <w:spacing w:before="240" w:after="80"/>
      </w:pPr>
      <w:r>
        <w:rPr>
          <w:rFonts w:ascii="Calibri" w:hAnsi="Calibri"/>
          <w:b/>
          <w:color w:val="2980B9"/>
          <w:sz w:val="25"/>
        </w:rPr>
        <w:t>4.4 Fee Payment and Receipt Generation</w:t>
      </w:r>
    </w:p>
    <w:p>
      <w:r>
        <w:t>Short Description: Calculates statutory fees, manages payment gateway interactions, and generates appointment receipts. Priority: High</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182B49"/>
          </w:tcPr>
          <w:p>
            <w:r>
              <w:rPr>
                <w:b/>
                <w:color w:val="FFFFFF"/>
                <w:sz w:val="19"/>
              </w:rPr>
              <w:t>Req ID</w:t>
            </w:r>
          </w:p>
        </w:tc>
        <w:tc>
          <w:tcPr>
            <w:tcW w:type="dxa" w:w="5760"/>
            <w:shd w:fill="182B49"/>
          </w:tcPr>
          <w:p>
            <w:r>
              <w:rPr>
                <w:b/>
                <w:color w:val="FFFFFF"/>
                <w:sz w:val="19"/>
              </w:rPr>
              <w:t>Requirement Description</w:t>
            </w:r>
          </w:p>
        </w:tc>
        <w:tc>
          <w:tcPr>
            <w:tcW w:type="dxa" w:w="1440"/>
            <w:shd w:fill="182B49"/>
          </w:tcPr>
          <w:p>
            <w:r>
              <w:rPr>
                <w:b/>
                <w:color w:val="FFFFFF"/>
                <w:sz w:val="19"/>
              </w:rPr>
              <w:t>Priority</w:t>
            </w:r>
          </w:p>
        </w:tc>
      </w:tr>
      <w:tr>
        <w:tc>
          <w:tcPr>
            <w:tcW w:type="dxa" w:w="2160"/>
            <w:shd w:fill="FFFFFF"/>
          </w:tcPr>
          <w:p>
            <w:r>
              <w:rPr>
                <w:sz w:val="18"/>
              </w:rPr>
              <w:t>REQ-PAY-1</w:t>
            </w:r>
          </w:p>
        </w:tc>
        <w:tc>
          <w:tcPr>
            <w:tcW w:type="dxa" w:w="5760"/>
            <w:shd w:fill="FFFFFF"/>
          </w:tcPr>
          <w:p>
            <w:r>
              <w:rPr>
                <w:sz w:val="18"/>
              </w:rPr>
              <w:t>Dynamically compute fee based on applicant age, scheme (Standard/Tatkaal), and booklet size.</w:t>
            </w:r>
          </w:p>
        </w:tc>
        <w:tc>
          <w:tcPr>
            <w:tcW w:type="dxa" w:w="1440"/>
            <w:shd w:fill="FFFFFF"/>
          </w:tcPr>
          <w:p>
            <w:r>
              <w:rPr>
                <w:sz w:val="18"/>
              </w:rPr>
              <w:t>High</w:t>
            </w:r>
          </w:p>
        </w:tc>
      </w:tr>
      <w:tr>
        <w:tc>
          <w:tcPr>
            <w:tcW w:type="dxa" w:w="2160"/>
            <w:shd w:fill="F4F6F9"/>
          </w:tcPr>
          <w:p>
            <w:r>
              <w:rPr>
                <w:sz w:val="18"/>
              </w:rPr>
              <w:t>REQ-PAY-2</w:t>
            </w:r>
          </w:p>
        </w:tc>
        <w:tc>
          <w:tcPr>
            <w:tcW w:type="dxa" w:w="5760"/>
            <w:shd w:fill="F4F6F9"/>
          </w:tcPr>
          <w:p>
            <w:r>
              <w:rPr>
                <w:sz w:val="18"/>
              </w:rPr>
              <w:t>Interface with certified payment gateways; store zero raw card credentials (PCI-DSS compliant).</w:t>
            </w:r>
          </w:p>
        </w:tc>
        <w:tc>
          <w:tcPr>
            <w:tcW w:type="dxa" w:w="1440"/>
            <w:shd w:fill="F4F6F9"/>
          </w:tcPr>
          <w:p>
            <w:r>
              <w:rPr>
                <w:sz w:val="18"/>
              </w:rPr>
              <w:t>High</w:t>
            </w:r>
          </w:p>
        </w:tc>
      </w:tr>
      <w:tr>
        <w:tc>
          <w:tcPr>
            <w:tcW w:type="dxa" w:w="2160"/>
            <w:shd w:fill="FFFFFF"/>
          </w:tcPr>
          <w:p>
            <w:r>
              <w:rPr>
                <w:sz w:val="18"/>
              </w:rPr>
              <w:t>REQ-PAY-3</w:t>
            </w:r>
          </w:p>
        </w:tc>
        <w:tc>
          <w:tcPr>
            <w:tcW w:type="dxa" w:w="5760"/>
            <w:shd w:fill="FFFFFF"/>
          </w:tcPr>
          <w:p>
            <w:r>
              <w:rPr>
                <w:sz w:val="18"/>
              </w:rPr>
              <w:t>Generate a downloadable PDF Appointment Receipt with embedded encrypted 2D QR code.</w:t>
            </w:r>
          </w:p>
        </w:tc>
        <w:tc>
          <w:tcPr>
            <w:tcW w:type="dxa" w:w="1440"/>
            <w:shd w:fill="FFFFFF"/>
          </w:tcPr>
          <w:p>
            <w:r>
              <w:rPr>
                <w:sz w:val="18"/>
              </w:rPr>
              <w:t>High</w:t>
            </w:r>
          </w:p>
        </w:tc>
      </w:tr>
    </w:tbl>
    <w:p>
      <w:pPr>
        <w:keepNext/>
        <w:spacing w:before="240" w:after="80"/>
      </w:pPr>
      <w:r>
        <w:rPr>
          <w:rFonts w:ascii="Calibri" w:hAnsi="Calibri"/>
          <w:b/>
          <w:color w:val="2980B9"/>
          <w:sz w:val="25"/>
        </w:rPr>
        <w:t>4.5 PSK Verification and Biometrics Processing</w:t>
      </w:r>
    </w:p>
    <w:p>
      <w:r>
        <w:t>Short Description: Counter workstation interface for physical scrutiny, biometric acquisition, and Granting Officer sign-off. Priority: High</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182B49"/>
          </w:tcPr>
          <w:p>
            <w:r>
              <w:rPr>
                <w:b/>
                <w:color w:val="FFFFFF"/>
                <w:sz w:val="19"/>
              </w:rPr>
              <w:t>Req ID</w:t>
            </w:r>
          </w:p>
        </w:tc>
        <w:tc>
          <w:tcPr>
            <w:tcW w:type="dxa" w:w="5760"/>
            <w:shd w:fill="182B49"/>
          </w:tcPr>
          <w:p>
            <w:r>
              <w:rPr>
                <w:b/>
                <w:color w:val="FFFFFF"/>
                <w:sz w:val="19"/>
              </w:rPr>
              <w:t>Requirement Description</w:t>
            </w:r>
          </w:p>
        </w:tc>
        <w:tc>
          <w:tcPr>
            <w:tcW w:type="dxa" w:w="1440"/>
            <w:shd w:fill="182B49"/>
          </w:tcPr>
          <w:p>
            <w:r>
              <w:rPr>
                <w:b/>
                <w:color w:val="FFFFFF"/>
                <w:sz w:val="19"/>
              </w:rPr>
              <w:t>Priority</w:t>
            </w:r>
          </w:p>
        </w:tc>
      </w:tr>
      <w:tr>
        <w:tc>
          <w:tcPr>
            <w:tcW w:type="dxa" w:w="2160"/>
            <w:shd w:fill="FFFFFF"/>
          </w:tcPr>
          <w:p>
            <w:r>
              <w:rPr>
                <w:sz w:val="18"/>
              </w:rPr>
              <w:t>REQ-PSK-1</w:t>
            </w:r>
          </w:p>
        </w:tc>
        <w:tc>
          <w:tcPr>
            <w:tcW w:type="dxa" w:w="5760"/>
            <w:shd w:fill="FFFFFF"/>
          </w:tcPr>
          <w:p>
            <w:r>
              <w:rPr>
                <w:sz w:val="18"/>
              </w:rPr>
              <w:t>Ingest 10-finger optical scan, dual-iris, and ICAO compliant photo directly from counter hardware.</w:t>
            </w:r>
          </w:p>
        </w:tc>
        <w:tc>
          <w:tcPr>
            <w:tcW w:type="dxa" w:w="1440"/>
            <w:shd w:fill="FFFFFF"/>
          </w:tcPr>
          <w:p>
            <w:r>
              <w:rPr>
                <w:sz w:val="18"/>
              </w:rPr>
              <w:t>High</w:t>
            </w:r>
          </w:p>
        </w:tc>
      </w:tr>
      <w:tr>
        <w:tc>
          <w:tcPr>
            <w:tcW w:type="dxa" w:w="2160"/>
            <w:shd w:fill="F4F6F9"/>
          </w:tcPr>
          <w:p>
            <w:r>
              <w:rPr>
                <w:sz w:val="18"/>
              </w:rPr>
              <w:t>REQ-PSK-2</w:t>
            </w:r>
          </w:p>
        </w:tc>
        <w:tc>
          <w:tcPr>
            <w:tcW w:type="dxa" w:w="5760"/>
            <w:shd w:fill="F4F6F9"/>
          </w:tcPr>
          <w:p>
            <w:r>
              <w:rPr>
                <w:sz w:val="18"/>
              </w:rPr>
              <w:t>Allow Verification Officer (VO) to record document verification checklist outcomes digitally.</w:t>
            </w:r>
          </w:p>
        </w:tc>
        <w:tc>
          <w:tcPr>
            <w:tcW w:type="dxa" w:w="1440"/>
            <w:shd w:fill="F4F6F9"/>
          </w:tcPr>
          <w:p>
            <w:r>
              <w:rPr>
                <w:sz w:val="18"/>
              </w:rPr>
              <w:t>High</w:t>
            </w:r>
          </w:p>
        </w:tc>
      </w:tr>
      <w:tr>
        <w:tc>
          <w:tcPr>
            <w:tcW w:type="dxa" w:w="2160"/>
            <w:shd w:fill="FFFFFF"/>
          </w:tcPr>
          <w:p>
            <w:r>
              <w:rPr>
                <w:sz w:val="18"/>
              </w:rPr>
              <w:t>REQ-PSK-3</w:t>
            </w:r>
          </w:p>
        </w:tc>
        <w:tc>
          <w:tcPr>
            <w:tcW w:type="dxa" w:w="5760"/>
            <w:shd w:fill="FFFFFF"/>
          </w:tcPr>
          <w:p>
            <w:r>
              <w:rPr>
                <w:sz w:val="18"/>
              </w:rPr>
              <w:t>Require Granting Officer (GO) digital cryptographic token signing for final booklet grant authorization.</w:t>
            </w:r>
          </w:p>
        </w:tc>
        <w:tc>
          <w:tcPr>
            <w:tcW w:type="dxa" w:w="1440"/>
            <w:shd w:fill="FFFFFF"/>
          </w:tcPr>
          <w:p>
            <w:r>
              <w:rPr>
                <w:sz w:val="18"/>
              </w:rPr>
              <w:t>High</w:t>
            </w:r>
          </w:p>
        </w:tc>
      </w:tr>
    </w:tbl>
    <w:p>
      <w:pPr>
        <w:keepNext/>
        <w:spacing w:before="240" w:after="80"/>
      </w:pPr>
      <w:r>
        <w:rPr>
          <w:rFonts w:ascii="Calibri" w:hAnsi="Calibri"/>
          <w:b/>
          <w:color w:val="2980B9"/>
          <w:sz w:val="25"/>
        </w:rPr>
        <w:t>4.6 Application Tracking and Dispatch Management</w:t>
      </w:r>
    </w:p>
    <w:p>
      <w:r>
        <w:t>Short Description: Public status tracking, police verification dossier orchestration, and postal dispatch tracking. Priority: Medium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182B49"/>
          </w:tcPr>
          <w:p>
            <w:r>
              <w:rPr>
                <w:b/>
                <w:color w:val="FFFFFF"/>
                <w:sz w:val="19"/>
              </w:rPr>
              <w:t>Req ID</w:t>
            </w:r>
          </w:p>
        </w:tc>
        <w:tc>
          <w:tcPr>
            <w:tcW w:type="dxa" w:w="5760"/>
            <w:shd w:fill="182B49"/>
          </w:tcPr>
          <w:p>
            <w:r>
              <w:rPr>
                <w:b/>
                <w:color w:val="FFFFFF"/>
                <w:sz w:val="19"/>
              </w:rPr>
              <w:t>Requirement Description</w:t>
            </w:r>
          </w:p>
        </w:tc>
        <w:tc>
          <w:tcPr>
            <w:tcW w:type="dxa" w:w="1440"/>
            <w:shd w:fill="182B49"/>
          </w:tcPr>
          <w:p>
            <w:r>
              <w:rPr>
                <w:b/>
                <w:color w:val="FFFFFF"/>
                <w:sz w:val="19"/>
              </w:rPr>
              <w:t>Priority</w:t>
            </w:r>
          </w:p>
        </w:tc>
      </w:tr>
      <w:tr>
        <w:tc>
          <w:tcPr>
            <w:tcW w:type="dxa" w:w="2160"/>
            <w:shd w:fill="FFFFFF"/>
          </w:tcPr>
          <w:p>
            <w:r>
              <w:rPr>
                <w:sz w:val="18"/>
              </w:rPr>
              <w:t>REQ-TRK-1</w:t>
            </w:r>
          </w:p>
        </w:tc>
        <w:tc>
          <w:tcPr>
            <w:tcW w:type="dxa" w:w="5760"/>
            <w:shd w:fill="FFFFFF"/>
          </w:tcPr>
          <w:p>
            <w:r>
              <w:rPr>
                <w:sz w:val="18"/>
              </w:rPr>
              <w:t>Provide public status tracking by ARN and Date of Birth with granular lifecycle milestone history.</w:t>
            </w:r>
          </w:p>
        </w:tc>
        <w:tc>
          <w:tcPr>
            <w:tcW w:type="dxa" w:w="1440"/>
            <w:shd w:fill="FFFFFF"/>
          </w:tcPr>
          <w:p>
            <w:r>
              <w:rPr>
                <w:sz w:val="18"/>
              </w:rPr>
              <w:t>Medium</w:t>
            </w:r>
          </w:p>
        </w:tc>
      </w:tr>
      <w:tr>
        <w:tc>
          <w:tcPr>
            <w:tcW w:type="dxa" w:w="2160"/>
            <w:shd w:fill="F4F6F9"/>
          </w:tcPr>
          <w:p>
            <w:r>
              <w:rPr>
                <w:sz w:val="18"/>
              </w:rPr>
              <w:t>REQ-TRK-2</w:t>
            </w:r>
          </w:p>
        </w:tc>
        <w:tc>
          <w:tcPr>
            <w:tcW w:type="dxa" w:w="5760"/>
            <w:shd w:fill="F4F6F9"/>
          </w:tcPr>
          <w:p>
            <w:r>
              <w:rPr>
                <w:sz w:val="18"/>
              </w:rPr>
              <w:t>Trigger automated SMS and Email alerts on critical milestone updates (e.g., Police Clearance, Dispatched).</w:t>
            </w:r>
          </w:p>
        </w:tc>
        <w:tc>
          <w:tcPr>
            <w:tcW w:type="dxa" w:w="1440"/>
            <w:shd w:fill="F4F6F9"/>
          </w:tcPr>
          <w:p>
            <w:r>
              <w:rPr>
                <w:sz w:val="18"/>
              </w:rPr>
              <w:t>Medium</w:t>
            </w:r>
          </w:p>
        </w:tc>
      </w:tr>
      <w:tr>
        <w:tc>
          <w:tcPr>
            <w:tcW w:type="dxa" w:w="2160"/>
            <w:shd w:fill="FFFFFF"/>
          </w:tcPr>
          <w:p>
            <w:r>
              <w:rPr>
                <w:sz w:val="18"/>
              </w:rPr>
              <w:t>REQ-TRK-3</w:t>
            </w:r>
          </w:p>
        </w:tc>
        <w:tc>
          <w:tcPr>
            <w:tcW w:type="dxa" w:w="5760"/>
            <w:shd w:fill="FFFFFF"/>
          </w:tcPr>
          <w:p>
            <w:r>
              <w:rPr>
                <w:sz w:val="18"/>
              </w:rPr>
              <w:t>Sync real-time postal tracking events via logistics partner API endpoints.</w:t>
            </w:r>
          </w:p>
        </w:tc>
        <w:tc>
          <w:tcPr>
            <w:tcW w:type="dxa" w:w="1440"/>
            <w:shd w:fill="FFFFFF"/>
          </w:tcPr>
          <w:p>
            <w:r>
              <w:rPr>
                <w:sz w:val="18"/>
              </w:rPr>
              <w:t>Medium</w:t>
            </w:r>
          </w:p>
        </w:tc>
      </w:tr>
    </w:tbl>
    <w:p>
      <w:pPr>
        <w:keepNext/>
        <w:spacing w:before="320" w:after="120"/>
      </w:pPr>
      <w:r>
        <w:rPr>
          <w:rFonts w:ascii="Calibri" w:hAnsi="Calibri"/>
          <w:b/>
          <w:color w:val="182B49"/>
          <w:sz w:val="30"/>
        </w:rPr>
        <w:t>5. Other Nonfunctional Requirements</w:t>
      </w:r>
    </w:p>
    <w:p>
      <w:pPr>
        <w:keepNext/>
        <w:spacing w:before="240" w:after="80"/>
      </w:pPr>
      <w:r>
        <w:rPr>
          <w:rFonts w:ascii="Calibri" w:hAnsi="Calibri"/>
          <w:b/>
          <w:color w:val="2980B9"/>
          <w:sz w:val="25"/>
        </w:rPr>
        <w:t>5.1 Performance Requirements</w:t>
      </w:r>
    </w:p>
    <w:p>
      <w:r>
        <w:t>• Response Time: &lt;= 1.5 seconds for 95% of standard web queries under a concurrent load of 10,000 active citizen sessions.</w:t>
        <w:br/>
        <w:t>• Peak Slot Allocation Throughput: Minimum of 1,200 successful slot bookings per minute during peak morning release windows.</w:t>
        <w:br/>
        <w:t>• System Availability: &gt;= 99.9% uptime 24/7/365, with scheduled maintenance restricted to off-peak weekend hours.</w:t>
      </w:r>
    </w:p>
    <w:p>
      <w:pPr>
        <w:keepNext/>
        <w:spacing w:before="240" w:after="80"/>
      </w:pPr>
      <w:r>
        <w:rPr>
          <w:rFonts w:ascii="Calibri" w:hAnsi="Calibri"/>
          <w:b/>
          <w:color w:val="2980B9"/>
          <w:sz w:val="25"/>
        </w:rPr>
        <w:t>5.2 Safety Requirements</w:t>
      </w:r>
    </w:p>
    <w:p>
      <w:r>
        <w:t>In the event of network disruption or power failure during biometric capture or payment callback, the database transaction shall perform an atomic rollback to maintain data consistency, preventing orphaned payment records or corrupted biometric files.</w:t>
      </w:r>
    </w:p>
    <w:p>
      <w:pPr>
        <w:keepNext/>
        <w:spacing w:before="240" w:after="80"/>
      </w:pPr>
      <w:r>
        <w:rPr>
          <w:rFonts w:ascii="Calibri" w:hAnsi="Calibri"/>
          <w:b/>
          <w:color w:val="2980B9"/>
          <w:sz w:val="25"/>
        </w:rPr>
        <w:t>5.3 Security Requirements</w:t>
      </w:r>
    </w:p>
    <w:p>
      <w:r>
        <w:t>• Encryption: All citizen Personally Identifiable Information (PII) and biometric data must be encrypted with AES-256 at rest.</w:t>
        <w:br/>
        <w:t>• Session Governance: Automatic citizen session expiration after 15 minutes of inactivity; officer workstations after 8 minutes.</w:t>
        <w:br/>
        <w:t>• Access Control: Strict Role-Based Access Control (RBAC) enforced via OAuth 2.0 / JWT tokens.</w:t>
        <w:br/>
        <w:t>• Audit Logs: Immutable, append-only audit logging capturing user ID, IP address, timestamp, and action description.</w:t>
      </w:r>
    </w:p>
    <w:p>
      <w:pPr>
        <w:keepNext/>
        <w:spacing w:before="240" w:after="80"/>
      </w:pPr>
      <w:r>
        <w:rPr>
          <w:rFonts w:ascii="Calibri" w:hAnsi="Calibri"/>
          <w:b/>
          <w:color w:val="2980B9"/>
          <w:sz w:val="25"/>
        </w:rPr>
        <w:t>5.4 Software Quality Attributes</w:t>
      </w:r>
    </w:p>
    <w:p>
      <w:r>
        <w:t>• Reliability: Mean Time Between Failures (MTBF) &gt; 720 hours; Mean Time to Recovery (MTTR) &lt; 15 minutes.</w:t>
        <w:br/>
        <w:t>• Usability: Intuitive UI requiring zero citizen training; PSK counter application designed for &lt; 4 hours of officer training.</w:t>
        <w:br/>
        <w:t>• Maintainability: Modular microservices architecture deployed via automated CI/CD pipelines with containerized rollbacks.</w:t>
      </w:r>
    </w:p>
    <w:p>
      <w:pPr>
        <w:keepNext/>
        <w:spacing w:before="240" w:after="80"/>
      </w:pPr>
      <w:r>
        <w:rPr>
          <w:rFonts w:ascii="Calibri" w:hAnsi="Calibri"/>
          <w:b/>
          <w:color w:val="2980B9"/>
          <w:sz w:val="25"/>
        </w:rPr>
        <w:t>5.5 Business Rules</w:t>
      </w:r>
    </w:p>
    <w:p>
      <w:r>
        <w:t>• BR-01 (Mandatory Payment): An appointment slot can only be confirmed upon receipt of successful payment clearance.</w:t>
        <w:br/>
        <w:t>• BR-02 (Punctuality Policy): Applicants arriving more than 30 minutes past their booked time window are marked as 'No-Show'.</w:t>
        <w:br/>
        <w:t>• BR-03 (Police Verification Exemption): Verification may be waived for minors (&lt;15 years) or renewal cases with clean historical records per consular regulations.</w:t>
      </w:r>
    </w:p>
    <w:p>
      <w:pPr>
        <w:keepNext/>
        <w:spacing w:before="240" w:after="80"/>
      </w:pPr>
      <w:r>
        <w:rPr>
          <w:rFonts w:ascii="Calibri" w:hAnsi="Calibri"/>
          <w:b/>
          <w:color w:val="2980B9"/>
          <w:sz w:val="25"/>
        </w:rPr>
        <w:t>5.6 Other Requirements</w:t>
      </w:r>
    </w:p>
    <w:p>
      <w:r>
        <w:t>• Data Retention: Application transaction logs must remain online for 5 years before archiving to encrypted cold storage.</w:t>
        <w:br/>
        <w:t>• Compliance Audits: Mandatory bi-annual vulnerability assessments and penetration testing (VAPT) by certified security auditors.</w:t>
      </w:r>
    </w:p>
    <w:p>
      <w:pPr>
        <w:keepNext/>
        <w:spacing w:before="320" w:after="120"/>
      </w:pPr>
      <w:r>
        <w:rPr>
          <w:rFonts w:ascii="Calibri" w:hAnsi="Calibri"/>
          <w:b/>
          <w:color w:val="182B49"/>
          <w:sz w:val="30"/>
        </w:rPr>
        <w:t>Appendix A: Glossary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880"/>
            <w:shd w:fill="182B49"/>
          </w:tcPr>
          <w:p>
            <w:r>
              <w:rPr>
                <w:b/>
                <w:color w:val="FFFFFF"/>
                <w:sz w:val="20"/>
              </w:rPr>
              <w:t>Term / Acronym</w:t>
            </w:r>
          </w:p>
        </w:tc>
        <w:tc>
          <w:tcPr>
            <w:tcW w:type="dxa" w:w="6480"/>
            <w:shd w:fill="182B49"/>
          </w:tcPr>
          <w:p>
            <w:r>
              <w:rPr>
                <w:b/>
                <w:color w:val="FFFFFF"/>
                <w:sz w:val="20"/>
              </w:rPr>
              <w:t>Definition</w:t>
            </w:r>
          </w:p>
        </w:tc>
      </w:tr>
      <w:tr>
        <w:tc>
          <w:tcPr>
            <w:tcW w:type="dxa" w:w="2880"/>
            <w:shd w:fill="FFFFFF"/>
          </w:tcPr>
          <w:p>
            <w:r>
              <w:rPr>
                <w:sz w:val="19"/>
              </w:rPr>
              <w:t>ARN</w:t>
            </w:r>
          </w:p>
        </w:tc>
        <w:tc>
          <w:tcPr>
            <w:tcW w:type="dxa" w:w="6480"/>
            <w:shd w:fill="FFFFFF"/>
          </w:tcPr>
          <w:p>
            <w:r>
              <w:rPr>
                <w:sz w:val="19"/>
              </w:rPr>
              <w:t>Application Reference Number (Unique 15-character identifier assigned to each application).</w:t>
            </w:r>
          </w:p>
        </w:tc>
      </w:tr>
      <w:tr>
        <w:tc>
          <w:tcPr>
            <w:tcW w:type="dxa" w:w="2880"/>
            <w:shd w:fill="F4F6F9"/>
          </w:tcPr>
          <w:p>
            <w:r>
              <w:rPr>
                <w:sz w:val="19"/>
              </w:rPr>
              <w:t>ICAO</w:t>
            </w:r>
          </w:p>
        </w:tc>
        <w:tc>
          <w:tcPr>
            <w:tcW w:type="dxa" w:w="6480"/>
            <w:shd w:fill="F4F6F9"/>
          </w:tcPr>
          <w:p>
            <w:r>
              <w:rPr>
                <w:sz w:val="19"/>
              </w:rPr>
              <w:t>International Civil Aviation Organization (Defines global standards for Machine Readable Travel Documents).</w:t>
            </w:r>
          </w:p>
        </w:tc>
      </w:tr>
      <w:tr>
        <w:tc>
          <w:tcPr>
            <w:tcW w:type="dxa" w:w="2880"/>
            <w:shd w:fill="FFFFFF"/>
          </w:tcPr>
          <w:p>
            <w:r>
              <w:rPr>
                <w:sz w:val="19"/>
              </w:rPr>
              <w:t>mTLS</w:t>
            </w:r>
          </w:p>
        </w:tc>
        <w:tc>
          <w:tcPr>
            <w:tcW w:type="dxa" w:w="6480"/>
            <w:shd w:fill="FFFFFF"/>
          </w:tcPr>
          <w:p>
            <w:r>
              <w:rPr>
                <w:sz w:val="19"/>
              </w:rPr>
              <w:t>Mutual Transport Layer Security (Two-way cryptographic authentication between integrated services).</w:t>
            </w:r>
          </w:p>
        </w:tc>
      </w:tr>
      <w:tr>
        <w:tc>
          <w:tcPr>
            <w:tcW w:type="dxa" w:w="2880"/>
            <w:shd w:fill="F4F6F9"/>
          </w:tcPr>
          <w:p>
            <w:r>
              <w:rPr>
                <w:sz w:val="19"/>
              </w:rPr>
              <w:t>PSK</w:t>
            </w:r>
          </w:p>
        </w:tc>
        <w:tc>
          <w:tcPr>
            <w:tcW w:type="dxa" w:w="6480"/>
            <w:shd w:fill="F4F6F9"/>
          </w:tcPr>
          <w:p>
            <w:r>
              <w:rPr>
                <w:sz w:val="19"/>
              </w:rPr>
              <w:t>Passport Seva Kendra (Regional front-office facilitation center for physical verification and biometrics).</w:t>
            </w:r>
          </w:p>
        </w:tc>
      </w:tr>
      <w:tr>
        <w:tc>
          <w:tcPr>
            <w:tcW w:type="dxa" w:w="2880"/>
            <w:shd w:fill="FFFFFF"/>
          </w:tcPr>
          <w:p>
            <w:r>
              <w:rPr>
                <w:sz w:val="19"/>
              </w:rPr>
              <w:t>RPO</w:t>
            </w:r>
          </w:p>
        </w:tc>
        <w:tc>
          <w:tcPr>
            <w:tcW w:type="dxa" w:w="6480"/>
            <w:shd w:fill="FFFFFF"/>
          </w:tcPr>
          <w:p>
            <w:r>
              <w:rPr>
                <w:sz w:val="19"/>
              </w:rPr>
              <w:t>Regional Passport Office (Back-office administrative authority overseeing issuance and adjudication).</w:t>
            </w:r>
          </w:p>
        </w:tc>
      </w:tr>
      <w:tr>
        <w:tc>
          <w:tcPr>
            <w:tcW w:type="dxa" w:w="2880"/>
            <w:shd w:fill="F4F6F9"/>
          </w:tcPr>
          <w:p>
            <w:r>
              <w:rPr>
                <w:sz w:val="19"/>
              </w:rPr>
              <w:t>Tatkaal</w:t>
            </w:r>
          </w:p>
        </w:tc>
        <w:tc>
          <w:tcPr>
            <w:tcW w:type="dxa" w:w="6480"/>
            <w:shd w:fill="F4F6F9"/>
          </w:tcPr>
          <w:p>
            <w:r>
              <w:rPr>
                <w:sz w:val="19"/>
              </w:rPr>
              <w:t>Emergency expedited processing scheme for urgent passport issuance.</w:t>
            </w:r>
          </w:p>
        </w:tc>
      </w:tr>
      <w:tr>
        <w:tc>
          <w:tcPr>
            <w:tcW w:type="dxa" w:w="2880"/>
            <w:shd w:fill="FFFFFF"/>
          </w:tcPr>
          <w:p>
            <w:r>
              <w:rPr>
                <w:sz w:val="19"/>
              </w:rPr>
              <w:t>WCAG</w:t>
            </w:r>
          </w:p>
        </w:tc>
        <w:tc>
          <w:tcPr>
            <w:tcW w:type="dxa" w:w="6480"/>
            <w:shd w:fill="FFFFFF"/>
          </w:tcPr>
          <w:p>
            <w:r>
              <w:rPr>
                <w:sz w:val="19"/>
              </w:rPr>
              <w:t>Web Content Accessibility Guidelines (Global digital accessibility benchmark).</w:t>
            </w:r>
          </w:p>
        </w:tc>
      </w:tr>
    </w:tbl>
    <w:p>
      <w:pPr>
        <w:keepNext/>
        <w:spacing w:before="320" w:after="120"/>
      </w:pPr>
      <w:r>
        <w:rPr>
          <w:rFonts w:ascii="Calibri" w:hAnsi="Calibri"/>
          <w:b/>
          <w:color w:val="182B49"/>
          <w:sz w:val="30"/>
        </w:rPr>
        <w:t>Appendix B: Analysis Models</w:t>
      </w:r>
    </w:p>
    <w:p>
      <w:r>
        <w:t>The OPAPS architecture follows a multi-tiered decoupled pattern. The Level-0 Context Diagram represents interactions between the central system and external participating entities:</w:t>
      </w:r>
    </w:p>
    <w:tbl>
      <w:tblPr>
        <w:tblW w:type="auto" w:w="0"/>
        <w:jc w:val="center"/>
        <w:tblLook w:firstColumn="1" w:firstRow="1" w:lastColumn="0" w:lastRow="0" w:noHBand="0" w:noVBand="1" w:val="04A0"/>
      </w:tblPr>
      <w:tblGrid>
        <w:gridCol w:w="9360"/>
      </w:tblGrid>
      <w:tr>
        <w:tc>
          <w:tcPr>
            <w:tcW w:type="dxa" w:w="9360"/>
            <w:shd w:fill="EBF5FB"/>
            <w:tcBorders>
              <w:left w:val="single" w:sz="24" w:space="0" w:color="182B49"/>
              <w:top w:val="none"/>
              <w:bottom w:val="none"/>
              <w:right w:val="none"/>
            </w:tcBorders>
          </w:tcPr>
          <w:p>
            <w:pPr>
              <w:spacing w:after="40" w:before="40"/>
            </w:pPr>
            <w:r>
              <w:rPr>
                <w:b/>
                <w:color w:val="182B49"/>
                <w:sz w:val="19"/>
              </w:rPr>
              <w:t xml:space="preserve">PROCESS FLOW ARCHITECTURE: </w:t>
            </w:r>
            <w:r>
              <w:rPr>
                <w:i/>
                <w:color w:val="2C3E50"/>
                <w:sz w:val="19"/>
              </w:rPr>
              <w:t>Context Level Flow: Applicant submits data &amp; fee -&gt; OPAPS locks slot &amp; notifies Payment Gateway -&gt; Payment Gateway returns confirmation -&gt; PSK Counter ingests Biometrics &amp; validates physical proof -&gt; Police Verification Network receives background request -&gt; Granting Officer digitally approves -&gt; Logistics System delivers passport booklet.</w:t>
            </w:r>
          </w:p>
        </w:tc>
      </w:tr>
    </w:tbl>
    <w:p>
      <w:pPr>
        <w:keepNext/>
        <w:spacing w:before="320" w:after="120"/>
      </w:pPr>
      <w:r>
        <w:rPr>
          <w:rFonts w:ascii="Calibri" w:hAnsi="Calibri"/>
          <w:b/>
          <w:color w:val="182B49"/>
          <w:sz w:val="30"/>
        </w:rPr>
        <w:t>Appendix C: To Be Determined (TBD) List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1440"/>
            <w:shd w:fill="182B49"/>
          </w:tcPr>
          <w:p>
            <w:r>
              <w:rPr>
                <w:b/>
                <w:color w:val="FFFFFF"/>
                <w:sz w:val="20"/>
              </w:rPr>
              <w:t>Item ID</w:t>
            </w:r>
          </w:p>
        </w:tc>
        <w:tc>
          <w:tcPr>
            <w:tcW w:type="dxa" w:w="1296"/>
            <w:shd w:fill="182B49"/>
          </w:tcPr>
          <w:p>
            <w:r>
              <w:rPr>
                <w:b/>
                <w:color w:val="FFFFFF"/>
                <w:sz w:val="20"/>
              </w:rPr>
              <w:t>Section</w:t>
            </w:r>
          </w:p>
        </w:tc>
        <w:tc>
          <w:tcPr>
            <w:tcW w:type="dxa" w:w="4896"/>
            <w:shd w:fill="182B49"/>
          </w:tcPr>
          <w:p>
            <w:r>
              <w:rPr>
                <w:b/>
                <w:color w:val="FFFFFF"/>
                <w:sz w:val="20"/>
              </w:rPr>
              <w:t>Description</w:t>
            </w:r>
          </w:p>
        </w:tc>
        <w:tc>
          <w:tcPr>
            <w:tcW w:type="dxa" w:w="1728"/>
            <w:shd w:fill="182B49"/>
          </w:tcPr>
          <w:p>
            <w:r>
              <w:rPr>
                <w:b/>
                <w:color w:val="FFFFFF"/>
                <w:sz w:val="20"/>
              </w:rPr>
              <w:t>Target Resolution</w:t>
            </w:r>
          </w:p>
        </w:tc>
      </w:tr>
      <w:tr>
        <w:tc>
          <w:tcPr>
            <w:tcW w:type="dxa" w:w="1440"/>
            <w:shd w:fill="FFFFFF"/>
          </w:tcPr>
          <w:p>
            <w:r>
              <w:rPr>
                <w:sz w:val="19"/>
              </w:rPr>
              <w:t>TBD-1</w:t>
            </w:r>
          </w:p>
        </w:tc>
        <w:tc>
          <w:tcPr>
            <w:tcW w:type="dxa" w:w="1296"/>
            <w:shd w:fill="FFFFFF"/>
          </w:tcPr>
          <w:p>
            <w:r>
              <w:rPr>
                <w:sz w:val="19"/>
              </w:rPr>
              <w:t>3.2</w:t>
            </w:r>
          </w:p>
        </w:tc>
        <w:tc>
          <w:tcPr>
            <w:tcW w:type="dxa" w:w="4896"/>
            <w:shd w:fill="FFFFFF"/>
          </w:tcPr>
          <w:p>
            <w:r>
              <w:rPr>
                <w:sz w:val="19"/>
              </w:rPr>
              <w:t>Finalize dual-iris scanner vendor SDK version for counter workstations.</w:t>
            </w:r>
          </w:p>
        </w:tc>
        <w:tc>
          <w:tcPr>
            <w:tcW w:type="dxa" w:w="1728"/>
            <w:shd w:fill="FFFFFF"/>
          </w:tcPr>
          <w:p>
            <w:r>
              <w:rPr>
                <w:sz w:val="19"/>
              </w:rPr>
              <w:t>2026-09-30</w:t>
            </w:r>
          </w:p>
        </w:tc>
      </w:tr>
      <w:tr>
        <w:tc>
          <w:tcPr>
            <w:tcW w:type="dxa" w:w="1440"/>
            <w:shd w:fill="F4F6F9"/>
          </w:tcPr>
          <w:p>
            <w:r>
              <w:rPr>
                <w:sz w:val="19"/>
              </w:rPr>
              <w:t>TBD-2</w:t>
            </w:r>
          </w:p>
        </w:tc>
        <w:tc>
          <w:tcPr>
            <w:tcW w:type="dxa" w:w="1296"/>
            <w:shd w:fill="F4F6F9"/>
          </w:tcPr>
          <w:p>
            <w:r>
              <w:rPr>
                <w:sz w:val="19"/>
              </w:rPr>
              <w:t>4.4</w:t>
            </w:r>
          </w:p>
        </w:tc>
        <w:tc>
          <w:tcPr>
            <w:tcW w:type="dxa" w:w="4896"/>
            <w:shd w:fill="F4F6F9"/>
          </w:tcPr>
          <w:p>
            <w:r>
              <w:rPr>
                <w:sz w:val="19"/>
              </w:rPr>
              <w:t>Integration specifications for international multi-currency credit card processing.</w:t>
            </w:r>
          </w:p>
        </w:tc>
        <w:tc>
          <w:tcPr>
            <w:tcW w:type="dxa" w:w="1728"/>
            <w:shd w:fill="F4F6F9"/>
          </w:tcPr>
          <w:p>
            <w:r>
              <w:rPr>
                <w:sz w:val="19"/>
              </w:rPr>
              <w:t>2026-10-15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