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pPr>
        <w:pStyle w:val="Heading1"/>
      </w:pPr>
      <w:r>
        <w:t>Part one</w:t>
      </w:r>
    </w:p>
    <w:p>
      <w:r>
        <w:t xml:space="preserve">Plain,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>.</w:t>
      </w:r>
    </w:p>
    <w:p>
      <w:pPr>
        <w:pStyle w:val="ListBullet"/>
      </w:pPr>
      <w:r>
        <w:t>Bullet A</w:t>
      </w:r>
    </w:p>
    <w:p>
      <w:pPr>
        <w:pStyle w:val="ListBullet"/>
      </w:pPr>
      <w:r>
        <w:t>Bullet B</w:t>
      </w:r>
    </w:p>
    <w:p>
      <w:pPr>
        <w:pStyle w:val="ListBullet2"/>
      </w:pPr>
      <w:r>
        <w:t>Inner</w:t>
      </w:r>
    </w:p>
    <w:p>
      <w:pPr>
        <w:pStyle w:val="ListNumber"/>
      </w:pPr>
      <w:r>
        <w:t>Number 1</w:t>
      </w:r>
    </w:p>
    <w:p>
      <w:pPr>
        <w:pStyle w:val="ListNumber"/>
      </w:pPr>
      <w:r>
        <w:t>Number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wide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  <w:vMerge w:val="restart"/>
          </w:tcPr>
          <w:p>
            <w:r>
              <w:t>tall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  <w:vMerge/>
          </w:tcPr>
          <w:p/>
        </w:tc>
      </w:tr>
    </w:tbl>
    <w:p>
      <w:r>
        <w:drawing>
          <wp:inline xmlns:a="http://schemas.openxmlformats.org/drawingml/2006/main" xmlns:pic="http://schemas.openxmlformats.org/drawingml/2006/picture">
            <wp:extent cx="508000" cy="2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ote"/>
      </w:pPr>
      <w:r>
        <w:t>Quote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made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