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F6690"/>
          <w:sz w:val="22"/>
          <w:szCs w:val="22"/>
        </w:rPr>
        <w:t xml:space="preserve">CODERELAY</w:t>
      </w:r>
    </w:p>
    <w:p>
      <w:pPr>
        <w:pBdr>
          <w:bottom w:val="single" w:color="1B2A4A" w:sz="16" w:space="8"/>
        </w:pBdr>
        <w:spacing w:after="200"/>
        <w:jc w:val="left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Technical Requirements Document</w:t>
      </w:r>
    </w:p>
    <w:p>
      <w:pPr>
        <w:spacing w:after="1600" w:before="200"/>
      </w:pPr>
      <w:r>
        <w:rPr>
          <w:rFonts w:ascii="Calibri" w:cs="Calibri" w:eastAsia="Calibri" w:hAnsi="Calibri"/>
          <w:i/>
          <w:iCs/>
          <w:color w:val="5A5A5A"/>
          <w:sz w:val="26"/>
          <w:szCs w:val="26"/>
        </w:rPr>
        <w:t xml:space="preserve">Architecture, stack decisions, and system-level constraints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Document Type: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Technical Requirements Document (TRD)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Author: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Diva Pandey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Version: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Status: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Draft for build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Companion Doc: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Backend Schema (data model detail lives there, not here)</w:t>
      </w:r>
    </w:p>
    <w:p>
      <w:r>
        <w:br w:type="page"/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Tech Stack</w:t>
      </w:r>
    </w:p>
    <w:tbl>
      <w:tblPr>
        <w:tblW w:type="dxa" w:w="100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200"/>
        <w:gridCol w:w="3400"/>
        <w:gridCol w:w="446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Framework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Next.js 14, App Router, TypeScript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Server components for dashboard data, route handlers for API/webhooks, single deployable unit</w:t>
            </w:r>
          </w:p>
        </w:tc>
      </w:tr>
      <w:tr>
        <w:tc>
          <w:tcPr>
            <w:tcW w:type="dxa" w:w="2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34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4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Managed Postgres with built-in Realtime and Storage, avoids stitching together three separate vendors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ORM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Prisma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Type-safe schema and migrations against the Supabase Postgres instance</w:t>
            </w:r>
          </w:p>
        </w:tc>
      </w:tr>
      <w:tr>
        <w:tc>
          <w:tcPr>
            <w:tcW w:type="dxa" w:w="2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Realtime — editor sync</w:t>
            </w:r>
          </w:p>
        </w:tc>
        <w:tc>
          <w:tcPr>
            <w:tcW w:type="dxa" w:w="34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Supabase Realtime Broadcast</w:t>
            </w:r>
          </w:p>
        </w:tc>
        <w:tc>
          <w:tcPr>
            <w:tcW w:type="dxa" w:w="44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Low-latency, ephemeral, high-frequency channel for keystroke-level sync; not persisted per-event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Realtime — chat &amp; events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Supabase Realtime Postgres Changes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Chat, comments, and status changes are already DB rows; subscribe to their table changes directly</w:t>
            </w:r>
          </w:p>
        </w:tc>
      </w:tr>
      <w:tr>
        <w:tc>
          <w:tcPr>
            <w:tcW w:type="dxa" w:w="2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34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NextAuth.js</w:t>
            </w:r>
          </w:p>
        </w:tc>
        <w:tc>
          <w:tcPr>
            <w:tcW w:type="dxa" w:w="44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Credentials provider for email/password, session handling, role-aware middleware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Code Execution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Judge0 API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 sandboxed multi-language execution instead of an in-app simulated console</w:t>
            </w:r>
          </w:p>
        </w:tc>
      </w:tr>
      <w:tr>
        <w:tc>
          <w:tcPr>
            <w:tcW w:type="dxa" w:w="2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4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44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Avatars and any exported artifacts (e.g. cached PDF reports)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44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Native Next.js hosting, edge network, environment-based previews</w:t>
            </w:r>
          </w:p>
        </w:tc>
      </w:tr>
      <w:tr>
        <w:tc>
          <w:tcPr>
            <w:tcW w:type="dxa" w:w="2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Styling</w:t>
            </w:r>
          </w:p>
        </w:tc>
        <w:tc>
          <w:tcPr>
            <w:tcW w:type="dxa" w:w="34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4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Utility-first styling with accessible, themeable component primitives</w:t>
            </w:r>
          </w:p>
        </w:tc>
      </w:tr>
    </w:tbl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System Architecture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CodeRelay is a single Next.js application with three logical layers: the App Router UI (server + client components), a set of route handlers acting as a thin backend for anything that must not run in the browser (Judge0 calls, PDF generation, privileged mutations), and Supabase as the combined database, realtime transport, and storage layer.</w:t>
      </w:r>
    </w:p>
    <w:tbl>
      <w:tblPr>
        <w:tblW w:type="pct" w:w="100%"/>
        <w:tblBorders>
          <w:top w:val="single" w:color="2F6690" w:sz="4"/>
          <w:left w:val="single" w:color="2F6690" w:sz="24"/>
          <w:bottom w:val="single" w:color="2F6690" w:sz="4"/>
          <w:right w:val="single" w:color="2F669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690"/>
                <w:sz w:val="18"/>
                <w:szCs w:val="18"/>
              </w:rPr>
              <w:t xml:space="preserve">ARCHITECTURE PRINCIPLE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browser never talks to Judge0 directly, and it never talks to Prisma directly. All privileged operations pass through a Next.js route handler. The browser talks to Supabase directly only for realtime subscriptions and for reads that are already scoped by Row Level Security.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2.1 High-level component diagram (described)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(Interviewer) — Next.js pages under /dashboard/*, Monaco editor instance, chat UI, scoring 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(Candidate) — Next.js pages under /session/[id], same Monaco instance in a stripped-down shell, chat UI, no scoring UI rendered at all (not just hidden — not shipped in the bundle for that role).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Next.js Route Handlers — /api/execute (Judge0 proxy), /api/sessions/* (CRUD + lifecycle transitions), /api/reports/[id]/pdf (report generation), /api/auth/* (NextAuth).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Supabase Postgres — source of truth for users, sessions, problems, code snapshots, run history, chat messages, comments, scores.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Supabase Realtime — Broadcast channel per session for editor + cursor events; Postgres Changes subscriptions on chat_messages, comments, and sessions for lower-frequency updates.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Judge0 — external execution engine, called only from the server.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2.2 Why two different realtime mechanisms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Editor keystrokes are high-frequency and ephemeral — the interviewer doesn't need a permanent row for every keystroke, only the current state of the code and periodic durable snapshots. Broadcast is the right primitive: it's a low-overhead pub/sub channel that doesn't write to the database on every message.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Chat messages, comments, and session status changes, by contrast, are things that should exist as rows regardless of who's currently connected — a message sent while the interviewer briefly disconnects should still arrive. Postgres Changes is the right primitive there: write the row, let Postgres Changes fan it out to subscribed clients.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Realtime Design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3.1 Editor sync channel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Broadcast channel per session: session:{sessionId}:editor.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Events: code:update (debounced 50ms client-side before send), cursor:move, editor:lock, editor:unlock, language:change.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Both clients subscribe on session mount and unsubscribe on unmount / session 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Last-write-wins for code:update — CodeRelay is a 2-person, mostly-alternating-typist context, not a full CRDT-backed collaborative document, so operational-transform complexity is deliberately avoided for v1.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30 seconds, the client with the most recent local change pushes a snapshot to code_snapshots via a route handler, independent of the Broadcast channel, as a durability fallback if the realtime connection drops.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3.2 Chat &amp; event channel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Postgres Changes subscription scoped to chat_messages where session_id = current session, and to comments similarly.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 status changes (Scheduled → Active → Ended) are read via a Postgres Changes subscription on sessions so both clients react immediately when the interviewer starts or ends the call.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3.3 Reconnection behavior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 reconnect, the client re-subscribes and immediately fetches the latest code_snapshots row and the last N chat_messages / comments as a resync, rather than trusting only in-memory Broadcast state.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the two clients' local code diverges from the last snapshot for more than a few seconds without a Broadcast heartbeat, the UI surfaces a non-blocking "reconnecting…" indicator rather than silently showing stale code.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Code Execution Pipeline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4.1 Flow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sends { code, language, stdin } to POST /api/execute.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Route handler validates the payload, maps the internal language identifier to the Judge0 language ID, and calls Judge0's submission endpoint.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Route handler polls (or uses Judge0's callback, if configured) until the submission status is final.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Response — stdout, stderr, execution time, memory, status — is returned to the client and simultaneously written to run_history.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renders the output panel and appends the run to the local run history list without a full refetch.</w:t>
      </w:r>
    </w:p>
    <w:p>
      <w:pPr>
        <w:pBdr>
          <w:top w:val="single" w:color="C9D2DC" w:sz="4"/>
          <w:bottom w:val="single" w:color="C9D2DC" w:sz="4"/>
          <w:left w:val="single" w:color="C9D2DC" w:sz="4"/>
          <w:right w:val="single" w:color="C9D2DC" w:sz="4"/>
        </w:pBdr>
        <w:shd w:fill="F2F5F8" w:val="clear"/>
        <w:spacing w:after="16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POST /api/execute
{
  "sessionId": "sess_9f2a...",
  "code": "console.log('hi')",
  "language": "javascript",
  "stdin": ""
}
→ 200 OK
{
  "runId": "run_88c1...",
  "stdout": "hi\n",
  "stderr": "",
  "status": "Accepted",
  "timeMs": 42,
  "memoryKb": 9100
}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4.2 Why the server proxies Judge0 instead of the browser calling it directly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Keeps the Judge0 API key server-side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Lets the server enforce that a run is always associated with a real, active session before it's logged.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Gives one place to rate-limit or queue runs per session if Judge0 throttles.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4.3 Supported languages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JavaScript, TypeScript, Python, Java, C++, C, Go, Rust — each mapped to a starter-template snippet stored per language and applied whenever a session's language changes or the editor is reset.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Auth &amp; Authorization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NextAuth.js with the Credentials provider — email + hashed password (bcrypt) stored in the users 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Session strategy: JWT, with role embedded in the token so middleware can make routing decisions without a database round trip on every request.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5.2 Authorization model</w:t>
      </w:r>
    </w:p>
    <w:tbl>
      <w:tblPr>
        <w:tblW w:type="dxa" w:w="92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3200"/>
        <w:gridCol w:w="3100"/>
        <w:gridCol w:w="296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 / Action</w:t>
            </w:r>
          </w:p>
        </w:tc>
        <w:tc>
          <w:tcPr>
            <w:tcW w:type="dxa" w:w="31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Interviewer</w:t>
            </w:r>
          </w:p>
        </w:tc>
        <w:tc>
          <w:tcPr>
            <w:tcW w:type="dxa" w:w="29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/dashboard/*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Allowed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Redirected to their session history</w:t>
            </w:r>
          </w:p>
        </w:tc>
      </w:tr>
      <w:tr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POST /api/sessions (create)</w:t>
            </w:r>
          </w:p>
        </w:tc>
        <w:tc>
          <w:tcPr>
            <w:tcW w:type="dxa" w:w="31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Allowed</w:t>
            </w:r>
          </w:p>
        </w:tc>
        <w:tc>
          <w:tcPr>
            <w:tcW w:type="dxa" w:w="29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Denied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POST /api/sessions/[id]/end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Allowed, and only for sessions they own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Denied</w:t>
            </w:r>
          </w:p>
        </w:tc>
      </w:tr>
      <w:tr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GET /api/sessions/[id]/notes</w:t>
            </w:r>
          </w:p>
        </w:tc>
        <w:tc>
          <w:tcPr>
            <w:tcW w:type="dxa" w:w="31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Allowed, own sessions only</w:t>
            </w:r>
          </w:p>
        </w:tc>
        <w:tc>
          <w:tcPr>
            <w:tcW w:type="dxa" w:w="29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Denied — notes are never included in any candidate-reachable response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POST /api/sessions/[id]/score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Allowed, own sessions only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Denied</w:t>
            </w:r>
          </w:p>
        </w:tc>
      </w:tr>
      <w:tr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Join /join/[token]</w:t>
            </w:r>
          </w:p>
        </w:tc>
        <w:tc>
          <w:tcPr>
            <w:tcW w:type="dxa" w:w="31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Allowed if token is valid and unexpired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GET /api/sessions/[id]/report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Allowed, own sessions only</w:t>
            </w:r>
          </w:p>
        </w:tc>
        <w:tc>
          <w:tcPr>
            <w:tcW w:type="dxa" w:w="2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Denied — candidates see final code only, via a separate read-scoped endpoint</w:t>
            </w:r>
          </w:p>
        </w:tc>
      </w:tr>
    </w:tbl>
    <w:tbl>
      <w:tblPr>
        <w:tblW w:type="pct" w:w="100%"/>
        <w:tblBorders>
          <w:top w:val="single" w:color="2F6690" w:sz="4"/>
          <w:left w:val="single" w:color="2F6690" w:sz="24"/>
          <w:bottom w:val="single" w:color="2F6690" w:sz="4"/>
          <w:right w:val="single" w:color="2F669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690"/>
                <w:sz w:val="18"/>
                <w:szCs w:val="18"/>
              </w:rPr>
              <w:t xml:space="preserve">SECURITY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Interviewer notes and scores are never sent to the candidate client in any API response, including the session's general GET endpoint. This is enforced at the query/serialization layer, not hidden with client-side conditional rendering, since the latter can be bypassed by reading the network response directly.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5.3 Row Level Security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Supabase RLS policies mirror the API-level rules as defense in depth, in case a client ever queries Supabase directly for a realtime subscription: a candidate's Postgres Changes subscription on a session's chat/comments is scoped by session_id and requires their user_id to match a participant on that session.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Session Lifecycle (state machine)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session moves through exactly three states. Transitions are one-directional — there is no path back from Ended to Active, which keeps the report-generation and link-invalidation logic simple.</w:t>
      </w:r>
    </w:p>
    <w:tbl>
      <w:tblPr>
        <w:tblW w:type="dxa" w:w="92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700"/>
        <w:gridCol w:w="2600"/>
        <w:gridCol w:w="3200"/>
        <w:gridCol w:w="176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Entered when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What's allowed</w:t>
            </w:r>
          </w:p>
        </w:tc>
        <w:tc>
          <w:tcPr>
            <w:tcW w:type="dxa" w:w="17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Scheduled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creates the session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can edit problem/language/time; candidate link exists but editor is inert</w:t>
            </w:r>
          </w:p>
        </w:tc>
        <w:tc>
          <w:tcPr>
            <w:tcW w:type="dxa" w:w="1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clicks Start</w:t>
            </w:r>
          </w:p>
        </w:tc>
      </w:tr>
      <w:tr>
        <w:tc>
          <w:tcPr>
            <w:tcW w:type="dxa" w:w="17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Active</w:t>
            </w:r>
          </w:p>
        </w:tc>
        <w:tc>
          <w:tcPr>
            <w:tcW w:type="dxa" w:w="2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clicks Start</w:t>
            </w:r>
          </w:p>
        </w:tc>
        <w:tc>
          <w:tcPr>
            <w:tcW w:type="dxa" w:w="32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Full editor, execution, chat, comments, notes</w:t>
            </w:r>
          </w:p>
        </w:tc>
        <w:tc>
          <w:tcPr>
            <w:tcW w:type="dxa" w:w="17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clicks End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Ended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Interviewer clicks End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Read-only code + report generation; join link invalidated</w:t>
            </w:r>
          </w:p>
        </w:tc>
        <w:tc>
          <w:tcPr>
            <w:tcW w:type="dxa" w:w="1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Terminal state</w:t>
            </w:r>
          </w:p>
        </w:tc>
      </w:tr>
    </w:tbl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Report Generation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Triggered synchronously when a session transitions to Ended.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Route handler assembles: candidate/session metadata, final code_snapshots row, full run_history, all comments, and the score row into a single report payload, persisted so the PDF can be regenerated on demand rather than only once.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PDF rendering happens server-side (route handler), not in the browser, so the download works identically regardless of client device.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report record and its PDF remain accessible from the dashboard indefinitely — there is no automatic expiry in v1.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8. Non-Functional Requirements</w:t>
      </w:r>
    </w:p>
    <w:tbl>
      <w:tblPr>
        <w:tblW w:type="dxa" w:w="94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686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Latency</w:t>
            </w:r>
          </w:p>
        </w:tc>
        <w:tc>
          <w:tcPr>
            <w:tcW w:type="dxa" w:w="6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Editor keystroke propagation to the second client should feel instantaneous under normal typing (target: under ~150ms end-to-end on a typical broadband connection)</w:t>
            </w:r>
          </w:p>
        </w:tc>
      </w:tr>
      <w:tr>
        <w:tc>
          <w:tcPr>
            <w:tcW w:type="dxa" w:w="2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Durability</w:t>
            </w:r>
          </w:p>
        </w:tc>
        <w:tc>
          <w:tcPr>
            <w:tcW w:type="dxa" w:w="68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 more than 30 seconds of code changes should be unrecoverable after an ungraceful disconnect, per the snapshot interval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Availability of execution</w:t>
            </w:r>
          </w:p>
        </w:tc>
        <w:tc>
          <w:tcPr>
            <w:tcW w:type="dxa" w:w="6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Judge0 failure must degrade gracefully — a clear error state, not a silent hang or a crashed editor</w:t>
            </w:r>
          </w:p>
        </w:tc>
      </w:tr>
      <w:tr>
        <w:tc>
          <w:tcPr>
            <w:tcW w:type="dxa" w:w="2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68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candidate must never be able to read another session's code, chat, notes, or score, even by guessing IDs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Every code run and every score submission is timestamped and attributed to a user</w:t>
            </w:r>
          </w:p>
        </w:tc>
      </w:tr>
      <w:tr>
        <w:tc>
          <w:tcPr>
            <w:tcW w:type="dxa" w:w="2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8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stack should be self-hostable without code changes beyond environment variables (Supabase project, Judge0 endpoint, NextAuth secret)</w:t>
            </w:r>
          </w:p>
        </w:tc>
      </w:tr>
    </w:tbl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9. Environment &amp; Configuration</w:t>
      </w:r>
    </w:p>
    <w:p>
      <w:pPr>
        <w:pBdr>
          <w:top w:val="single" w:color="C9D2DC" w:sz="4"/>
          <w:bottom w:val="single" w:color="C9D2DC" w:sz="4"/>
          <w:left w:val="single" w:color="C9D2DC" w:sz="4"/>
          <w:right w:val="single" w:color="C9D2DC" w:sz="4"/>
        </w:pBdr>
        <w:shd w:fill="F2F5F8" w:val="clear"/>
        <w:spacing w:after="16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# .env (illustrative — see Implementation Plan for setup order)
DATABASE_URL=postgresql://...            # Supabase connection string (via Prisma)
DIRECT_URL=postgresql://...              # Supabase direct connection, for Prisma migrations
NEXT_PUBLIC_SUPABASE_URL=...
NEXT_PUBLIC_SUPABASE_ANON_KEY=...
SUPABASE_SERVICE_ROLE_KEY=...            # server-only, never exposed to the client
NEXTAUTH_URL=...
NEXTAUTH_SECRET=...
JUDGE0_API_URL=...
JUDGE0_API_KEY=...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10. Out of Scope (technical)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Operational-transform / CRDT-based conflict resolution for the editor — last-write-wins is an explicit, documented tradeoff for a 2-party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WebRTC signaling infrastructure — no video/audio in v1.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queue/worker system for Judge0 calls — direct synchronous proxy calls are sufficient at expected volume (one interview at a time, one run at a time per session).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tabs>
        <w:tab w:val="right" w:pos="9026"/>
      </w:tabs>
    </w:pPr>
    <w:r>
      <w:rPr>
        <w:rFonts w:ascii="Calibri" w:cs="Calibri" w:eastAsia="Calibri" w:hAnsi="Calibri"/>
        <w:color w:val="5A5A5A"/>
        <w:sz w:val="16"/>
        <w:szCs w:val="16"/>
      </w:rPr>
      <w:t xml:space="preserve">CodeRelay</w:t>
    </w:r>
    <w:r>
      <w:rPr>
        <w:rFonts w:ascii="Calibri" w:cs="Calibri" w:eastAsia="Calibri" w:hAnsi="Calibri"/>
        <w:color w:val="5A5A5A"/>
        <w:sz w:val="16"/>
        <w:szCs w:val="16"/>
      </w:rPr>
      <w:t xml:space="preserve">	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CodeRelay — Technical Requirements Document</dc:title>
  <dc:creator>Diva Pandey</dc:creator>
  <dc:description>CodeRelay project documentation</dc:description>
  <cp:lastModifiedBy>Un-named</cp:lastModifiedBy>
  <cp:revision>1</cp:revision>
  <dcterms:created xsi:type="dcterms:W3CDTF">2026-07-02T14:04:41.126Z</dcterms:created>
  <dcterms:modified xsi:type="dcterms:W3CDTF">2026-07-02T14:04:41.126Z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