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REQUISITION MR-4471</w:t>
      </w:r>
    </w:p>
    <w:p>
      <w:r>
        <w:t>4.2.7 H2S tolerance shall be at least 50 ppm.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Rated output shall be at least 1500</w:t>
            </w:r>
          </w:p>
        </w:tc>
        <w:tc>
          <w:tcPr>
            <w:tcW w:type="dxa" w:w="2880"/>
          </w:tcPr>
          <w:p>
            <w:r>
              <w:t>kVA</w:t>
            </w:r>
          </w:p>
        </w:tc>
      </w:tr>
      <w:tr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Ambient design temperature shall not exceed 50</w:t>
            </w:r>
          </w:p>
        </w:tc>
        <w:tc>
          <w:tcPr>
            <w:tcW w:type="dxa" w:w="2880"/>
          </w:tcPr>
          <w:p>
            <w:r>
              <w:t>degC</w:t>
            </w:r>
          </w:p>
        </w:tc>
      </w:tr>
    </w:tbl>
    <w:p>
      <w:r>
        <w:t>End of requisition.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