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NLQ产品V2.1七层架构技术实现详设文件</w:t>
        <w:br/>
        <w:t>（完整落地版·多任务DAG·分级分权）</w:t>
      </w:r>
    </w:p>
    <w:p>
      <w:pPr>
        <w:jc w:val="center"/>
      </w:pPr>
      <w:r>
        <w:rPr>
          <w:b/>
        </w:rPr>
        <w:t>AskData 产品 V2.1｜单域多任务问数版本</w:t>
      </w:r>
    </w:p>
    <w:p>
      <w:pPr>
        <w:jc w:val="center"/>
      </w:pPr>
      <w:r>
        <w:t>版本：V1.0　编制日期：2026年8月14日　状态：规划/设计基线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适用版本</w:t>
            </w:r>
          </w:p>
        </w:tc>
        <w:tc>
          <w:tcPr>
            <w:tcW w:type="dxa" w:w="4929"/>
            <w:vAlign w:val="center"/>
          </w:tcPr>
          <w:p>
            <w:r>
              <w:t>AskData V2.1 Demo、POC、Product；客户交付版按客户映射后复用</w:t>
            </w:r>
          </w:p>
        </w:tc>
      </w:tr>
      <w:tr>
        <w:tc>
          <w:tcPr>
            <w:tcW w:type="dxa" w:w="4929"/>
            <w:vAlign w:val="center"/>
          </w:tcPr>
          <w:p>
            <w:r>
              <w:t>架构范围</w:t>
            </w:r>
          </w:p>
        </w:tc>
        <w:tc>
          <w:tcPr>
            <w:tcW w:type="dxa" w:w="4929"/>
            <w:vAlign w:val="center"/>
          </w:tcPr>
          <w:p>
            <w:r>
              <w:t>单业务域；不含多域识别、跨域授权和跨域编排</w:t>
            </w:r>
          </w:p>
        </w:tc>
      </w:tr>
      <w:tr>
        <w:tc>
          <w:tcPr>
            <w:tcW w:type="dxa" w:w="4929"/>
            <w:vAlign w:val="center"/>
          </w:tcPr>
          <w:p>
            <w:r>
              <w:t>参考材料</w:t>
            </w:r>
          </w:p>
        </w:tc>
        <w:tc>
          <w:tcPr>
            <w:tcW w:type="dxa" w:w="4929"/>
            <w:vAlign w:val="center"/>
          </w:tcPr>
          <w:p>
            <w:r>
              <w:t>现有多角色权限八场景、七层双场景输入输出案例、七层技术详设、权限全场景演示文档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核心铁律</w:t>
            </w:r>
          </w:p>
        </w:tc>
        <w:tc>
          <w:tcPr>
            <w:tcW w:type="dxa" w:w="4929"/>
            <w:vAlign w:val="center"/>
          </w:tcPr>
          <w:p>
            <w:r>
              <w:t>L1—L6产生和治理事实；L7只解释成功事实。权限、安全、计划状态和完整性由确定性代码裁决</w:t>
            </w:r>
          </w:p>
        </w:tc>
      </w:tr>
    </w:tbl>
    <w:p/>
    <w:p>
      <w:pPr>
        <w:pStyle w:val="Heading1"/>
      </w:pPr>
      <w:r>
        <w:t>目录（打开 Word 后更新域）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一、建设范围与非目标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建设目标</w:t>
            </w:r>
          </w:p>
        </w:tc>
        <w:tc>
          <w:tcPr>
            <w:tcW w:type="dxa" w:w="4929"/>
            <w:vAlign w:val="center"/>
          </w:tcPr>
          <w:p>
            <w:r>
              <w:t>在V2.0可信问数底座上实现综合问题理解、任务拆解、计划预览、DAG串并行、重试、取消、部分成功和证据化回答</w:t>
            </w:r>
          </w:p>
        </w:tc>
      </w:tr>
      <w:tr>
        <w:tc>
          <w:tcPr>
            <w:tcW w:type="dxa" w:w="4929"/>
            <w:vAlign w:val="center"/>
          </w:tcPr>
          <w:p>
            <w:r>
              <w:t>复用底座</w:t>
            </w:r>
          </w:p>
        </w:tc>
        <w:tc>
          <w:tcPr>
            <w:tcW w:type="dxa" w:w="4929"/>
            <w:vAlign w:val="center"/>
          </w:tcPr>
          <w:p>
            <w:r>
              <w:t>身份权限、配置发布、资产管理、AST SQL安全、运行事实、SSE、审计、准入、备份恢复</w:t>
            </w:r>
          </w:p>
        </w:tc>
      </w:tr>
      <w:tr>
        <w:tc>
          <w:tcPr>
            <w:tcW w:type="dxa" w:w="4929"/>
            <w:vAlign w:val="center"/>
          </w:tcPr>
          <w:p>
            <w:r>
              <w:t>非目标</w:t>
            </w:r>
          </w:p>
        </w:tc>
        <w:tc>
          <w:tcPr>
            <w:tcW w:type="dxa" w:w="4929"/>
            <w:vAlign w:val="center"/>
          </w:tcPr>
          <w:p>
            <w:r>
              <w:t>多域识别、跨域授权、跨域编排、开放式通用智能体、高风险写操作</w:t>
            </w:r>
          </w:p>
        </w:tc>
      </w:tr>
      <w:tr>
        <w:tc>
          <w:tcPr>
            <w:tcW w:type="dxa" w:w="4929"/>
            <w:vAlign w:val="center"/>
          </w:tcPr>
          <w:p>
            <w:r>
              <w:t>质量原则</w:t>
            </w:r>
          </w:p>
        </w:tc>
        <w:tc>
          <w:tcPr>
            <w:tcW w:type="dxa" w:w="4929"/>
            <w:vAlign w:val="center"/>
          </w:tcPr>
          <w:p>
            <w:r>
              <w:t>确定性代码裁决；不可变快照；事实与解释分离；关键失败显式披露；版本化可回放</w:t>
            </w:r>
          </w:p>
        </w:tc>
      </w:tr>
    </w:tbl>
    <w:p/>
    <w:p>
      <w:pPr>
        <w:pStyle w:val="Heading1"/>
      </w:pPr>
      <w:r>
        <w:t>二、总体组件架构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前端对话/任务中心 → Java控制面(API、身份权限、计划版本、调度主记录、审计) → Python七层执行面(L2/L7受控模型、L3规划候选、L5查询计划、L6执行) → 单域数据库/Provider</w:t>
        <w:br/>
        <w:t xml:space="preserve">　　　　　　↘ SSE事件流 / 指标告警 / 运行事实库 / 配置与资产库</w:t>
      </w:r>
    </w:p>
    <w:p>
      <w:pPr>
        <w:pStyle w:val="Heading1"/>
      </w:pPr>
      <w:r>
        <w:t>三、核心领域对象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关键字段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TaskRequest</w:t>
            </w:r>
          </w:p>
        </w:tc>
        <w:tc>
          <w:tcPr>
            <w:tcW w:type="dxa" w:w="3286"/>
            <w:vAlign w:val="center"/>
          </w:tcPr>
          <w:p>
            <w:r>
              <w:t>requestId, sessionId, actor, question, command</w:t>
            </w:r>
          </w:p>
        </w:tc>
        <w:tc>
          <w:tcPr>
            <w:tcW w:type="dxa" w:w="3286"/>
            <w:vAlign w:val="center"/>
          </w:tcPr>
          <w:p>
            <w:r>
              <w:t>用户请求与控制命令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TaskPlan</w:t>
            </w:r>
          </w:p>
        </w:tc>
        <w:tc>
          <w:tcPr>
            <w:tcW w:type="dxa" w:w="3286"/>
            <w:vAlign w:val="center"/>
          </w:tcPr>
          <w:p>
            <w:r>
              <w:t>planId, planVersion, status, completenessPolicy</w:t>
            </w:r>
          </w:p>
        </w:tc>
        <w:tc>
          <w:tcPr>
            <w:tcW w:type="dxa" w:w="3286"/>
            <w:vAlign w:val="center"/>
          </w:tcPr>
          <w:p>
            <w:r>
              <w:t>版本化语义计划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TaskNode</w:t>
            </w:r>
          </w:p>
        </w:tc>
        <w:tc>
          <w:tcPr>
            <w:tcW w:type="dxa" w:w="3286"/>
            <w:vAlign w:val="center"/>
          </w:tcPr>
          <w:p>
            <w:r>
              <w:t>taskId, type, dependsOn, critical, inputRefs, retryPolicy</w:t>
            </w:r>
          </w:p>
        </w:tc>
        <w:tc>
          <w:tcPr>
            <w:tcW w:type="dxa" w:w="3286"/>
            <w:vAlign w:val="center"/>
          </w:tcPr>
          <w:p>
            <w:r>
              <w:t>最小可调度节点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TaskAttempt</w:t>
            </w:r>
          </w:p>
        </w:tc>
        <w:tc>
          <w:tcPr>
            <w:tcW w:type="dxa" w:w="3286"/>
            <w:vAlign w:val="center"/>
          </w:tcPr>
          <w:p>
            <w:r>
              <w:t>attemptNo, status, startedAt, endedAt, errorCode</w:t>
            </w:r>
          </w:p>
        </w:tc>
        <w:tc>
          <w:tcPr>
            <w:tcW w:type="dxa" w:w="3286"/>
            <w:vAlign w:val="center"/>
          </w:tcPr>
          <w:p>
            <w:r>
              <w:t>一次执行尝试</w:t>
            </w:r>
          </w:p>
        </w:tc>
      </w:tr>
      <w:tr>
        <w:tc>
          <w:tcPr>
            <w:tcW w:type="dxa" w:w="3286"/>
            <w:vAlign w:val="center"/>
          </w:tcPr>
          <w:p>
            <w:r>
              <w:t>ExecutionFact</w:t>
            </w:r>
          </w:p>
        </w:tc>
        <w:tc>
          <w:tcPr>
            <w:tcW w:type="dxa" w:w="3286"/>
            <w:vAlign w:val="center"/>
          </w:tcPr>
          <w:p>
            <w:r>
              <w:t>factId, taskId, datasetHash, rows, dataAsOf</w:t>
            </w:r>
          </w:p>
        </w:tc>
        <w:tc>
          <w:tcPr>
            <w:tcW w:type="dxa" w:w="3286"/>
            <w:vAlign w:val="center"/>
          </w:tcPr>
          <w:p>
            <w:r>
              <w:t>不可变成功事实</w:t>
            </w:r>
          </w:p>
        </w:tc>
      </w:tr>
      <w:tr>
        <w:tc>
          <w:tcPr>
            <w:tcW w:type="dxa" w:w="3286"/>
            <w:vAlign w:val="center"/>
          </w:tcPr>
          <w:p>
            <w:r>
              <w:t>EvidenceAnswer</w:t>
            </w:r>
          </w:p>
        </w:tc>
        <w:tc>
          <w:tcPr>
            <w:tcW w:type="dxa" w:w="3286"/>
            <w:vAlign w:val="center"/>
          </w:tcPr>
          <w:p>
            <w:r>
              <w:t>answerId, status, claims, evidenceRefs, unverifiedItems</w:t>
            </w:r>
          </w:p>
        </w:tc>
        <w:tc>
          <w:tcPr>
            <w:tcW w:type="dxa" w:w="3286"/>
            <w:vAlign w:val="center"/>
          </w:tcPr>
          <w:p>
            <w:r>
              <w:t>证据化回答</w:t>
            </w:r>
          </w:p>
        </w:tc>
      </w:tr>
      <w:tr>
        <w:tc>
          <w:tcPr>
            <w:tcW w:type="dxa" w:w="3286"/>
            <w:vAlign w:val="center"/>
          </w:tcPr>
          <w:p>
            <w:r>
              <w:t>PermissionSnapshot</w:t>
            </w:r>
          </w:p>
        </w:tc>
        <w:tc>
          <w:tcPr>
            <w:tcW w:type="dxa" w:w="3286"/>
            <w:vAlign w:val="center"/>
          </w:tcPr>
          <w:p>
            <w:r>
              <w:t>subject, orgScope, metricScope, assetScope, version</w:t>
            </w:r>
          </w:p>
        </w:tc>
        <w:tc>
          <w:tcPr>
            <w:tcW w:type="dxa" w:w="3286"/>
            <w:vAlign w:val="center"/>
          </w:tcPr>
          <w:p>
            <w:r>
              <w:t>请求期间不可变授权事实</w:t>
            </w:r>
          </w:p>
        </w:tc>
      </w:tr>
    </w:tbl>
    <w:p/>
    <w:p>
      <w:pPr>
        <w:pStyle w:val="Heading1"/>
      </w:pPr>
      <w:r>
        <w:t>四、数据模型建议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b/>
              </w:rPr>
              <w:t>表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主键/核心字段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约束与索引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task_plans</w:t>
            </w:r>
          </w:p>
        </w:tc>
        <w:tc>
          <w:tcPr>
            <w:tcW w:type="dxa" w:w="3286"/>
            <w:vAlign w:val="center"/>
          </w:tcPr>
          <w:p>
            <w:r>
              <w:t>plan_id, request_id, plan_version, status, plan_json, permission_snapshot_id</w:t>
            </w:r>
          </w:p>
        </w:tc>
        <w:tc>
          <w:tcPr>
            <w:tcW w:type="dxa" w:w="3286"/>
            <w:vAlign w:val="center"/>
          </w:tcPr>
          <w:p>
            <w:r>
              <w:t>UNIQUE(request_id,plan_version)；已确认版本不可覆盖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task_nodes</w:t>
            </w:r>
          </w:p>
        </w:tc>
        <w:tc>
          <w:tcPr>
            <w:tcW w:type="dxa" w:w="3286"/>
            <w:vAlign w:val="center"/>
          </w:tcPr>
          <w:p>
            <w:r>
              <w:t>task_id, plan_id, node_type, critical, status, input_json</w:t>
            </w:r>
          </w:p>
        </w:tc>
        <w:tc>
          <w:tcPr>
            <w:tcW w:type="dxa" w:w="3286"/>
            <w:vAlign w:val="center"/>
          </w:tcPr>
          <w:p>
            <w:r>
              <w:t>INDEX(plan_id,status)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task_dependencies</w:t>
            </w:r>
          </w:p>
        </w:tc>
        <w:tc>
          <w:tcPr>
            <w:tcW w:type="dxa" w:w="3286"/>
            <w:vAlign w:val="center"/>
          </w:tcPr>
          <w:p>
            <w:r>
              <w:t>plan_id, upstream_task_id, downstream_task_id</w:t>
            </w:r>
          </w:p>
        </w:tc>
        <w:tc>
          <w:tcPr>
            <w:tcW w:type="dxa" w:w="3286"/>
            <w:vAlign w:val="center"/>
          </w:tcPr>
          <w:p>
            <w:r>
              <w:t>复合主键；发布前无环校验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task_attempts</w:t>
            </w:r>
          </w:p>
        </w:tc>
        <w:tc>
          <w:tcPr>
            <w:tcW w:type="dxa" w:w="3286"/>
            <w:vAlign w:val="center"/>
          </w:tcPr>
          <w:p>
            <w:r>
              <w:t>attempt_id, task_id, attempt_no, status, error_code</w:t>
            </w:r>
          </w:p>
        </w:tc>
        <w:tc>
          <w:tcPr>
            <w:tcW w:type="dxa" w:w="3286"/>
            <w:vAlign w:val="center"/>
          </w:tcPr>
          <w:p>
            <w:r>
              <w:t>UNIQUE(task_id,attempt_no)</w:t>
            </w:r>
          </w:p>
        </w:tc>
      </w:tr>
      <w:tr>
        <w:tc>
          <w:tcPr>
            <w:tcW w:type="dxa" w:w="3286"/>
            <w:vAlign w:val="center"/>
          </w:tcPr>
          <w:p>
            <w:r>
              <w:t>execution_facts</w:t>
            </w:r>
          </w:p>
        </w:tc>
        <w:tc>
          <w:tcPr>
            <w:tcW w:type="dxa" w:w="3286"/>
            <w:vAlign w:val="center"/>
          </w:tcPr>
          <w:p>
            <w:r>
              <w:t>fact_id, task_id, attempt_id, dataset_hash, payload_ref, data_as_of</w:t>
            </w:r>
          </w:p>
        </w:tc>
        <w:tc>
          <w:tcPr>
            <w:tcW w:type="dxa" w:w="3286"/>
            <w:vAlign w:val="center"/>
          </w:tcPr>
          <w:p>
            <w:r>
              <w:t>仅成功attempt写入；不可变</w:t>
            </w:r>
          </w:p>
        </w:tc>
      </w:tr>
      <w:tr>
        <w:tc>
          <w:tcPr>
            <w:tcW w:type="dxa" w:w="3286"/>
            <w:vAlign w:val="center"/>
          </w:tcPr>
          <w:p>
            <w:r>
              <w:t>task_events</w:t>
            </w:r>
          </w:p>
        </w:tc>
        <w:tc>
          <w:tcPr>
            <w:tcW w:type="dxa" w:w="3286"/>
            <w:vAlign w:val="center"/>
          </w:tcPr>
          <w:p>
            <w:r>
              <w:t>event_id, request_id, task_id, sequence_no, event_type, payload</w:t>
            </w:r>
          </w:p>
        </w:tc>
        <w:tc>
          <w:tcPr>
            <w:tcW w:type="dxa" w:w="3286"/>
            <w:vAlign w:val="center"/>
          </w:tcPr>
          <w:p>
            <w:r>
              <w:t>UNIQUE(request_id,sequence_no)，支持SSE续传</w:t>
            </w:r>
          </w:p>
        </w:tc>
      </w:tr>
      <w:tr>
        <w:tc>
          <w:tcPr>
            <w:tcW w:type="dxa" w:w="3286"/>
            <w:vAlign w:val="center"/>
          </w:tcPr>
          <w:p>
            <w:r>
              <w:t>answer_evidence</w:t>
            </w:r>
          </w:p>
        </w:tc>
        <w:tc>
          <w:tcPr>
            <w:tcW w:type="dxa" w:w="3286"/>
            <w:vAlign w:val="center"/>
          </w:tcPr>
          <w:p>
            <w:r>
              <w:t>answer_id, claim_id, fact_id</w:t>
            </w:r>
          </w:p>
        </w:tc>
        <w:tc>
          <w:tcPr>
            <w:tcW w:type="dxa" w:w="3286"/>
            <w:vAlign w:val="center"/>
          </w:tcPr>
          <w:p>
            <w:r>
              <w:t>所有关键结论至少关联一个fact</w:t>
            </w:r>
          </w:p>
        </w:tc>
      </w:tr>
    </w:tbl>
    <w:p/>
    <w:p>
      <w:pPr>
        <w:pStyle w:val="Heading1"/>
      </w:pPr>
      <w:r>
        <w:t>五、七层逐层技术详设</w:t>
      </w:r>
    </w:p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设计项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详细说明</w:t>
            </w:r>
          </w:p>
        </w:tc>
      </w:tr>
      <w:tr>
        <w:tc>
          <w:tcPr>
            <w:tcW w:type="dxa" w:w="4929"/>
            <w:vAlign w:val="center"/>
          </w:tcPr>
          <w:p>
            <w:r>
              <w:t>职责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技术组件</w:t>
            </w:r>
          </w:p>
        </w:tc>
        <w:tc>
          <w:tcPr>
            <w:tcW w:type="dxa" w:w="4929"/>
            <w:vAlign w:val="center"/>
          </w:tcPr>
          <w:p>
            <w:r>
              <w:t>Vue任务计划卡、节点时间线、取消/重试按钮；Java REST+SSE入口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核心实现</w:t>
            </w:r>
          </w:p>
        </w:tc>
        <w:tc>
          <w:tcPr>
            <w:tcW w:type="dxa" w:w="4929"/>
            <w:vAlign w:val="center"/>
          </w:tcPr>
          <w:p>
            <w:r>
              <w:t>校验命令与终态；生成幂等键；绑定会话、配置和权限快照</w:t>
            </w:r>
          </w:p>
        </w:tc>
      </w:tr>
      <w:tr>
        <w:tc>
          <w:tcPr>
            <w:tcW w:type="dxa" w:w="4929"/>
            <w:vAlign w:val="center"/>
          </w:tcPr>
          <w:p>
            <w:r>
              <w:t>接口/状态</w:t>
            </w:r>
          </w:p>
        </w:tc>
        <w:tc>
          <w:tcPr>
            <w:tcW w:type="dxa" w:w="4929"/>
            <w:vAlign w:val="center"/>
          </w:tcPr>
          <w:p>
            <w:r>
              <w:t>POST /api/v2.1/requests；GET /events；POST /cancel；POST /tasks/{id}/retry</w:t>
            </w:r>
          </w:p>
        </w:tc>
      </w:tr>
      <w:tr>
        <w:tc>
          <w:tcPr>
            <w:tcW w:type="dxa" w:w="4929"/>
            <w:vAlign w:val="center"/>
          </w:tcPr>
          <w:p>
            <w:r>
              <w:t>安全边界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</w:tbl>
    <w:p/>
    <w:p>
      <w:pPr>
        <w:pStyle w:val="Heading3"/>
      </w:pPr>
      <w:r>
        <w:t>处理流程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接收→认证→加载会话/配置/权限快照→幂等检查→创建Request→发布received事件→进入L2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设计项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详细说明</w:t>
            </w:r>
          </w:p>
        </w:tc>
      </w:tr>
      <w:tr>
        <w:tc>
          <w:tcPr>
            <w:tcW w:type="dxa" w:w="4929"/>
            <w:vAlign w:val="center"/>
          </w:tcPr>
          <w:p>
            <w:r>
              <w:t>职责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技术组件</w:t>
            </w:r>
          </w:p>
        </w:tc>
        <w:tc>
          <w:tcPr>
            <w:tcW w:type="dxa" w:w="4929"/>
            <w:vAlign w:val="center"/>
          </w:tcPr>
          <w:p>
            <w:r>
              <w:t>Python受控LLM抽取+Java规则校验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核心实现</w:t>
            </w:r>
          </w:p>
        </w:tc>
        <w:tc>
          <w:tcPr>
            <w:tcW w:type="dxa" w:w="4929"/>
            <w:vAlign w:val="center"/>
          </w:tcPr>
          <w:p>
            <w:r>
              <w:t>JSON Schema约束模型输出；字典精准映射；缺参澄清；指标/机构/资产权限预检</w:t>
            </w:r>
          </w:p>
        </w:tc>
      </w:tr>
      <w:tr>
        <w:tc>
          <w:tcPr>
            <w:tcW w:type="dxa" w:w="4929"/>
            <w:vAlign w:val="center"/>
          </w:tcPr>
          <w:p>
            <w:r>
              <w:t>接口/状态</w:t>
            </w:r>
          </w:p>
        </w:tc>
        <w:tc>
          <w:tcPr>
            <w:tcW w:type="dxa" w:w="4929"/>
            <w:vAlign w:val="center"/>
          </w:tcPr>
          <w:p>
            <w:r>
              <w:t>UnderstandingResult包含候选目标、实体、上下文来源和permissionDecision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安全边界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</w:tbl>
    <w:p/>
    <w:p>
      <w:pPr>
        <w:pStyle w:val="Heading3"/>
      </w:pPr>
      <w:r>
        <w:t>处理流程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抽取候选→上下文补全→字典映射→必填校验→权限预检→澄清/拒绝/进入L3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设计项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详细说明</w:t>
            </w:r>
          </w:p>
        </w:tc>
      </w:tr>
      <w:tr>
        <w:tc>
          <w:tcPr>
            <w:tcW w:type="dxa" w:w="4929"/>
            <w:vAlign w:val="center"/>
          </w:tcPr>
          <w:p>
            <w:r>
              <w:t>职责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技术组件</w:t>
            </w:r>
          </w:p>
        </w:tc>
        <w:tc>
          <w:tcPr>
            <w:tcW w:type="dxa" w:w="4929"/>
            <w:vAlign w:val="center"/>
          </w:tcPr>
          <w:p>
            <w:r>
              <w:t>语义规划器+能力注册表+DAG草案生成器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核心实现</w:t>
            </w:r>
          </w:p>
        </w:tc>
        <w:tc>
          <w:tcPr>
            <w:tcW w:type="dxa" w:w="4929"/>
            <w:vAlign w:val="center"/>
          </w:tcPr>
          <w:p>
            <w:r>
              <w:t>将分析目标拆成只读任务；标记关键性；生成依赖；计算完整性策略；规则复核模型候选</w:t>
            </w:r>
          </w:p>
        </w:tc>
      </w:tr>
      <w:tr>
        <w:tc>
          <w:tcPr>
            <w:tcW w:type="dxa" w:w="4929"/>
            <w:vAlign w:val="center"/>
          </w:tcPr>
          <w:p>
            <w:r>
              <w:t>接口/状态</w:t>
            </w:r>
          </w:p>
        </w:tc>
        <w:tc>
          <w:tcPr>
            <w:tcW w:type="dxa" w:w="4929"/>
            <w:vAlign w:val="center"/>
          </w:tcPr>
          <w:p>
            <w:r>
              <w:t>计划状态DRAFT→VALIDATED→WAITING_CONFIRMATION/CONFIRMED</w:t>
            </w:r>
          </w:p>
        </w:tc>
      </w:tr>
      <w:tr>
        <w:tc>
          <w:tcPr>
            <w:tcW w:type="dxa" w:w="4929"/>
            <w:vAlign w:val="center"/>
          </w:tcPr>
          <w:p>
            <w:r>
              <w:t>安全边界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</w:tbl>
    <w:p/>
    <w:p>
      <w:pPr>
        <w:pStyle w:val="Heading3"/>
      </w:pPr>
      <w:r>
        <w:t>处理流程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目标归一→能力匹配→拆分节点→定义依赖与关键性→完整性校验→生成Plan vN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设计项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详细说明</w:t>
            </w:r>
          </w:p>
        </w:tc>
      </w:tr>
      <w:tr>
        <w:tc>
          <w:tcPr>
            <w:tcW w:type="dxa" w:w="4929"/>
            <w:vAlign w:val="center"/>
          </w:tcPr>
          <w:p>
            <w:r>
              <w:t>职责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技术组件</w:t>
            </w:r>
          </w:p>
        </w:tc>
        <w:tc>
          <w:tcPr>
            <w:tcW w:type="dxa" w:w="4929"/>
            <w:vAlign w:val="center"/>
          </w:tcPr>
          <w:p>
            <w:r>
              <w:t>资产目录、指标字典、Schema注册表、权限决策服务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核心实现</w:t>
            </w:r>
          </w:p>
        </w:tc>
        <w:tc>
          <w:tcPr>
            <w:tcW w:type="dxa" w:w="4929"/>
            <w:vAlign w:val="center"/>
          </w:tcPr>
          <w:p>
            <w:r>
              <w:t>逐节点绑定发布资产；冻结assetVersion；无权限资产FILTER或DENY；全部字段白名单</w:t>
            </w:r>
          </w:p>
        </w:tc>
      </w:tr>
      <w:tr>
        <w:tc>
          <w:tcPr>
            <w:tcW w:type="dxa" w:w="4929"/>
            <w:vAlign w:val="center"/>
          </w:tcPr>
          <w:p>
            <w:r>
              <w:t>接口/状态</w:t>
            </w:r>
          </w:p>
        </w:tc>
        <w:tc>
          <w:tcPr>
            <w:tcW w:type="dxa" w:w="4929"/>
            <w:vAlign w:val="center"/>
          </w:tcPr>
          <w:p>
            <w:r>
              <w:t>AssetBindingSet包含taskId、数据源、表字段、口径、数据时效和权限证据</w:t>
            </w:r>
          </w:p>
        </w:tc>
      </w:tr>
      <w:tr>
        <w:tc>
          <w:tcPr>
            <w:tcW w:type="dxa" w:w="4929"/>
            <w:vAlign w:val="center"/>
          </w:tcPr>
          <w:p>
            <w:r>
              <w:t>安全边界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</w:tbl>
    <w:p/>
    <w:p>
      <w:pPr>
        <w:pStyle w:val="Heading3"/>
      </w:pPr>
      <w:r>
        <w:t>处理流程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逐节点检索资产→权限过滤→口径/时效校验→冻结资产版本→形成绑定集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设计项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详细说明</w:t>
            </w:r>
          </w:p>
        </w:tc>
      </w:tr>
      <w:tr>
        <w:tc>
          <w:tcPr>
            <w:tcW w:type="dxa" w:w="4929"/>
            <w:vAlign w:val="center"/>
          </w:tcPr>
          <w:p>
            <w:r>
              <w:t>职责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技术组件</w:t>
            </w:r>
          </w:p>
        </w:tc>
        <w:tc>
          <w:tcPr>
            <w:tcW w:type="dxa" w:w="4929"/>
            <w:vAlign w:val="center"/>
          </w:tcPr>
          <w:p>
            <w:r>
              <w:t>SQL模板/AST门禁、计算节点注册表、DAG编译器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核心实现</w:t>
            </w:r>
          </w:p>
        </w:tc>
        <w:tc>
          <w:tcPr>
            <w:tcW w:type="dxa" w:w="4929"/>
            <w:vAlign w:val="center"/>
          </w:tcPr>
          <w:p>
            <w:r>
              <w:t>模板渲染、范围注入、AST校验、无环/引用/类型校验、成本估算；确认后计划不可变</w:t>
            </w:r>
          </w:p>
        </w:tc>
      </w:tr>
      <w:tr>
        <w:tc>
          <w:tcPr>
            <w:tcW w:type="dxa" w:w="4929"/>
            <w:vAlign w:val="center"/>
          </w:tcPr>
          <w:p>
            <w:r>
              <w:t>接口/状态</w:t>
            </w:r>
          </w:p>
        </w:tc>
        <w:tc>
          <w:tcPr>
            <w:tcW w:type="dxa" w:w="4929"/>
            <w:vAlign w:val="center"/>
          </w:tcPr>
          <w:p>
            <w:r>
              <w:t>ExecutableTaskDAG含拓扑序、并发组、超时、重试、补偿和输出引用</w:t>
            </w:r>
          </w:p>
        </w:tc>
      </w:tr>
      <w:tr>
        <w:tc>
          <w:tcPr>
            <w:tcW w:type="dxa" w:w="4929"/>
            <w:vAlign w:val="center"/>
          </w:tcPr>
          <w:p>
            <w:r>
              <w:t>安全边界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</w:tbl>
    <w:p/>
    <w:p>
      <w:pPr>
        <w:pStyle w:val="Heading3"/>
      </w:pPr>
      <w:r>
        <w:t>处理流程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生成SQL/计算节点→注入数据范围→AST安全→DAG无环/类型校验→成本校验→发布执行计划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设计项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详细说明</w:t>
            </w:r>
          </w:p>
        </w:tc>
      </w:tr>
      <w:tr>
        <w:tc>
          <w:tcPr>
            <w:tcW w:type="dxa" w:w="4929"/>
            <w:vAlign w:val="center"/>
          </w:tcPr>
          <w:p>
            <w:r>
              <w:t>职责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技术组件</w:t>
            </w:r>
          </w:p>
        </w:tc>
        <w:tc>
          <w:tcPr>
            <w:tcW w:type="dxa" w:w="4929"/>
            <w:vAlign w:val="center"/>
          </w:tcPr>
          <w:p>
            <w:r>
              <w:t>Java调度主记录+Python执行客户端+公平准入+SSE事件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核心实现</w:t>
            </w:r>
          </w:p>
        </w:tc>
        <w:tc>
          <w:tcPr>
            <w:tcW w:type="dxa" w:w="4929"/>
            <w:vAlign w:val="center"/>
          </w:tcPr>
          <w:p>
            <w:r>
              <w:t>按拓扑调度；节点CAS状态迁移；指数退避；取消传播；成功事实哈希；关键性裁决整体状态</w:t>
            </w:r>
          </w:p>
        </w:tc>
      </w:tr>
      <w:tr>
        <w:tc>
          <w:tcPr>
            <w:tcW w:type="dxa" w:w="4929"/>
            <w:vAlign w:val="center"/>
          </w:tcPr>
          <w:p>
            <w:r>
              <w:t>接口/状态</w:t>
            </w:r>
          </w:p>
        </w:tc>
        <w:tc>
          <w:tcPr>
            <w:tcW w:type="dxa" w:w="4929"/>
            <w:vAlign w:val="center"/>
          </w:tcPr>
          <w:p>
            <w:r>
              <w:t>ExecutionFactBundle、TaskAttempt、TaskEvent、审计和监控指标</w:t>
            </w:r>
          </w:p>
        </w:tc>
      </w:tr>
      <w:tr>
        <w:tc>
          <w:tcPr>
            <w:tcW w:type="dxa" w:w="4929"/>
            <w:vAlign w:val="center"/>
          </w:tcPr>
          <w:p>
            <w:r>
              <w:t>安全边界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</w:tbl>
    <w:p/>
    <w:p>
      <w:pPr>
        <w:pStyle w:val="Heading3"/>
      </w:pPr>
      <w:r>
        <w:t>处理流程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准入→拓扑就绪队列→并发执行→事件/心跳→重试或取消→事实落库→整体状态裁决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设计项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详细说明</w:t>
            </w:r>
          </w:p>
        </w:tc>
      </w:tr>
      <w:tr>
        <w:tc>
          <w:tcPr>
            <w:tcW w:type="dxa" w:w="4929"/>
            <w:vAlign w:val="center"/>
          </w:tcPr>
          <w:p>
            <w:r>
              <w:t>职责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技术组件</w:t>
            </w:r>
          </w:p>
        </w:tc>
        <w:tc>
          <w:tcPr>
            <w:tcW w:type="dxa" w:w="4929"/>
            <w:vAlign w:val="center"/>
          </w:tcPr>
          <w:p>
            <w:r>
              <w:t>受控LLM复述+事实一致性校验器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核心实现</w:t>
            </w:r>
          </w:p>
        </w:tc>
        <w:tc>
          <w:tcPr>
            <w:tcW w:type="dxa" w:w="4929"/>
            <w:vAlign w:val="center"/>
          </w:tcPr>
          <w:p>
            <w:r>
              <w:t>只传成功facts；先规则生成claim/evidence骨架，再允许LLM润色；数值、机构、时间和完成度逐项核对</w:t>
            </w:r>
          </w:p>
        </w:tc>
      </w:tr>
      <w:tr>
        <w:tc>
          <w:tcPr>
            <w:tcW w:type="dxa" w:w="4929"/>
            <w:vAlign w:val="center"/>
          </w:tcPr>
          <w:p>
            <w:r>
              <w:t>接口/状态</w:t>
            </w:r>
          </w:p>
        </w:tc>
        <w:tc>
          <w:tcPr>
            <w:tcW w:type="dxa" w:w="4929"/>
            <w:vAlign w:val="center"/>
          </w:tcPr>
          <w:p>
            <w:r>
              <w:t>EvidenceAnswer显式包含status、claims、charts、evidence、unverifiedItems和followUps</w:t>
            </w:r>
          </w:p>
        </w:tc>
      </w:tr>
      <w:tr>
        <w:tc>
          <w:tcPr>
            <w:tcW w:type="dxa" w:w="4929"/>
            <w:vAlign w:val="center"/>
          </w:tcPr>
          <w:p>
            <w:r>
              <w:t>安全边界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3"/>
      </w:pPr>
      <w:r>
        <w:t>处理流程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筛选成功事实→生成结论骨架→模型润色→事实一致性/敏感校验→输出证据与未核实项</w:t>
      </w:r>
    </w:p>
    <w:p>
      <w:pPr>
        <w:pStyle w:val="Heading1"/>
      </w:pPr>
      <w:r>
        <w:t>六、DAG调度与状态机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DRAFT → VALIDATED → WAITING_CONFIRMATION → CONFIRMED → QUEUED → RUNNING → {SUCCEEDED | PARTIAL_SUCCESS | FAILED | CANCELLED}</w:t>
      </w:r>
    </w:p>
    <w:p>
      <w:pPr>
        <w:pStyle w:val="ListBullet"/>
      </w:pPr>
      <w:r>
        <w:t>节点只有在全部上游满足依赖条件时进入READY；失败上游导致依赖节点SKIPPED。</w:t>
      </w:r>
    </w:p>
    <w:p>
      <w:pPr>
        <w:pStyle w:val="ListBullet"/>
      </w:pPr>
      <w:r>
        <w:t>同一taskId任一时刻只允许一个活动attempt；重试通过CAS和幂等键防止重复执行。</w:t>
      </w:r>
    </w:p>
    <w:p>
      <w:pPr>
        <w:pStyle w:val="ListBullet"/>
      </w:pPr>
      <w:r>
        <w:t>取消从Request向未完成节点传播；已提交数据源的查询使用executionId定向取消。</w:t>
      </w:r>
    </w:p>
    <w:p>
      <w:pPr>
        <w:pStyle w:val="ListBullet"/>
      </w:pPr>
      <w:r>
        <w:t>关键节点全部成功且非关键节点有失败：PARTIAL_SUCCESS；任一必需关键节点失败：FAILED。</w:t>
      </w:r>
    </w:p>
    <w:p>
      <w:pPr>
        <w:pStyle w:val="ListBullet"/>
      </w:pPr>
      <w:r>
        <w:t>服务重启后从数据库未终态Request恢复，而非依赖内存队列。</w:t>
      </w:r>
    </w:p>
    <w:p>
      <w:pPr>
        <w:pStyle w:val="Heading1"/>
      </w:pPr>
      <w:r>
        <w:t>七、权限与安全设计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b/>
              </w:rPr>
              <w:t>门禁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3286"/>
            <w:vAlign w:val="center"/>
          </w:tcPr>
          <w:p>
            <w:r>
              <w:t>身份与会话</w:t>
            </w:r>
          </w:p>
        </w:tc>
        <w:tc>
          <w:tcPr>
            <w:tcW w:type="dxa" w:w="3286"/>
            <w:vAlign w:val="center"/>
          </w:tcPr>
          <w:p>
            <w:r>
              <w:t>L1</w:t>
            </w:r>
          </w:p>
        </w:tc>
        <w:tc>
          <w:tcPr>
            <w:tcW w:type="dxa" w:w="3286"/>
            <w:vAlign w:val="center"/>
          </w:tcPr>
          <w:p>
            <w:r>
              <w:t>令牌主体与session主体一致；角色切换创建新session</w:t>
            </w:r>
          </w:p>
        </w:tc>
      </w:tr>
      <w:tr>
        <w:tc>
          <w:tcPr>
            <w:tcW w:type="dxa" w:w="3286"/>
            <w:vAlign w:val="center"/>
          </w:tcPr>
          <w:p>
            <w:r>
              <w:t>业务权限预检</w:t>
            </w:r>
          </w:p>
        </w:tc>
        <w:tc>
          <w:tcPr>
            <w:tcW w:type="dxa" w:w="3286"/>
            <w:vAlign w:val="center"/>
          </w:tcPr>
          <w:p>
            <w:r>
              <w:t>L2</w:t>
            </w:r>
          </w:p>
        </w:tc>
        <w:tc>
          <w:tcPr>
            <w:tcW w:type="dxa" w:w="3286"/>
            <w:vAlign w:val="center"/>
          </w:tcPr>
          <w:p>
            <w:r>
              <w:t>机构、指标、数据范围全量验证；无权目标不进入候选计划</w:t>
            </w:r>
          </w:p>
        </w:tc>
      </w:tr>
      <w:tr>
        <w:tc>
          <w:tcPr>
            <w:tcW w:type="dxa" w:w="3286"/>
            <w:vAlign w:val="center"/>
          </w:tcPr>
          <w:p>
            <w:r>
              <w:t>资产权限</w:t>
            </w:r>
          </w:p>
        </w:tc>
        <w:tc>
          <w:tcPr>
            <w:tcW w:type="dxa" w:w="3286"/>
            <w:vAlign w:val="center"/>
          </w:tcPr>
          <w:p>
            <w:r>
              <w:t>L4</w:t>
            </w:r>
          </w:p>
        </w:tc>
        <w:tc>
          <w:tcPr>
            <w:tcW w:type="dxa" w:w="3286"/>
            <w:vAlign w:val="center"/>
          </w:tcPr>
          <w:p>
            <w:r>
              <w:t>表、字段、数据源和API逐节点白名单</w:t>
            </w:r>
          </w:p>
        </w:tc>
      </w:tr>
      <w:tr>
        <w:tc>
          <w:tcPr>
            <w:tcW w:type="dxa" w:w="3286"/>
            <w:vAlign w:val="center"/>
          </w:tcPr>
          <w:p>
            <w:r>
              <w:t>SQL与范围</w:t>
            </w:r>
          </w:p>
        </w:tc>
        <w:tc>
          <w:tcPr>
            <w:tcW w:type="dxa" w:w="3286"/>
            <w:vAlign w:val="center"/>
          </w:tcPr>
          <w:p>
            <w:r>
              <w:t>L5</w:t>
            </w:r>
          </w:p>
        </w:tc>
        <w:tc>
          <w:tcPr>
            <w:tcW w:type="dxa" w:w="3286"/>
            <w:vAlign w:val="center"/>
          </w:tcPr>
          <w:p>
            <w:r>
              <w:t>AST只读门禁、参数绑定、行列范围强制注入</w:t>
            </w:r>
          </w:p>
        </w:tc>
      </w:tr>
      <w:tr>
        <w:tc>
          <w:tcPr>
            <w:tcW w:type="dxa" w:w="3286"/>
            <w:vAlign w:val="center"/>
          </w:tcPr>
          <w:p>
            <w:r>
              <w:t>执行安全</w:t>
            </w:r>
          </w:p>
        </w:tc>
        <w:tc>
          <w:tcPr>
            <w:tcW w:type="dxa" w:w="3286"/>
            <w:vAlign w:val="center"/>
          </w:tcPr>
          <w:p>
            <w:r>
              <w:t>L6</w:t>
            </w:r>
          </w:p>
        </w:tc>
        <w:tc>
          <w:tcPr>
            <w:tcW w:type="dxa" w:w="3286"/>
            <w:vAlign w:val="center"/>
          </w:tcPr>
          <w:p>
            <w:r>
              <w:t>短期内部令牌、幂等、限流、超时、审计和结果脱敏</w:t>
            </w:r>
          </w:p>
        </w:tc>
      </w:tr>
      <w:tr>
        <w:tc>
          <w:tcPr>
            <w:tcW w:type="dxa" w:w="3286"/>
            <w:vAlign w:val="center"/>
          </w:tcPr>
          <w:p>
            <w:r>
              <w:t>输出安全</w:t>
            </w:r>
          </w:p>
        </w:tc>
        <w:tc>
          <w:tcPr>
            <w:tcW w:type="dxa" w:w="3286"/>
            <w:vAlign w:val="center"/>
          </w:tcPr>
          <w:p>
            <w:r>
              <w:t>L7</w:t>
            </w:r>
          </w:p>
        </w:tc>
        <w:tc>
          <w:tcPr>
            <w:tcW w:type="dxa" w:w="3286"/>
            <w:vAlign w:val="center"/>
          </w:tcPr>
          <w:p>
            <w:r>
              <w:t>事实白名单、敏感词/实体过滤、权限范围复核</w:t>
            </w:r>
          </w:p>
        </w:tc>
      </w:tr>
    </w:tbl>
    <w:p/>
    <w:p>
      <w:pPr>
        <w:pStyle w:val="Heading1"/>
      </w:pPr>
      <w:r>
        <w:t>八、接口契约建议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关键响应</w:t>
            </w:r>
          </w:p>
        </w:tc>
      </w:tr>
      <w:tr>
        <w:tc>
          <w:tcPr>
            <w:tcW w:type="dxa" w:w="2465"/>
            <w:vAlign w:val="center"/>
          </w:tcPr>
          <w:p>
            <w:r>
              <w:t>POST</w:t>
            </w:r>
          </w:p>
        </w:tc>
        <w:tc>
          <w:tcPr>
            <w:tcW w:type="dxa" w:w="2465"/>
            <w:vAlign w:val="center"/>
          </w:tcPr>
          <w:p>
            <w:r>
              <w:t>/api/v2.1/requests</w:t>
            </w:r>
          </w:p>
        </w:tc>
        <w:tc>
          <w:tcPr>
            <w:tcW w:type="dxa" w:w="2465"/>
            <w:vAlign w:val="center"/>
          </w:tcPr>
          <w:p>
            <w:r>
              <w:t>提交综合问题</w:t>
            </w:r>
          </w:p>
        </w:tc>
        <w:tc>
          <w:tcPr>
            <w:tcW w:type="dxa" w:w="2465"/>
            <w:vAlign w:val="center"/>
          </w:tcPr>
          <w:p>
            <w:r>
              <w:t>requestId,status,planVersion</w:t>
            </w:r>
          </w:p>
        </w:tc>
      </w:tr>
      <w:tr>
        <w:tc>
          <w:tcPr>
            <w:tcW w:type="dxa" w:w="2465"/>
            <w:vAlign w:val="center"/>
          </w:tcPr>
          <w:p>
            <w:r>
              <w:t>GET</w:t>
            </w:r>
          </w:p>
        </w:tc>
        <w:tc>
          <w:tcPr>
            <w:tcW w:type="dxa" w:w="2465"/>
            <w:vAlign w:val="center"/>
          </w:tcPr>
          <w:p>
            <w:r>
              <w:t>/api/v2.1/requests/{id}/plan</w:t>
            </w:r>
          </w:p>
        </w:tc>
        <w:tc>
          <w:tcPr>
            <w:tcW w:type="dxa" w:w="2465"/>
            <w:vAlign w:val="center"/>
          </w:tcPr>
          <w:p>
            <w:r>
              <w:t>查看计划</w:t>
            </w:r>
          </w:p>
        </w:tc>
        <w:tc>
          <w:tcPr>
            <w:tcW w:type="dxa" w:w="2465"/>
            <w:vAlign w:val="center"/>
          </w:tcPr>
          <w:p>
            <w:r>
              <w:t>nodes,edges,cost,permissionDecision</w:t>
            </w:r>
          </w:p>
        </w:tc>
      </w:tr>
      <w:tr>
        <w:tc>
          <w:tcPr>
            <w:tcW w:type="dxa" w:w="2465"/>
            <w:vAlign w:val="center"/>
          </w:tcPr>
          <w:p>
            <w:r>
              <w:t>PUT</w:t>
            </w:r>
          </w:p>
        </w:tc>
        <w:tc>
          <w:tcPr>
            <w:tcW w:type="dxa" w:w="2465"/>
            <w:vAlign w:val="center"/>
          </w:tcPr>
          <w:p>
            <w:r>
              <w:t>/api/v2.1/requests/{id}/plan</w:t>
            </w:r>
          </w:p>
        </w:tc>
        <w:tc>
          <w:tcPr>
            <w:tcW w:type="dxa" w:w="2465"/>
            <w:vAlign w:val="center"/>
          </w:tcPr>
          <w:p>
            <w:r>
              <w:t>调整计划</w:t>
            </w:r>
          </w:p>
        </w:tc>
        <w:tc>
          <w:tcPr>
            <w:tcW w:type="dxa" w:w="2465"/>
            <w:vAlign w:val="center"/>
          </w:tcPr>
          <w:p>
            <w:r>
              <w:t>newPlanVersion,diff</w:t>
            </w:r>
          </w:p>
        </w:tc>
      </w:tr>
      <w:tr>
        <w:tc>
          <w:tcPr>
            <w:tcW w:type="dxa" w:w="2465"/>
            <w:vAlign w:val="center"/>
          </w:tcPr>
          <w:p>
            <w:r>
              <w:t>POST</w:t>
            </w:r>
          </w:p>
        </w:tc>
        <w:tc>
          <w:tcPr>
            <w:tcW w:type="dxa" w:w="2465"/>
            <w:vAlign w:val="center"/>
          </w:tcPr>
          <w:p>
            <w:r>
              <w:t>/api/v2.1/requests/{id}/confirm</w:t>
            </w:r>
          </w:p>
        </w:tc>
        <w:tc>
          <w:tcPr>
            <w:tcW w:type="dxa" w:w="2465"/>
            <w:vAlign w:val="center"/>
          </w:tcPr>
          <w:p>
            <w:r>
              <w:t>确认执行</w:t>
            </w:r>
          </w:p>
        </w:tc>
        <w:tc>
          <w:tcPr>
            <w:tcW w:type="dxa" w:w="2465"/>
            <w:vAlign w:val="center"/>
          </w:tcPr>
          <w:p>
            <w:r>
              <w:t>QUEUED</w:t>
            </w:r>
          </w:p>
        </w:tc>
      </w:tr>
      <w:tr>
        <w:tc>
          <w:tcPr>
            <w:tcW w:type="dxa" w:w="2465"/>
            <w:vAlign w:val="center"/>
          </w:tcPr>
          <w:p>
            <w:r>
              <w:t>GET</w:t>
            </w:r>
          </w:p>
        </w:tc>
        <w:tc>
          <w:tcPr>
            <w:tcW w:type="dxa" w:w="2465"/>
            <w:vAlign w:val="center"/>
          </w:tcPr>
          <w:p>
            <w:r>
              <w:t>/api/v2.1/requests/{id}/events</w:t>
            </w:r>
          </w:p>
        </w:tc>
        <w:tc>
          <w:tcPr>
            <w:tcW w:type="dxa" w:w="2465"/>
            <w:vAlign w:val="center"/>
          </w:tcPr>
          <w:p>
            <w:r>
              <w:t>SSE进度/续传</w:t>
            </w:r>
          </w:p>
        </w:tc>
        <w:tc>
          <w:tcPr>
            <w:tcW w:type="dxa" w:w="2465"/>
            <w:vAlign w:val="center"/>
          </w:tcPr>
          <w:p>
            <w:r>
              <w:t>id,event,data</w:t>
            </w:r>
          </w:p>
        </w:tc>
      </w:tr>
      <w:tr>
        <w:tc>
          <w:tcPr>
            <w:tcW w:type="dxa" w:w="2465"/>
            <w:vAlign w:val="center"/>
          </w:tcPr>
          <w:p>
            <w:r>
              <w:t>POST</w:t>
            </w:r>
          </w:p>
        </w:tc>
        <w:tc>
          <w:tcPr>
            <w:tcW w:type="dxa" w:w="2465"/>
            <w:vAlign w:val="center"/>
          </w:tcPr>
          <w:p>
            <w:r>
              <w:t>/api/v2.1/requests/{id}/cancel</w:t>
            </w:r>
          </w:p>
        </w:tc>
        <w:tc>
          <w:tcPr>
            <w:tcW w:type="dxa" w:w="2465"/>
            <w:vAlign w:val="center"/>
          </w:tcPr>
          <w:p>
            <w:r>
              <w:t>幂等取消</w:t>
            </w:r>
          </w:p>
        </w:tc>
        <w:tc>
          <w:tcPr>
            <w:tcW w:type="dxa" w:w="2465"/>
            <w:vAlign w:val="center"/>
          </w:tcPr>
          <w:p>
            <w:r>
              <w:t>CANCEL_PENDING/CANCELLED</w:t>
            </w:r>
          </w:p>
        </w:tc>
      </w:tr>
      <w:tr>
        <w:tc>
          <w:tcPr>
            <w:tcW w:type="dxa" w:w="2465"/>
            <w:vAlign w:val="center"/>
          </w:tcPr>
          <w:p>
            <w:r>
              <w:t>POST</w:t>
            </w:r>
          </w:p>
        </w:tc>
        <w:tc>
          <w:tcPr>
            <w:tcW w:type="dxa" w:w="2465"/>
            <w:vAlign w:val="center"/>
          </w:tcPr>
          <w:p>
            <w:r>
              <w:t>/api/v2.1/tasks/{taskId}/retry</w:t>
            </w:r>
          </w:p>
        </w:tc>
        <w:tc>
          <w:tcPr>
            <w:tcW w:type="dxa" w:w="2465"/>
            <w:vAlign w:val="center"/>
          </w:tcPr>
          <w:p>
            <w:r>
              <w:t>定点重试</w:t>
            </w:r>
          </w:p>
        </w:tc>
        <w:tc>
          <w:tcPr>
            <w:tcW w:type="dxa" w:w="2465"/>
            <w:vAlign w:val="center"/>
          </w:tcPr>
          <w:p>
            <w:r>
              <w:t>attemptNo,status</w:t>
            </w:r>
          </w:p>
        </w:tc>
      </w:tr>
      <w:tr>
        <w:tc>
          <w:tcPr>
            <w:tcW w:type="dxa" w:w="2465"/>
            <w:vAlign w:val="center"/>
          </w:tcPr>
          <w:p>
            <w:r>
              <w:t>GET</w:t>
            </w:r>
          </w:p>
        </w:tc>
        <w:tc>
          <w:tcPr>
            <w:tcW w:type="dxa" w:w="2465"/>
            <w:vAlign w:val="center"/>
          </w:tcPr>
          <w:p>
            <w:r>
              <w:t>/api/v2.1/requests/{id}/answer</w:t>
            </w:r>
          </w:p>
        </w:tc>
        <w:tc>
          <w:tcPr>
            <w:tcW w:type="dxa" w:w="2465"/>
            <w:vAlign w:val="center"/>
          </w:tcPr>
          <w:p>
            <w:r>
              <w:t>证据化结果</w:t>
            </w:r>
          </w:p>
        </w:tc>
        <w:tc>
          <w:tcPr>
            <w:tcW w:type="dxa" w:w="2465"/>
            <w:vAlign w:val="center"/>
          </w:tcPr>
          <w:p>
            <w:r>
              <w:t>status,claims,evidence,unverifiedItems</w:t>
            </w:r>
          </w:p>
        </w:tc>
      </w:tr>
    </w:tbl>
    <w:p/>
    <w:p>
      <w:pPr>
        <w:pStyle w:val="Heading1"/>
      </w:pPr>
      <w:r>
        <w:t>九、可观测与审计</w:t>
      </w:r>
    </w:p>
    <w:p>
      <w:pPr>
        <w:pStyle w:val="ListBullet"/>
      </w:pPr>
      <w:r>
        <w:t>指标：请求吞吐、排队时间、DAG节点数、并行度、节点成功率、重试率、取消延迟、部分成功率、模型耗时与成本。</w:t>
      </w:r>
    </w:p>
    <w:p>
      <w:pPr>
        <w:pStyle w:val="ListBullet"/>
      </w:pPr>
      <w:r>
        <w:t>日志：禁止记录密钥和原始敏感数据；统一traceId/requestId/planId/taskId/attemptId。</w:t>
      </w:r>
    </w:p>
    <w:p>
      <w:pPr>
        <w:pStyle w:val="ListBullet"/>
      </w:pPr>
      <w:r>
        <w:t>审计：问题、权限快照、配置版本、计划差异、确认人、SQL摘要、执行事实哈希、回答证据链不可抵赖。</w:t>
      </w:r>
    </w:p>
    <w:p>
      <w:pPr>
        <w:pStyle w:val="ListBullet"/>
      </w:pPr>
      <w:r>
        <w:t>告警：队列饱和、关键任务失败激增、取消超时、事实/回答不一致、Provider连续失败、成本超额。</w:t>
      </w:r>
    </w:p>
    <w:p>
      <w:pPr>
        <w:pStyle w:val="Heading1"/>
      </w:pPr>
      <w:r>
        <w:t>十、测试与验收矩阵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b/>
              </w:rPr>
              <w:t>测试层级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必测内容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通过条件</w:t>
            </w:r>
          </w:p>
        </w:tc>
      </w:tr>
      <w:tr>
        <w:tc>
          <w:tcPr>
            <w:tcW w:type="dxa" w:w="3286"/>
            <w:vAlign w:val="center"/>
          </w:tcPr>
          <w:p>
            <w:r>
              <w:t>单元</w:t>
            </w:r>
          </w:p>
        </w:tc>
        <w:tc>
          <w:tcPr>
            <w:tcW w:type="dxa" w:w="3286"/>
            <w:vAlign w:val="center"/>
          </w:tcPr>
          <w:p>
            <w:r>
              <w:t>拆解、无环、拓扑、关键性、状态裁决、取消、重试</w:t>
            </w:r>
          </w:p>
        </w:tc>
        <w:tc>
          <w:tcPr>
            <w:tcW w:type="dxa" w:w="3286"/>
            <w:vAlign w:val="center"/>
          </w:tcPr>
          <w:p>
            <w:r>
              <w:t>确定性边界全覆盖</w:t>
            </w:r>
          </w:p>
        </w:tc>
      </w:tr>
      <w:tr>
        <w:tc>
          <w:tcPr>
            <w:tcW w:type="dxa" w:w="3286"/>
            <w:vAlign w:val="center"/>
          </w:tcPr>
          <w:p>
            <w:r>
              <w:t>契约</w:t>
            </w:r>
          </w:p>
        </w:tc>
        <w:tc>
          <w:tcPr>
            <w:tcW w:type="dxa" w:w="3286"/>
            <w:vAlign w:val="center"/>
          </w:tcPr>
          <w:p>
            <w:r>
              <w:t>L1—L7 Schema、Java/Python内部契约、SSE续传</w:t>
            </w:r>
          </w:p>
        </w:tc>
        <w:tc>
          <w:tcPr>
            <w:tcW w:type="dxa" w:w="3286"/>
            <w:vAlign w:val="center"/>
          </w:tcPr>
          <w:p>
            <w:r>
              <w:t>向后兼容且版本明确</w:t>
            </w:r>
          </w:p>
        </w:tc>
      </w:tr>
      <w:tr>
        <w:tc>
          <w:tcPr>
            <w:tcW w:type="dxa" w:w="3286"/>
            <w:vAlign w:val="center"/>
          </w:tcPr>
          <w:p>
            <w:r>
              <w:t>安全</w:t>
            </w:r>
          </w:p>
        </w:tc>
        <w:tc>
          <w:tcPr>
            <w:tcW w:type="dxa" w:w="3286"/>
            <w:vAlign w:val="center"/>
          </w:tcPr>
          <w:p>
            <w:r>
              <w:t>越权节点、SQL绕过、提示注入、重试绕权、角色切换</w:t>
            </w:r>
          </w:p>
        </w:tc>
        <w:tc>
          <w:tcPr>
            <w:tcW w:type="dxa" w:w="3286"/>
            <w:vAlign w:val="center"/>
          </w:tcPr>
          <w:p>
            <w:r>
              <w:t>无越权SQL/数据/话术</w:t>
            </w:r>
          </w:p>
        </w:tc>
      </w:tr>
      <w:tr>
        <w:tc>
          <w:tcPr>
            <w:tcW w:type="dxa" w:w="3286"/>
            <w:vAlign w:val="center"/>
          </w:tcPr>
          <w:p>
            <w:r>
              <w:t>集成</w:t>
            </w:r>
          </w:p>
        </w:tc>
        <w:tc>
          <w:tcPr>
            <w:tcW w:type="dxa" w:w="3286"/>
            <w:vAlign w:val="center"/>
          </w:tcPr>
          <w:p>
            <w:r>
              <w:t>八场景×三角色×正常/失败分支</w:t>
            </w:r>
          </w:p>
        </w:tc>
        <w:tc>
          <w:tcPr>
            <w:tcW w:type="dxa" w:w="3286"/>
            <w:vAlign w:val="center"/>
          </w:tcPr>
          <w:p>
            <w:r>
              <w:t>结果、状态和审计一致</w:t>
            </w:r>
          </w:p>
        </w:tc>
      </w:tr>
      <w:tr>
        <w:tc>
          <w:tcPr>
            <w:tcW w:type="dxa" w:w="3286"/>
            <w:vAlign w:val="center"/>
          </w:tcPr>
          <w:p>
            <w:r>
              <w:t>性能</w:t>
            </w:r>
          </w:p>
        </w:tc>
        <w:tc>
          <w:tcPr>
            <w:tcW w:type="dxa" w:w="3286"/>
            <w:vAlign w:val="center"/>
          </w:tcPr>
          <w:p>
            <w:r>
              <w:t>30执行槽、50等待队列、突发、长任务、1300 SSE</w:t>
            </w:r>
          </w:p>
        </w:tc>
        <w:tc>
          <w:tcPr>
            <w:tcW w:type="dxa" w:w="3286"/>
            <w:vAlign w:val="center"/>
          </w:tcPr>
          <w:p>
            <w:r>
              <w:t>达到V2基线且无资源泄漏</w:t>
            </w:r>
          </w:p>
        </w:tc>
      </w:tr>
      <w:tr>
        <w:tc>
          <w:tcPr>
            <w:tcW w:type="dxa" w:w="3286"/>
            <w:vAlign w:val="center"/>
          </w:tcPr>
          <w:p>
            <w:r>
              <w:t>恢复</w:t>
            </w:r>
          </w:p>
        </w:tc>
        <w:tc>
          <w:tcPr>
            <w:tcW w:type="dxa" w:w="3286"/>
            <w:vAlign w:val="center"/>
          </w:tcPr>
          <w:p>
            <w:r>
              <w:t>服务重启、数据库恢复、发布回退</w:t>
            </w:r>
          </w:p>
        </w:tc>
        <w:tc>
          <w:tcPr>
            <w:tcW w:type="dxa" w:w="3286"/>
            <w:vAlign w:val="center"/>
          </w:tcPr>
          <w:p>
            <w:r>
              <w:t>未终态任务可恢复或明确终止</w:t>
            </w:r>
          </w:p>
        </w:tc>
      </w:tr>
      <w:tr>
        <w:tc>
          <w:tcPr>
            <w:tcW w:type="dxa" w:w="3286"/>
            <w:vAlign w:val="center"/>
          </w:tcPr>
          <w:p>
            <w:r>
              <w:t>Demo</w:t>
            </w:r>
          </w:p>
        </w:tc>
        <w:tc>
          <w:tcPr>
            <w:tcW w:type="dxa" w:w="3286"/>
            <w:vAlign w:val="center"/>
          </w:tcPr>
          <w:p>
            <w:r>
              <w:t>断网单文件、固定时间线、八场景</w:t>
            </w:r>
          </w:p>
        </w:tc>
        <w:tc>
          <w:tcPr>
            <w:tcW w:type="dxa" w:w="3286"/>
            <w:vAlign w:val="center"/>
          </w:tcPr>
          <w:p>
            <w:r>
              <w:t>无外链、结果可重复</w:t>
            </w:r>
          </w:p>
        </w:tc>
      </w:tr>
      <w:tr>
        <w:tc>
          <w:tcPr>
            <w:tcW w:type="dxa" w:w="3286"/>
            <w:vAlign w:val="center"/>
          </w:tcPr>
          <w:p>
            <w:r>
              <w:t>POC</w:t>
            </w:r>
          </w:p>
        </w:tc>
        <w:tc>
          <w:tcPr>
            <w:tcW w:type="dxa" w:w="3286"/>
            <w:vAlign w:val="center"/>
          </w:tcPr>
          <w:p>
            <w:r>
              <w:t>真实Provider、数据库、黄金问题</w:t>
            </w:r>
          </w:p>
        </w:tc>
        <w:tc>
          <w:tcPr>
            <w:tcW w:type="dxa" w:w="3286"/>
            <w:vAlign w:val="center"/>
          </w:tcPr>
          <w:p>
            <w:r>
              <w:t>无静默Fixture且对账通过</w:t>
            </w:r>
          </w:p>
        </w:tc>
      </w:tr>
      <w:tr>
        <w:tc>
          <w:tcPr>
            <w:tcW w:type="dxa" w:w="3286"/>
            <w:vAlign w:val="center"/>
          </w:tcPr>
          <w:p>
            <w:r>
              <w:t>Product</w:t>
            </w:r>
          </w:p>
        </w:tc>
        <w:tc>
          <w:tcPr>
            <w:tcW w:type="dxa" w:w="3286"/>
            <w:vAlign w:val="center"/>
          </w:tcPr>
          <w:p>
            <w:r>
              <w:t>安装升级、安全长稳、备份恢复</w:t>
            </w:r>
          </w:p>
        </w:tc>
        <w:tc>
          <w:tcPr>
            <w:tcW w:type="dxa" w:w="3286"/>
            <w:vAlign w:val="center"/>
          </w:tcPr>
          <w:p>
            <w:r>
              <w:t>发布门禁全部通过</w:t>
            </w:r>
          </w:p>
        </w:tc>
      </w:tr>
    </w:tbl>
    <w:p/>
    <w:p>
      <w:pPr>
        <w:pStyle w:val="Heading1"/>
      </w:pPr>
      <w:r>
        <w:t>十一、实施分解</w:t>
      </w:r>
    </w:p>
    <w:p>
      <w:pPr>
        <w:pStyle w:val="ListNumber"/>
      </w:pPr>
      <w:r>
        <w:t>M1 契约与数据模型：冻结TaskPlan/DAG/Fact/Answer Schema及迁移。</w:t>
      </w:r>
    </w:p>
    <w:p>
      <w:pPr>
        <w:pStyle w:val="ListNumber"/>
      </w:pPr>
      <w:r>
        <w:t>M2 任务规划：实现L2/L3、计划预览调整、权限裁剪和版本化。</w:t>
      </w:r>
    </w:p>
    <w:p>
      <w:pPr>
        <w:pStyle w:val="ListNumber"/>
      </w:pPr>
      <w:r>
        <w:t>M3 编排执行：实现L5/L6串并行、重试、取消、恢复和SSE。</w:t>
      </w:r>
    </w:p>
    <w:p>
      <w:pPr>
        <w:pStyle w:val="ListNumber"/>
      </w:pPr>
      <w:r>
        <w:t>M4 用户体验：计划卡、任务中心、进度轨迹、部分成功和证据展示。</w:t>
      </w:r>
    </w:p>
    <w:p>
      <w:pPr>
        <w:pStyle w:val="ListNumber"/>
      </w:pPr>
      <w:r>
        <w:t>M5 三状态同步：完成Demo Fixture、POC Adapter、Product Runtime与八场景矩阵。</w:t>
      </w:r>
    </w:p>
    <w:p>
      <w:pPr>
        <w:pStyle w:val="ListNumber"/>
      </w:pPr>
      <w:r>
        <w:t>M6 发布关闭：回归V2.0，完成安全、容量、恢复、文档和制品发布。</w:t>
      </w:r>
    </w:p>
    <w:p>
      <w:pPr>
        <w:pStyle w:val="Heading1"/>
      </w:pPr>
      <w:r>
        <w:t>附录A｜八场景到技术能力映射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主要技术能力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关键状态</w:t>
            </w:r>
          </w:p>
        </w:tc>
      </w:tr>
      <w:tr>
        <w:tc>
          <w:tcPr>
            <w:tcW w:type="dxa" w:w="3286"/>
            <w:vAlign w:val="center"/>
          </w:tcPr>
          <w:p>
            <w:r>
              <w:t>MT01</w:t>
            </w:r>
          </w:p>
        </w:tc>
        <w:tc>
          <w:tcPr>
            <w:tcW w:type="dxa" w:w="3286"/>
            <w:vAlign w:val="center"/>
          </w:tcPr>
          <w:p>
            <w:r>
              <w:t>将一个综合问句拆为多个机构×指标查询节点，并行执行后按统一口径汇总。</w:t>
            </w:r>
          </w:p>
        </w:tc>
        <w:tc>
          <w:tcPr>
            <w:tcW w:type="dxa" w:w="3286"/>
            <w:vAlign w:val="center"/>
          </w:tcPr>
          <w:p>
            <w:r>
              <w:t>任一非关键指标失败则 PARTIAL_SUCCESS；汇总明确缺失指标，不输出完整排名。</w:t>
            </w:r>
          </w:p>
        </w:tc>
      </w:tr>
      <w:tr>
        <w:tc>
          <w:tcPr>
            <w:tcW w:type="dxa" w:w="3286"/>
            <w:vAlign w:val="center"/>
          </w:tcPr>
          <w:p>
            <w:r>
              <w:t>MT02</w:t>
            </w:r>
          </w:p>
        </w:tc>
        <w:tc>
          <w:tcPr>
            <w:tcW w:type="dxa" w:w="3286"/>
            <w:vAlign w:val="center"/>
          </w:tcPr>
          <w:p>
            <w:r>
              <w:t>证明前置事实查询成功后，才生成维度下钻及贡献度计算节点。</w:t>
            </w:r>
          </w:p>
        </w:tc>
        <w:tc>
          <w:tcPr>
            <w:tcW w:type="dxa" w:w="3286"/>
            <w:vAlign w:val="center"/>
          </w:tcPr>
          <w:p>
            <w:r>
              <w:t>T1或T2失败为 FAILED；T3/T4之一失败为 PARTIAL_SUCCESS，禁止声称完成全面归因。</w:t>
            </w:r>
          </w:p>
        </w:tc>
      </w:tr>
      <w:tr>
        <w:tc>
          <w:tcPr>
            <w:tcW w:type="dxa" w:w="3286"/>
            <w:vAlign w:val="center"/>
          </w:tcPr>
          <w:p>
            <w:r>
              <w:t>MT03</w:t>
            </w:r>
          </w:p>
        </w:tc>
        <w:tc>
          <w:tcPr>
            <w:tcW w:type="dxa" w:w="3286"/>
            <w:vAlign w:val="center"/>
          </w:tcPr>
          <w:p>
            <w:r>
              <w:t>展示计划预览、节点删改、影响检查、版本化和确认后执行。</w:t>
            </w:r>
          </w:p>
        </w:tc>
        <w:tc>
          <w:tcPr>
            <w:tcW w:type="dxa" w:w="3286"/>
            <w:vAlign w:val="center"/>
          </w:tcPr>
          <w:p>
            <w:r>
              <w:t>非法节点或越权调整被拒绝，保留最近合法计划；计划未确认状态为 WAITING_CONFIRMATION。</w:t>
            </w:r>
          </w:p>
        </w:tc>
      </w:tr>
      <w:tr>
        <w:tc>
          <w:tcPr>
            <w:tcW w:type="dxa" w:w="3286"/>
            <w:vAlign w:val="center"/>
          </w:tcPr>
          <w:p>
            <w:r>
              <w:t>MT04</w:t>
            </w:r>
          </w:p>
        </w:tc>
        <w:tc>
          <w:tcPr>
            <w:tcW w:type="dxa" w:w="3286"/>
            <w:vAlign w:val="center"/>
          </w:tcPr>
          <w:p>
            <w:r>
              <w:t>展示排队、运行、心跳、节点进度、取消传播和资源释放。</w:t>
            </w:r>
          </w:p>
        </w:tc>
        <w:tc>
          <w:tcPr>
            <w:tcW w:type="dxa" w:w="3286"/>
            <w:vAlign w:val="center"/>
          </w:tcPr>
          <w:p>
            <w:r>
              <w:t>取消必须幂等；执行端确认后进入 CANCELLED，超时则进入 CANCEL_PENDING 并告警。</w:t>
            </w:r>
          </w:p>
        </w:tc>
      </w:tr>
      <w:tr>
        <w:tc>
          <w:tcPr>
            <w:tcW w:type="dxa" w:w="3286"/>
            <w:vAlign w:val="center"/>
          </w:tcPr>
          <w:p>
            <w:r>
              <w:t>MT05</w:t>
            </w:r>
          </w:p>
        </w:tc>
        <w:tc>
          <w:tcPr>
            <w:tcW w:type="dxa" w:w="3286"/>
            <w:vAlign w:val="center"/>
          </w:tcPr>
          <w:p>
            <w:r>
              <w:t>证明成功结果有版本和有效期，重试不重复查询已成功节点。</w:t>
            </w:r>
          </w:p>
        </w:tc>
        <w:tc>
          <w:tcPr>
            <w:tcW w:type="dxa" w:w="3286"/>
            <w:vAlign w:val="center"/>
          </w:tcPr>
          <w:p>
            <w:r>
              <w:t>超过最大重试次数仍失败则维持 PARTIAL_SUCCESS；禁止换用Fixture静默成功。</w:t>
            </w:r>
          </w:p>
        </w:tc>
      </w:tr>
      <w:tr>
        <w:tc>
          <w:tcPr>
            <w:tcW w:type="dxa" w:w="3286"/>
            <w:vAlign w:val="center"/>
          </w:tcPr>
          <w:p>
            <w:r>
              <w:t>MT06</w:t>
            </w:r>
          </w:p>
        </w:tc>
        <w:tc>
          <w:tcPr>
            <w:tcW w:type="dxa" w:w="3286"/>
            <w:vAlign w:val="center"/>
          </w:tcPr>
          <w:p>
            <w:r>
              <w:t>验证关键/非关键节点定义、完成度计算和未核实项披露。</w:t>
            </w:r>
          </w:p>
        </w:tc>
        <w:tc>
          <w:tcPr>
            <w:tcW w:type="dxa" w:w="3286"/>
            <w:vAlign w:val="center"/>
          </w:tcPr>
          <w:p>
            <w:r>
              <w:t>任一关键节点失败则不得输出整体正常/异常结论；状态由规则引擎而非LLM裁决。</w:t>
            </w:r>
          </w:p>
        </w:tc>
      </w:tr>
      <w:tr>
        <w:tc>
          <w:tcPr>
            <w:tcW w:type="dxa" w:w="3286"/>
            <w:vAlign w:val="center"/>
          </w:tcPr>
          <w:p>
            <w:r>
              <w:t>MT07</w:t>
            </w:r>
          </w:p>
        </w:tc>
        <w:tc>
          <w:tcPr>
            <w:tcW w:type="dxa" w:w="3286"/>
            <w:vAlign w:val="center"/>
          </w:tcPr>
          <w:p>
            <w:r>
              <w:t>证明基础事实或权限等关键节点失败时，系统安全终止并拒绝生成总体判断。</w:t>
            </w:r>
          </w:p>
        </w:tc>
        <w:tc>
          <w:tcPr>
            <w:tcW w:type="dxa" w:w="3286"/>
            <w:vAlign w:val="center"/>
          </w:tcPr>
          <w:p>
            <w:r>
              <w:t>权限、基准或核心事实失败均短路依赖节点；L7不得用历史缓存补出本轮结论。</w:t>
            </w:r>
          </w:p>
        </w:tc>
      </w:tr>
      <w:tr>
        <w:tc>
          <w:tcPr>
            <w:tcW w:type="dxa" w:w="3286"/>
            <w:vAlign w:val="center"/>
          </w:tcPr>
          <w:p>
            <w:r>
              <w:t>MT08</w:t>
            </w:r>
          </w:p>
        </w:tc>
        <w:tc>
          <w:tcPr>
            <w:tcW w:type="dxa" w:w="3286"/>
            <w:vAlign w:val="center"/>
          </w:tcPr>
          <w:p>
            <w:r>
              <w:t>继承合法上下文和权限快照，在新计划中复用有效节点并增加同期、差值和极值任务。</w:t>
            </w:r>
          </w:p>
        </w:tc>
        <w:tc>
          <w:tcPr>
            <w:tcW w:type="dxa" w:w="3286"/>
            <w:vAlign w:val="center"/>
          </w:tcPr>
          <w:p>
            <w:r>
              <w:t>角色切换或权限版本变化必须重新建会话/计划；过期结果不可复用。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AskData V2.1 多任务设计基线｜内部规划资料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