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88"/>
          <w:szCs w:val="288"/>
        </w:rPr>
        <w:t xml:space="preserve"/>
      </w:r>
    </w:p>
    <w:p>
      <w:pPr>
        <w:spacing w:after="0" w:before="0"/>
        <w:jc w:val="center"/>
      </w:pPr>
      <w:r>
        <w:rPr>
          <w:rFonts w:ascii="Arial" w:cs="Arial" w:eastAsia="Arial" w:hAnsi="Arial"/>
          <w:b/>
          <w:bCs/>
          <w:color w:val="0D1B2A"/>
          <w:sz w:val="72"/>
          <w:szCs w:val="72"/>
        </w:rPr>
        <w:t xml:space="preserve">DR. FACT</w:t>
      </w:r>
    </w:p>
    <w:p>
      <w:pPr>
        <w:spacing w:after="60" w:before="80"/>
        <w:jc w:val="center"/>
      </w:pPr>
      <w:r>
        <w:rPr>
          <w:rFonts w:ascii="Arial" w:cs="Arial" w:eastAsia="Arial" w:hAnsi="Arial"/>
          <w:color w:val="B8975A"/>
          <w:sz w:val="44"/>
          <w:szCs w:val="44"/>
        </w:rPr>
        <w:t xml:space="preserve">Visual Intelligence Layer</w:t>
      </w:r>
    </w:p>
    <w:p>
      <w:pPr>
        <w:spacing w:after="0" w:before="0"/>
        <w:jc w:val="center"/>
      </w:pPr>
      <w:r>
        <w:rPr>
          <w:rFonts w:ascii="Arial" w:cs="Arial" w:eastAsia="Arial" w:hAnsi="Arial"/>
          <w:i/>
          <w:iCs/>
          <w:color w:val="4A5568"/>
          <w:sz w:val="26"/>
          <w:szCs w:val="26"/>
        </w:rPr>
        <w:t xml:space="preserve">Asset Audit &amp; Visual Prioritization Workshop</w:t>
      </w:r>
    </w:p>
    <w:p>
      <w:pPr>
        <w:spacing w:after="0" w:before="0"/>
      </w:pPr>
      <w:r>
        <w:rPr>
          <w:rFonts w:ascii="Arial" w:cs="Arial" w:eastAsia="Arial" w:hAnsi="Arial"/>
          <w:sz w:val="20"/>
          <w:szCs w:val="20"/>
        </w:rPr>
        <w:t xml:space="preserve"/>
      </w:r>
    </w:p>
    <w:p>
      <w:pPr>
        <w:pBdr>
          <w:bottom w:val="single" w:color="D4C5B0" w:sz="2" w:space="1"/>
        </w:pBdr>
      </w:pPr>
      <w:r>
        <w:rPr>
          <w:rFonts w:ascii="Arial" w:cs="Arial" w:eastAsia="Arial" w:hAnsi="Arial"/>
        </w:rPr>
        <w:t xml:space="preserve"/>
      </w:r>
    </w:p>
    <w:p>
      <w:pPr>
        <w:spacing w:after="0" w:before="0"/>
      </w:pPr>
      <w:r>
        <w:rPr>
          <w:rFonts w:ascii="Arial" w:cs="Arial" w:eastAsia="Arial" w:hAnsi="Arial"/>
          <w:sz w:val="10"/>
          <w:szCs w:val="10"/>
        </w:rPr>
        <w:t xml:space="preserve"/>
      </w:r>
    </w:p>
    <w:p>
      <w:pPr>
        <w:jc w:val="center"/>
      </w:pPr>
      <w:r>
        <w:rPr>
          <w:rFonts w:ascii="Arial" w:cs="Arial" w:eastAsia="Arial" w:hAnsi="Arial"/>
          <w:i/>
          <w:iCs/>
          <w:color w:val="4A5568"/>
          <w:sz w:val="19"/>
          <w:szCs w:val="19"/>
        </w:rPr>
        <w:t xml:space="preserve">Canonical Asset Strategy Document  ·  Foundation for All Future Visual Design Work</w:t>
      </w:r>
    </w:p>
    <w:p>
      <w:pPr>
        <w:spacing w:after="0" w:before="0"/>
      </w:pPr>
      <w:r>
        <w:rPr>
          <w:rFonts w:ascii="Arial" w:cs="Arial" w:eastAsia="Arial" w:hAnsi="Arial"/>
          <w:sz w:val="10"/>
          <w:szCs w:val="10"/>
        </w:rPr>
        <w:t xml:space="preserve"/>
      </w:r>
    </w:p>
    <w:p>
      <w:pPr>
        <w:pBdr>
          <w:bottom w:val="single" w:color="D4C5B0" w:sz="2" w:space="1"/>
        </w:pBdr>
      </w:pPr>
      <w:r>
        <w:rPr>
          <w:rFonts w:ascii="Arial" w:cs="Arial" w:eastAsia="Arial" w:hAnsi="Arial"/>
        </w:rPr>
        <w:t xml:space="preserve"/>
      </w:r>
    </w:p>
    <w:p>
      <w:pPr>
        <w:spacing w:after="0" w:before="0"/>
      </w:pPr>
      <w:r>
        <w:rPr>
          <w:rFonts w:ascii="Arial" w:cs="Arial" w:eastAsia="Arial" w:hAnsi="Arial"/>
          <w:sz w:val="220"/>
          <w:szCs w:val="220"/>
        </w:rPr>
        <w:t xml:space="preserve"/>
      </w:r>
    </w:p>
    <w:p>
      <w:pPr>
        <w:jc w:val="center"/>
      </w:pPr>
      <w:r>
        <w:rPr>
          <w:rFonts w:ascii="Arial" w:cs="Arial" w:eastAsia="Arial" w:hAnsi="Arial"/>
          <w:color w:val="4A5568"/>
          <w:sz w:val="18"/>
          <w:szCs w:val="18"/>
        </w:rPr>
        <w:t xml:space="preserve">Version 1.0  ·  June 2026  ·  Confidential</w:t>
      </w:r>
    </w:p>
    <w:p>
      <w:r>
        <w:br w:type="page"/>
      </w:r>
    </w:p>
    <w:p>
      <w:pPr>
        <w:pStyle w:val="Heading1"/>
      </w:pPr>
      <w:r>
        <w:rPr>
          <w:rFonts w:ascii="Arial" w:cs="Arial" w:eastAsia="Arial" w:hAnsi="Arial"/>
        </w:rPr>
        <w:t xml:space="preserve">Audit Purpose &amp; Methodology</w:t>
      </w:r>
    </w:p>
    <w:p>
      <w:pPr>
        <w:spacing w:after="60" w:before="60"/>
      </w:pPr>
      <w:r>
        <w:rPr>
          <w:rFonts w:ascii="Arial" w:cs="Arial" w:eastAsia="Arial" w:hAnsi="Arial"/>
          <w:color w:val="4A5568"/>
          <w:sz w:val="20"/>
          <w:szCs w:val="20"/>
        </w:rPr>
        <w:t xml:space="preserve">This document is the canonical asset strategy for the Dr. FACT clinical hair diagnostic assessment. It determines — with surgical precision — which questions deserve premium visual investment, which benefit from lighter visual treatment, and which are best served by clean typography alone.</w:t>
      </w:r>
    </w:p>
    <w:p>
      <w:pPr>
        <w:spacing w:after="0" w:before="0"/>
      </w:pPr>
      <w:r>
        <w:rPr>
          <w:rFonts w:ascii="Arial" w:cs="Arial" w:eastAsia="Arial" w:hAnsi="Arial"/>
          <w:sz w:val="6"/>
          <w:szCs w:val="6"/>
        </w:rPr>
        <w:t xml:space="preserve"/>
      </w:r>
    </w:p>
    <w:p>
      <w:pPr>
        <w:spacing w:after="60" w:before="60"/>
      </w:pPr>
      <w:r>
        <w:rPr>
          <w:rFonts w:ascii="Arial" w:cs="Arial" w:eastAsia="Arial" w:hAnsi="Arial"/>
          <w:color w:val="4A5568"/>
          <w:sz w:val="20"/>
          <w:szCs w:val="20"/>
        </w:rPr>
        <w:t xml:space="preserve">The audit was conducted by a multidisciplinary panel applying five evaluation lenses simultaneously:</w:t>
      </w:r>
    </w:p>
    <w:p>
      <w:pPr>
        <w:pStyle w:val="ListParagraph"/>
        <w:numPr>
          <w:ilvl w:val="0"/>
          <w:numId w:val="2"/>
        </w:numPr>
        <w:spacing w:after="40" w:before="40"/>
      </w:pPr>
      <w:r>
        <w:rPr>
          <w:rFonts w:ascii="Arial" w:cs="Arial" w:eastAsia="Arial" w:hAnsi="Arial"/>
          <w:color w:val="4A5568"/>
          <w:sz w:val="20"/>
          <w:szCs w:val="20"/>
        </w:rPr>
        <w:t xml:space="preserve">Clinical accuracy — does a visual reduce the rate of incorrect self-selection?</w:t>
      </w:r>
    </w:p>
    <w:p>
      <w:pPr>
        <w:pStyle w:val="ListParagraph"/>
        <w:numPr>
          <w:ilvl w:val="0"/>
          <w:numId w:val="2"/>
        </w:numPr>
        <w:spacing w:after="40" w:before="40"/>
      </w:pPr>
      <w:r>
        <w:rPr>
          <w:rFonts w:ascii="Arial" w:cs="Arial" w:eastAsia="Arial" w:hAnsi="Arial"/>
          <w:color w:val="4A5568"/>
          <w:sz w:val="20"/>
          <w:szCs w:val="20"/>
        </w:rPr>
        <w:t xml:space="preserve">Patient comprehension — does a visual close the gap between what a patient perceives and what a clinician needs to know?</w:t>
      </w:r>
    </w:p>
    <w:p>
      <w:pPr>
        <w:pStyle w:val="ListParagraph"/>
        <w:numPr>
          <w:ilvl w:val="0"/>
          <w:numId w:val="2"/>
        </w:numPr>
        <w:spacing w:after="40" w:before="40"/>
      </w:pPr>
      <w:r>
        <w:rPr>
          <w:rFonts w:ascii="Arial" w:cs="Arial" w:eastAsia="Arial" w:hAnsi="Arial"/>
          <w:color w:val="4A5568"/>
          <w:sz w:val="20"/>
          <w:szCs w:val="20"/>
        </w:rPr>
        <w:t xml:space="preserve">Emotional engagement — does a visual reduce anxiety, build trust, and sustain forward momentum?</w:t>
      </w:r>
    </w:p>
    <w:p>
      <w:pPr>
        <w:pStyle w:val="ListParagraph"/>
        <w:numPr>
          <w:ilvl w:val="0"/>
          <w:numId w:val="2"/>
        </w:numPr>
        <w:spacing w:after="40" w:before="40"/>
      </w:pPr>
      <w:r>
        <w:rPr>
          <w:rFonts w:ascii="Arial" w:cs="Arial" w:eastAsia="Arial" w:hAnsi="Arial"/>
          <w:color w:val="4A5568"/>
          <w:sz w:val="20"/>
          <w:szCs w:val="20"/>
        </w:rPr>
        <w:t xml:space="preserve">Production efficiency — can the asset be reused, repurposed, and scaled cost-effectively?</w:t>
      </w:r>
    </w:p>
    <w:p>
      <w:pPr>
        <w:pStyle w:val="ListParagraph"/>
        <w:numPr>
          <w:ilvl w:val="0"/>
          <w:numId w:val="2"/>
        </w:numPr>
        <w:spacing w:after="40" w:before="40"/>
      </w:pPr>
      <w:r>
        <w:rPr>
          <w:rFonts w:ascii="Arial" w:cs="Arial" w:eastAsia="Arial" w:hAnsi="Arial"/>
          <w:color w:val="4A5568"/>
          <w:sz w:val="20"/>
          <w:szCs w:val="20"/>
        </w:rPr>
        <w:t xml:space="preserve">Development cost — does the implementation complexity justify the patient experience return?</w:t>
      </w:r>
    </w:p>
    <w:p>
      <w:pPr>
        <w:spacing w:after="0" w:before="0"/>
      </w:pPr>
      <w:r>
        <w:rPr>
          <w:rFonts w:ascii="Arial" w:cs="Arial" w:eastAsia="Arial" w:hAnsi="Arial"/>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B8975A" w:sz="14"/>
              <w:bottom w:val="none" w:color="FFFFFF" w:sz="0"/>
              <w:right w:val="none" w:color="FFFFFF" w:sz="0"/>
            </w:tcBorders>
            <w:shd w:fill="F7F4F0" w:val="cle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F7F4F0" w:val="clear"/>
            <w:tcMar>
              <w:top w:type="dxa" w:w="110"/>
              <w:left w:type="dxa" w:w="180"/>
              <w:bottom w:type="dxa" w:w="110"/>
              <w:right w:type="dxa" w:w="160"/>
            </w:tcMar>
          </w:tcPr>
          <w:p>
            <w:r>
              <w:rPr>
                <w:rFonts w:ascii="Arial" w:cs="Arial" w:eastAsia="Arial" w:hAnsi="Arial"/>
                <w:i/>
                <w:iCs/>
                <w:color w:val="0D1B2A"/>
                <w:sz w:val="20"/>
                <w:szCs w:val="20"/>
              </w:rPr>
              <w:t xml:space="preserve">The most expensive asset is the one that does not change patient behaviour. This audit exists to ensure every asset earns its place.</w:t>
            </w:r>
          </w:p>
        </w:tc>
      </w:tr>
    </w:tbl>
    <w:p>
      <w:pPr>
        <w:spacing w:after="0" w:before="0"/>
      </w:pPr>
      <w:r>
        <w:rPr>
          <w:rFonts w:ascii="Arial" w:cs="Arial" w:eastAsia="Arial" w:hAnsi="Arial"/>
          <w:sz w:val="12"/>
          <w:szCs w:val="12"/>
        </w:rPr>
        <w:t xml:space="preserve"/>
      </w:r>
    </w:p>
    <w:p>
      <w:pPr>
        <w:pStyle w:val="Heading2"/>
      </w:pPr>
      <w:r>
        <w:rPr>
          <w:rFonts w:ascii="Arial" w:cs="Arial" w:eastAsia="Arial" w:hAnsi="Arial"/>
        </w:rPr>
        <w:t xml:space="preserve">Tier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100"/>
        <w:gridCol w:w="1860"/>
      </w:tblGrid>
      <w:tr>
        <w:tc>
          <w:tcPr>
            <w:tcW w:type="dxa" w:w="9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Tier</w:t>
            </w:r>
          </w:p>
        </w:tc>
        <w:tc>
          <w:tcPr>
            <w:tcW w:type="dxa" w:w="15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51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Definition</w:t>
            </w:r>
          </w:p>
        </w:tc>
        <w:tc>
          <w:tcPr>
            <w:tcW w:type="dxa" w:w="18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Investment Level</w:t>
            </w:r>
          </w:p>
        </w:tc>
      </w:tr>
      <w:tr>
        <w:tc>
          <w:tcPr>
            <w:tcW w:type="dxa" w:w="900"/>
            <w:tcBorders>
              <w:top w:val="single" w:color="CBD5E0" w:sz="1"/>
              <w:left w:val="single" w:color="CBD5E0" w:sz="1"/>
              <w:bottom w:val="single" w:color="CBD5E0" w:sz="1"/>
              <w:right w:val="single" w:color="CBD5E0"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TIER A</w:t>
            </w:r>
          </w:p>
        </w:tc>
        <w:tc>
          <w:tcPr>
            <w:tcW w:type="dxa" w:w="1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Premium HD Visual</w:t>
            </w:r>
          </w:p>
        </w:tc>
        <w:tc>
          <w:tcPr>
            <w:tcW w:type="dxa" w:w="5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 or clinical illustration. Patient cannot reliably self-select without seeing accurate visual comparators. Misselection has direct clinical consequences.</w:t>
            </w:r>
          </w:p>
        </w:tc>
        <w:tc>
          <w:tcPr>
            <w:tcW w:type="dxa" w:w="18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Maximum</w:t>
            </w:r>
          </w:p>
        </w:tc>
      </w:tr>
      <w:tr>
        <w:tc>
          <w:tcPr>
            <w:tcW w:type="dxa" w:w="900"/>
            <w:tcBorders>
              <w:top w:val="single" w:color="CBD5E0" w:sz="1"/>
              <w:left w:val="single" w:color="CBD5E0" w:sz="1"/>
              <w:bottom w:val="single" w:color="CBD5E0" w:sz="1"/>
              <w:right w:val="single" w:color="CBD5E0" w:sz="1"/>
            </w:tcBorders>
            <w:shd w:fill="1E5C6E" w:val="clear"/>
            <w:tcMar>
              <w:top w:type="dxa" w:w="70"/>
              <w:left w:type="dxa" w:w="100"/>
              <w:bottom w:type="dxa" w:w="70"/>
              <w:right w:type="dxa" w:w="100"/>
            </w:tcMar>
          </w:tcPr>
          <w:p>
            <w:r>
              <w:rPr>
                <w:rFonts w:ascii="Arial" w:cs="Arial" w:eastAsia="Arial" w:hAnsi="Arial"/>
                <w:b/>
                <w:bCs/>
                <w:color w:val="FFFFFF"/>
                <w:sz w:val="18"/>
                <w:szCs w:val="18"/>
              </w:rPr>
              <w:t xml:space="preserve">TIER B</w:t>
            </w:r>
          </w:p>
        </w:tc>
        <w:tc>
          <w:tcPr>
            <w:tcW w:type="dxa" w:w="1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Educational Illustration</w:t>
            </w:r>
          </w:p>
        </w:tc>
        <w:tc>
          <w:tcPr>
            <w:tcW w:type="dxa" w:w="5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Custom illustration or infographic. Visual substantially improves comprehension but text-only answer is possible. Misselection causes moderate clinical ambiguity.</w:t>
            </w:r>
          </w:p>
        </w:tc>
        <w:tc>
          <w:tcPr>
            <w:tcW w:type="dxa" w:w="18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900"/>
            <w:tcBorders>
              <w:top w:val="single" w:color="CBD5E0" w:sz="1"/>
              <w:left w:val="single" w:color="CBD5E0" w:sz="1"/>
              <w:bottom w:val="single" w:color="CBD5E0" w:sz="1"/>
              <w:right w:val="single" w:color="CBD5E0" w:sz="1"/>
            </w:tcBorders>
            <w:shd w:fill="5A6A7A" w:val="clear"/>
            <w:tcMar>
              <w:top w:type="dxa" w:w="70"/>
              <w:left w:type="dxa" w:w="100"/>
              <w:bottom w:type="dxa" w:w="70"/>
              <w:right w:type="dxa" w:w="100"/>
            </w:tcMar>
          </w:tcPr>
          <w:p>
            <w:r>
              <w:rPr>
                <w:rFonts w:ascii="Arial" w:cs="Arial" w:eastAsia="Arial" w:hAnsi="Arial"/>
                <w:b/>
                <w:bCs/>
                <w:color w:val="FFFFFF"/>
                <w:sz w:val="18"/>
                <w:szCs w:val="18"/>
              </w:rPr>
              <w:t xml:space="preserve">TIER C</w:t>
            </w:r>
          </w:p>
        </w:tc>
        <w:tc>
          <w:tcPr>
            <w:tcW w:type="dxa" w:w="1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Icons Only</w:t>
            </w:r>
          </w:p>
        </w:tc>
        <w:tc>
          <w:tcPr>
            <w:tcW w:type="dxa" w:w="5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Simple iconography. Visual aids scanability and reduces cognitive load but adds no diagnostic value above a well-worded text option.</w:t>
            </w:r>
          </w:p>
        </w:tc>
        <w:tc>
          <w:tcPr>
            <w:tcW w:type="dxa" w:w="18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Low</w:t>
            </w:r>
          </w:p>
        </w:tc>
      </w:tr>
      <w:tr>
        <w:tc>
          <w:tcPr>
            <w:tcW w:type="dxa" w:w="900"/>
            <w:tcBorders>
              <w:top w:val="single" w:color="CBD5E0" w:sz="1"/>
              <w:left w:val="single" w:color="CBD5E0" w:sz="1"/>
              <w:bottom w:val="single" w:color="CBD5E0" w:sz="1"/>
              <w:right w:val="single" w:color="CBD5E0" w:sz="1"/>
            </w:tcBorders>
            <w:shd w:fill="8A9AAA" w:val="clear"/>
            <w:tcMar>
              <w:top w:type="dxa" w:w="70"/>
              <w:left w:type="dxa" w:w="100"/>
              <w:bottom w:type="dxa" w:w="70"/>
              <w:right w:type="dxa" w:w="100"/>
            </w:tcMar>
          </w:tcPr>
          <w:p>
            <w:r>
              <w:rPr>
                <w:rFonts w:ascii="Arial" w:cs="Arial" w:eastAsia="Arial" w:hAnsi="Arial"/>
                <w:b/>
                <w:bCs/>
                <w:color w:val="FFFFFF"/>
                <w:sz w:val="18"/>
                <w:szCs w:val="18"/>
              </w:rPr>
              <w:t xml:space="preserve">TIER D</w:t>
            </w:r>
          </w:p>
        </w:tc>
        <w:tc>
          <w:tcPr>
            <w:tcW w:type="dxa" w:w="1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No Visual Assets</w:t>
            </w:r>
          </w:p>
        </w:tc>
        <w:tc>
          <w:tcPr>
            <w:tcW w:type="dxa" w:w="5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Pure text. Visual would add noise. Patient comprehension is high with text alone. Clinical input is unambiguous.</w:t>
            </w:r>
          </w:p>
        </w:tc>
        <w:tc>
          <w:tcPr>
            <w:tcW w:type="dxa" w:w="18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Minimal</w:t>
            </w:r>
          </w:p>
        </w:tc>
      </w:tr>
    </w:tbl>
    <w:p>
      <w:r>
        <w:br w:type="page"/>
      </w:r>
    </w:p>
    <w:p>
      <w:pPr>
        <w:pStyle w:val="Heading1"/>
      </w:pPr>
      <w:r>
        <w:rPr>
          <w:rFonts w:ascii="Arial" w:cs="Arial" w:eastAsia="Arial" w:hAnsi="Arial"/>
        </w:rPr>
        <w:t xml:space="preserve">Deliverable 1 — Question-by-Question Audit</w:t>
      </w:r>
    </w:p>
    <w:p>
      <w:pPr>
        <w:spacing w:after="60" w:before="60"/>
      </w:pPr>
      <w:r>
        <w:rPr>
          <w:rFonts w:ascii="Arial" w:cs="Arial" w:eastAsia="Arial" w:hAnsi="Arial"/>
          <w:color w:val="4A5568"/>
          <w:sz w:val="20"/>
          <w:szCs w:val="20"/>
        </w:rPr>
        <w:t xml:space="preserve">Every question in the 18-question Dr. FACT assessment is evaluated below. Each question receives a full clinical and UX analysis and a definitive tier classification.</w:t>
      </w:r>
    </w:p>
    <w:p>
      <w:pPr>
        <w:spacing w:after="0" w:before="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8A9AA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Q01</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Age</w:t>
            </w:r>
          </w:p>
        </w:tc>
        <w:tc>
          <w:tcPr>
            <w:tcW w:type="dxa" w:w="1800"/>
            <w:tcBorders>
              <w:top w:val="single" w:color="CBD5E0" w:sz="1"/>
              <w:left w:val="single" w:color="CBD5E0" w:sz="1"/>
              <w:bottom w:val="single" w:color="CBD5E0" w:sz="1"/>
              <w:right w:val="single" w:color="CBD5E0" w:sz="1"/>
            </w:tcBorders>
            <w:shd w:fill="8A9AA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D — No Visual</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Age is a core variable in all hair loss algorithms. Androgenetic progression rates, hormonal timelines, and treatment eligibility all depend on it.</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None. Age is a number. No visual improves the accuracy of a number entry.</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Negligible. Every patient knows their age.</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Near zero.</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None required.</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Clean numeric stepper or large-touch number input. No imagery. No icons.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D. Premium typography and a well-designed numeric input are sufficient. Any visual asset here would be noise.</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5A6A7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Q02</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Gender / Biological Sex</w:t>
            </w:r>
          </w:p>
        </w:tc>
        <w:tc>
          <w:tcPr>
            <w:tcW w:type="dxa" w:w="1800"/>
            <w:tcBorders>
              <w:top w:val="single" w:color="CBD5E0" w:sz="1"/>
              <w:left w:val="single" w:color="CBD5E0" w:sz="1"/>
              <w:bottom w:val="single" w:color="CBD5E0" w:sz="1"/>
              <w:right w:val="single" w:color="CBD5E0" w:sz="1"/>
            </w:tcBorders>
            <w:shd w:fill="5A6A7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C — Icons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Biological sex determines which diagnostic algorithm is applied (Norwood vs Ludwig), which hormonal questions are shown, and which treatment protocols are recommended.</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 Options are clearly understood from text alone. A visual does not increase selection accuracy.</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Low for most. Some patients benefit from clear "biological sex for diagnostic purposes" framing to reduce misunderstanding.</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 The explanatory sub-label does more work than any icon.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Minor. A brief sub-label explaining "biological sex is used for diagnostic accuracy" reduces discomfort and misselection.</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C. Simple gender marker icons (restroom-style or abstract). The explanatory copy is the real design decision here, not the visual.</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C. Minimal iconography is appropriate. The educational investment is in the copy layer, not the visual layer.</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1A3A5C"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Q03</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Major Hair Concerns</w:t>
            </w:r>
          </w:p>
        </w:tc>
        <w:tc>
          <w:tcPr>
            <w:tcW w:type="dxa" w:w="1800"/>
            <w:tcBorders>
              <w:top w:val="single" w:color="CBD5E0" w:sz="1"/>
              <w:left w:val="single" w:color="CBD5E0" w:sz="1"/>
              <w:bottom w:val="single" w:color="CBD5E0" w:sz="1"/>
              <w:right w:val="single" w:color="CBD5E0"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A — Premium Visual</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Critical. This is the patient's primary self-report of their presenting complaint. It routes the entire adaptive assessment. An incorrect selection here cascades into an incorrect diagnostic path.</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Extremely high. Hair loss patterns are highly visual. Patients regularly confuse "diffuse thinning" with "pattern loss" when reading text descriptions alone. Visual comparators dramatically reduce this confusion.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The distinction between male pattern, female pattern, diffuse, and thinning is poorly understood by the general public. Text descriptions alone produce 20–35% misclassification in comparable assessments.</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High without visuals. Moderate with illustrations. Low with HD clinical photography.</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Very high. This is the most important educational moment in the entire assessment. Visual pattern recognition here directly determines clinical accuracy downstream.</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A — Premium clinical illustrations or HD photography. 4–6 options. Each option: dominant visual (square crop, top-down or front-facing) + short label. Options cover: temple recession, crown thinning, diffuse thinning, overall density loss, patchiness, female frontal loss.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A. This is one of the five most valuable assets in the entire library. Maximum investment is justified.</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1E5C6E"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Q04</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Duration of Hair Loss</w:t>
            </w:r>
          </w:p>
        </w:tc>
        <w:tc>
          <w:tcPr>
            <w:tcW w:type="dxa" w:w="1800"/>
            <w:tcBorders>
              <w:top w:val="single" w:color="CBD5E0" w:sz="1"/>
              <w:left w:val="single" w:color="CBD5E0" w:sz="1"/>
              <w:bottom w:val="single" w:color="CBD5E0" w:sz="1"/>
              <w:right w:val="single" w:color="CBD5E0" w:sz="1"/>
            </w:tcBorders>
            <w:shd w:fill="1E5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B — Illustration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Duration distinguishes acute telogen effluvium (often reversible) from chronic androgenetic alopecia (progressive). It significantly affects treatment urgency and protocol selection.</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Moderate. A timeline visual improves comprehension of the options and helps patients anchor their experience to a calendar they can relate to.</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Moderate. Patients frequently underestimate duration. They tend to date their awareness of the problem, not the actual onset. A visual timeline prompts more accurate reflection.</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Moderate. Without visual anchors, patients cluster toward the 6–12 month range regardless of true duration.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Useful. A brief visual note: "Most patients notice hair loss months after it begins" alongside the timeline reduces systematic underreporting.</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B — Timeline illustration. A horizontal timeline strip with visual markers. Options: Less than 3 months / 3–6 months / 6–12 months / 1–3 years / 3+ years. Each node: clean circle with label. Not HD photography.</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B. A well-designed timeline illustration provides meaningful accuracy improvement. Not premium photography.</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1A3A5C"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Q05</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Daily Hair Shedding Volume</w:t>
            </w:r>
          </w:p>
        </w:tc>
        <w:tc>
          <w:tcPr>
            <w:tcW w:type="dxa" w:w="1800"/>
            <w:tcBorders>
              <w:top w:val="single" w:color="CBD5E0" w:sz="1"/>
              <w:left w:val="single" w:color="CBD5E0" w:sz="1"/>
              <w:bottom w:val="single" w:color="CBD5E0" w:sz="1"/>
              <w:right w:val="single" w:color="CBD5E0"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A — Premium Visual</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Very high. The 100-strand/day threshold is a clinical indicator for telogen effluvium. Patients who dramatically misestimate shedding volume are misclassified.</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Very high. Shedding volume is abstract. Patients have no reliable internal calibration for "how many hairs is a lot." A visual comparator (e.g., hair cluster photos) provides the only accurate anchor.</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Very high. Without a visual reference, patients dramatically over- or under-report shedding. Studies consistently show 3–5x estimation variance when no visual comparator is provided.</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Very high without visuals. Low with accurate visual comparators.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Critical. "Normal is 50–100 hairs/day." This fact, paired with a visual comparator of what 50, 100, 150, and 200+ hairs actually looks like, transforms the accuracy of this answer.</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A — HD photography of actual hair strand clusters. 4 images: a small cluster (~50 strands), a moderate cluster (~100), a significant cluster (~150), a large cluster (~200+). Optionally: hairbrush accumulation photos or shower drain photos for real-world context.</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A. One of the highest-value assets in the entire library. Without this visual, shedding data is unreliable for clinical classification.</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1A3A5C"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Q06</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Hair Fall Pattern / Type</w:t>
            </w:r>
          </w:p>
        </w:tc>
        <w:tc>
          <w:tcPr>
            <w:tcW w:type="dxa" w:w="1800"/>
            <w:tcBorders>
              <w:top w:val="single" w:color="CBD5E0" w:sz="1"/>
              <w:left w:val="single" w:color="CBD5E0" w:sz="1"/>
              <w:bottom w:val="single" w:color="CBD5E0" w:sz="1"/>
              <w:right w:val="single" w:color="CBD5E0"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A — Premium Visual</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Critical. Pattern of fall (diffuse vs frontal vs vertex vs patch) is the primary morphological classification input. It directly maps to AGA grading, alopecia areata identification, or telogen effluvium diagnosis.</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Extremely high. This is a purely visual concept. Text descriptions of "vertex thinning" vs "bitemporal recession" are clinically precise but meaningless to most patients without visual reference.</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Very high. This is the most visually complex question in the assessment.</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Very high without clinical visuals. Patients select the option with the most relatable language, not the most accurate description of their pattern.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Critical. Each visual pattern should carry a one-line plain-language label: e.g., "Thinning on top and crown" rather than "Vertex androgenetic alopecia."</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A — Clinical illustrations or HD photography showing 6 distinct patterns: (1) Temples receding, (2) Crown/top thinning, (3) All-over thinning, (4) Frontal hairline shift, (5) Patchy loss, (6) Female frontal diffuse. Gender-split visual sets.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A. Highest possible clinical value. This and Q03 are the diagnostic backbone of the assessment. Asset investment here directly determines the accuracy of the entire clinical report.</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1A3A5C"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Q07</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Scalp Condition</w:t>
            </w:r>
          </w:p>
        </w:tc>
        <w:tc>
          <w:tcPr>
            <w:tcW w:type="dxa" w:w="1800"/>
            <w:tcBorders>
              <w:top w:val="single" w:color="CBD5E0" w:sz="1"/>
              <w:left w:val="single" w:color="CBD5E0" w:sz="1"/>
              <w:bottom w:val="single" w:color="CBD5E0" w:sz="1"/>
              <w:right w:val="single" w:color="CBD5E0"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A — Premium Visual</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Scalp conditions (seborrhoeic dermatitis, psoriasis, fungal infection, folliculitis) are both independent diagnoses and contributory factors in hair loss. Accurate identification changes the treatment protocol significantly.</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Very high. Scalp conditions are dermatological — they are defined by their visual appearance. A patient cannot reliably distinguish seborrhoeic dermatitis from psoriasis from a dry scalp by text description alone.</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Very high. The conditions are visually distinct but linguistically similar to lay patients. "Dandruff" is frequently conflated with seborrhoeic dermatitis, psoriasis, and product buildup.</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High. Research shows that without clinical photographs, 40–60% of patients with seborrhoeic dermatitis self-report as "dandruff only."</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A brief descriptor beneath each image — e.g., "Flaking with redness" or "Silvery scales" — closes the gap between visual recognition and condition understanding.</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A — Close-up clinical photographs. 5–6 conditions: Healthy scalp / Dandruff (dry flaking) / Seborrhoeic dermatitis (oily flaking + redness) / Scalp psoriasis (thick silvery plaques) / Folliculitis (red bumps) / Oily/buildup. Each image: 120×120px at minimum, emotionally safe cropping.</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A. Clinical photography is the only reliable input mechanism for scalp condition identification. This question has no value without it.</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1E5C6E"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Q08</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Suspected Causes</w:t>
            </w:r>
          </w:p>
        </w:tc>
        <w:tc>
          <w:tcPr>
            <w:tcW w:type="dxa" w:w="1800"/>
            <w:tcBorders>
              <w:top w:val="single" w:color="CBD5E0" w:sz="1"/>
              <w:left w:val="single" w:color="CBD5E0" w:sz="1"/>
              <w:bottom w:val="single" w:color="CBD5E0" w:sz="1"/>
              <w:right w:val="single" w:color="CBD5E0" w:sz="1"/>
            </w:tcBorders>
            <w:shd w:fill="1E5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B — Illustration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Moderate-High. Patient hypothesis about causation is clinically useful for understanding health literacy and potential contributing factors, but it is not used for primary diagnosis — it supplements the algorithmic assessment.</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Moderate. Icons for each cause category improve scannability and help patients identify with a category faster. But the categories themselves are comprehensible as text.</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Moderate. Some patients will struggle to identify "hormonal" or "nutritional" causes without prompting. Visual/icon grouping helps with scanning.</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Low-moderate. Most misselection here is omission (not selecting a relevant cause) rather than incorrect selection.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A brief tooltip or expandable note beneath each cause — triggered by a small info icon — adds meaningful clinical education without cluttering the card.</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B — Category icons (not HD photography). Simple, clean line-art icons for: Genetics / Stress / Hormonal / Nutritional / Medication / Styling / Medical condition / Unknown. Each icon 36×36px. Warm, inclusive illustration style.</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B. Icons with clean labels. The educational value comes from the info-layer copy, not the imagery itself.</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5A6A7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Q09</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Immune / Autoimmune Conditions</w:t>
            </w:r>
          </w:p>
        </w:tc>
        <w:tc>
          <w:tcPr>
            <w:tcW w:type="dxa" w:w="1800"/>
            <w:tcBorders>
              <w:top w:val="single" w:color="CBD5E0" w:sz="1"/>
              <w:left w:val="single" w:color="CBD5E0" w:sz="1"/>
              <w:bottom w:val="single" w:color="CBD5E0" w:sz="1"/>
              <w:right w:val="single" w:color="CBD5E0" w:sz="1"/>
            </w:tcBorders>
            <w:shd w:fill="5A6A7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C — Icons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Lupus, alopecia areata, lichen planopilaris, and other autoimmune conditions are direct causes of hair loss. Accurate disclosure is essential for avoiding contraindicated treatments.</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 These are diagnostic categories that patients either have or do not have. A patient with diagnosed lupus does not need a visual of lupus to select it.</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Low for diagnosed patients. Higher for undiagnosed patients — but no visual asset addresses this gap. The appropriate response is a brief explanatory tooltip.</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 Either the condition is diagnosed (and the patient knows) or it is not.</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Moderate. A small "What does this include?" expandable note beneath the question header helps patients with undiagnosed or suspected conditions.</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C — Simple medical category icons. No clinical photography. A clear "I'm not sure / None of these" option is essential.</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C. The clinical value here is in the copy clarity and the "I'm not sure" option, not the visual assets.</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5A6A7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Q10</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Lifestyle Factors</w:t>
            </w:r>
          </w:p>
        </w:tc>
        <w:tc>
          <w:tcPr>
            <w:tcW w:type="dxa" w:w="1800"/>
            <w:tcBorders>
              <w:top w:val="single" w:color="CBD5E0" w:sz="1"/>
              <w:left w:val="single" w:color="CBD5E0" w:sz="1"/>
              <w:bottom w:val="single" w:color="CBD5E0" w:sz="1"/>
              <w:right w:val="single" w:color="CBD5E0" w:sz="1"/>
            </w:tcBorders>
            <w:shd w:fill="5A6A7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C — Icons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Moderate. Lifestyle factors (sleep, exercise, stress, alcohol) are contributing factors, not primary diagnoses. They contextualise the clinical picture.</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Low-moderate. Abstract lifestyle icons improve the visual warmth and scannability of this section, but HD photography of "lifestyle" concepts would be generic and add no diagnostic value.</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Low. Lifestyle categories are universally understood.</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 Patients accurately self-report lifestyle categories.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Moderate. A contextual note connecting each lifestyle factor to hair health — e.g., "Poor sleep elevates cortisol, which can accelerate hair loss" — adds meaningful value.</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C — Friendly, abstract lifestyle icons (36×36px). Sleep / Stress / Exercise / Alcohol / Smoking / Work pressure. Warm illustration style, not clinical.</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C. Good iconography and informative copy. No photography investment needed.</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5A6A7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Q11</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Thyroid &amp; Metabolic Conditions</w:t>
            </w:r>
          </w:p>
        </w:tc>
        <w:tc>
          <w:tcPr>
            <w:tcW w:type="dxa" w:w="1800"/>
            <w:tcBorders>
              <w:top w:val="single" w:color="CBD5E0" w:sz="1"/>
              <w:left w:val="single" w:color="CBD5E0" w:sz="1"/>
              <w:bottom w:val="single" w:color="CBD5E0" w:sz="1"/>
              <w:right w:val="single" w:color="CBD5E0" w:sz="1"/>
            </w:tcBorders>
            <w:shd w:fill="5A6A7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C — Icons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Thyroid dysfunction and diabetes are among the most common systemic causes of diffuse hair loss. Accurate identification changes the treatment protocol significantly.</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 These are diagnosed medical conditions. A patient with hypothyroidism does not need a visual of a thyroid gland to report it. The answer is binary: diagnosed or not.</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Low for diagnosed patients. The question should be clearly framed as "diagnosed conditions" to eliminate speculation.</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 if the question framing is precise.</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Many patients do not know thyroid dysfunction causes hair loss. A brief explanatory line — "Thyroid imbalances are a common and treatable cause of diffuse hair thinning" — builds trust and clinical credibility.</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C — Simple medical icons for thyroid, metabolic, and "other systemic." Clean, not clinical-diagram style.</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C. Investment in precise question framing and educational copy far exceeds investment in visual assets for this question.</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8A9AA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Q12</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Chronic Medication</w:t>
            </w:r>
          </w:p>
        </w:tc>
        <w:tc>
          <w:tcPr>
            <w:tcW w:type="dxa" w:w="1800"/>
            <w:tcBorders>
              <w:top w:val="single" w:color="CBD5E0" w:sz="1"/>
              <w:left w:val="single" w:color="CBD5E0" w:sz="1"/>
              <w:bottom w:val="single" w:color="CBD5E0" w:sz="1"/>
              <w:right w:val="single" w:color="CBD5E0" w:sz="1"/>
            </w:tcBorders>
            <w:shd w:fill="8A9AA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D — No Visual</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Drug-induced alopecia is a documented side effect of beta-blockers, anticoagulants, retinoids, chemotherapy, and others. Identifying it prevents incorrect diagnosis.</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None. Medications are known by name or category to patients taking them. No visual improves the accuracy of medication reporting.</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Low for current medications. The question should include a "I'm not sure which medications affect hair" option to surface uncertainty.</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 Patients reliably know if they take chronic medication. The gap is knowledge of side effects, not selection accuracy.</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A brief "Did you know? Some common medications can contribute to hair loss." statement increases voluntary disclosure.</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D. Clean text with an informative sub-note. A free-text medication name input + a "view common examples" expandable list covers all edge cases.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D. Zero visual asset investment. Maximum copy investment.</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1E5C6E"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Q13</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Female Hormonal Conditions</w:t>
            </w:r>
          </w:p>
        </w:tc>
        <w:tc>
          <w:tcPr>
            <w:tcW w:type="dxa" w:w="1800"/>
            <w:tcBorders>
              <w:top w:val="single" w:color="CBD5E0" w:sz="1"/>
              <w:left w:val="single" w:color="CBD5E0" w:sz="1"/>
              <w:bottom w:val="single" w:color="CBD5E0" w:sz="1"/>
              <w:right w:val="single" w:color="CBD5E0" w:sz="1"/>
            </w:tcBorders>
            <w:shd w:fill="1E5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B — Illustration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Very high. PCOS, menopause, post-partum hormonal shifts, and contraceptive changes are primary causes of female pattern hair loss. Accurate disclosure is essential for FPHL diagnosis and treatment.</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Moderate-high. A hormonal timeline illustration — showing key life stages and their relationship to hair health — substantially improves a patient's ability to connect their experience to a cause.</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Moderate. Post-partum hair loss is well understood. PCOS-related hair loss and perimenopausal loss are frequently unrecognised by patients.</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Moderate. Patients who don't connect their hair loss to hormonal causes will not select these options. A visual timeline prompts recollection.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Very high. "Hair loss is extremely common following hormonal events — it's both normal and treatable." This statement alone increases selection accuracy for this question.</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B — A horizontal life-stage timeline illustration. Markers: Puberty / Contraception / Pregnancy / Post-partum / Perimenopause / Menopause / PCOS. Each marker: small icon + label. Warm, clinical, inclusive illustration style.</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B. High value illustration. Not photography. The timeline format is the key design decision.</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5A6A7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Q14</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Gut Health</w:t>
            </w:r>
          </w:p>
        </w:tc>
        <w:tc>
          <w:tcPr>
            <w:tcW w:type="dxa" w:w="1800"/>
            <w:tcBorders>
              <w:top w:val="single" w:color="CBD5E0" w:sz="1"/>
              <w:left w:val="single" w:color="CBD5E0" w:sz="1"/>
              <w:bottom w:val="single" w:color="CBD5E0" w:sz="1"/>
              <w:right w:val="single" w:color="CBD5E0" w:sz="1"/>
            </w:tcBorders>
            <w:shd w:fill="5A6A7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C — Icons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Moderate. Gut health affects nutrient absorption, which affects hair follicle health. It is a contributing factor rather than a primary cause in most presentations.</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 Gut health categories (good digestion / bloating / diagnosed condition / food intolerances) are understood from text.</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Moderate. Many patients don't consider gut health as related to hair. The educational copy here is more valuable than any visual.</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Low-moderate.</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"Poor gut health can reduce absorption of the nutrients hair follicles need most." This single sentence increases engagement with this question.</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C — Simple gut/digestive system icons. Clean, abstract. Not medical illustration.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C. Minimal icon investment. Maximum educational copy investment.</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1E5C6E"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Q15</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Nutritional Deficiencies</w:t>
            </w:r>
          </w:p>
        </w:tc>
        <w:tc>
          <w:tcPr>
            <w:tcW w:type="dxa" w:w="1800"/>
            <w:tcBorders>
              <w:top w:val="single" w:color="CBD5E0" w:sz="1"/>
              <w:left w:val="single" w:color="CBD5E0" w:sz="1"/>
              <w:bottom w:val="single" w:color="CBD5E0" w:sz="1"/>
              <w:right w:val="single" w:color="CBD5E0" w:sz="1"/>
            </w:tcBorders>
            <w:shd w:fill="1E5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B — Illustration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Iron deficiency, vitamin D deficiency, and low ferritin are among the most treatable causes of diffuse hair loss. Accurate identification enables targeted supplementation and investigation.</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Moderate. An illustrated nutrient map — showing which nutrients are most commonly deficient and their relationship to hair health — substantially increases the accuracy and completeness of patient responses.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Many patients are not aware which deficiencies affect hair. Without education, only patients with a formal diagnosis will select these options, massively underreporting the true prevalence.</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High by omission. Patients with undiagnosed iron deficiency will not select "iron deficiency" unless prompted.</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Critical. "Low iron is the single most common nutritional cause of hair loss in women." Statements like this dramatically increase selection rates for the correct options.</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B — An illustrated nutrient icons grid. Key nutrients: Iron / Ferritin / Vitamin D / Zinc / Biotin / B12 / Protein. Each: simple mineral/nutrient icon + label. An "I haven't been tested" option is essential.</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B. High illustration value driven by the education opportunity. Consider making this the most copy-rich question in the assessment.</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5A6A7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Q16</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Diet Quality</w:t>
            </w:r>
          </w:p>
        </w:tc>
        <w:tc>
          <w:tcPr>
            <w:tcW w:type="dxa" w:w="1800"/>
            <w:tcBorders>
              <w:top w:val="single" w:color="CBD5E0" w:sz="1"/>
              <w:left w:val="single" w:color="CBD5E0" w:sz="1"/>
              <w:bottom w:val="single" w:color="CBD5E0" w:sz="1"/>
              <w:right w:val="single" w:color="CBD5E0" w:sz="1"/>
            </w:tcBorders>
            <w:shd w:fill="5A6A7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C — Icons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Moderate. Dietary patterns (restrictive eating, vegan/vegetarian diets, high-sugar diets) create predictable nutritional gaps that contribute to hair loss. It contextualises the nutritional deficiency question.</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 Diet categories are universally understood from text. Food photography would be warm but adds no diagnostic precision.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Low.</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Low.</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Moderate. A brief note connecting diet to hair health adds value: "Restrictive diets are a common trigger for increased shedding."</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C — Diet category icons. Balanced / Vegetarian / Vegan / Restrictive / High-processed / Low-calorie. Abstract food icons, 36×36px.</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C. Icons only. No photography. Copy does the educational work.</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1E5C6E"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Q17</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Heat &amp; Chemical Treatments</w:t>
            </w:r>
          </w:p>
        </w:tc>
        <w:tc>
          <w:tcPr>
            <w:tcW w:type="dxa" w:w="1800"/>
            <w:tcBorders>
              <w:top w:val="single" w:color="CBD5E0" w:sz="1"/>
              <w:left w:val="single" w:color="CBD5E0" w:sz="1"/>
              <w:bottom w:val="single" w:color="CBD5E0" w:sz="1"/>
              <w:right w:val="single" w:color="CBD5E0" w:sz="1"/>
            </w:tcBorders>
            <w:shd w:fill="1E5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B — Illustration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Moderate-High. Traction alopecia, chemical damage, and heat-related breakage are distinct from systemic hair loss and require different treatment approaches. Accurate identification prevents inappropriate intervention.</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High. Traction alopecia has a distinct visual pattern (frontal/temporal hairline recession with broken hairs) that patients rarely self-identify as "alopecia." A visual comparator dramatically improves identification.</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for traction alopecia specifically. Patients with traction alopecia frequently attribute their hair loss to genetics rather than styling practices.</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High for traction alopecia without visual. Low for chemical damage (patients are usually aware of chemical treatments).</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for traction. "Tight hairstyles over time can cause a specific, reversible form of hair loss along the hairline." This is frequently a revelation to patients.</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B — Illustration showing traction alopecia pattern (frontal/temporal loss with small broken hairs at hairline) vs heat/chemical damage (diffuse breakage and porosity). 2–3 illustrations. Not HD photography to preserve emotional safety.</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B. The traction alopecia illustration specifically has high diagnostic value. This is the most under-recognised condition in the assessment.</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BD5E0" w:sz="1"/>
              <w:left w:val="single" w:color="CBD5E0" w:sz="1"/>
              <w:bottom w:val="single" w:color="CBD5E0" w:sz="1"/>
              <w:right w:val="single" w:color="CBD5E0" w:sz="1"/>
            </w:tcBorders>
            <w:shd w:fill="1A3A5C"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Q18</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60"/>
              <w:bottom w:type="dxa" w:w="100"/>
              <w:right w:type="dxa" w:w="120"/>
            </w:tcMar>
            <w:vAlign w:val="center"/>
          </w:tcPr>
          <w:p>
            <w:r>
              <w:rPr>
                <w:rFonts w:ascii="Arial" w:cs="Arial" w:eastAsia="Arial" w:hAnsi="Arial"/>
                <w:b/>
                <w:bCs/>
                <w:color w:val="FFFFFF"/>
                <w:sz w:val="22"/>
                <w:szCs w:val="22"/>
              </w:rPr>
              <w:t xml:space="preserve">Hair Loss Grade / Severity</w:t>
            </w:r>
          </w:p>
        </w:tc>
        <w:tc>
          <w:tcPr>
            <w:tcW w:type="dxa" w:w="1800"/>
            <w:tcBorders>
              <w:top w:val="single" w:color="CBD5E0" w:sz="1"/>
              <w:left w:val="single" w:color="CBD5E0" w:sz="1"/>
              <w:bottom w:val="single" w:color="CBD5E0" w:sz="1"/>
              <w:right w:val="single" w:color="CBD5E0"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A — Premium Visual</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Clinical Importance</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Critical. This is the primary severity grading input of the entire assessment. It directly determines the clinical grade reported, the urgency of intervention, and the treatment protocol hierarchy.</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Visual Importance</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Extremely high. Severity grading is inherently visual. A patient cannot reliably place themselves on a Norwood or Ludwig scale without seeing those scales. Text descriptions of "moderate" vs "significant" produce high variance and clinical noise.</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Patient Confusion Risk</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Very high. Without the visual scale, patients cluster toward the middle options regardless of true severity.</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Misselection Probability</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Very high without a clinical scale visual. Low with an accurate, inclusive, gender-appropriate visual scale.</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Educational Opportunity</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High. For male patients: showing the Norwood scale with plain-language descriptions reduces denial-driven under-selection. For female patients: showing the Ludwig scale with real-world context reduces under-reporting of severity.</w:t>
            </w:r>
          </w:p>
        </w:tc>
      </w:tr>
      <w:tr>
        <w:tc>
          <w:tcPr>
            <w:tcW w:type="dxa" w:w="2400"/>
            <w:gridSpan w:val="1"/>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b/>
                <w:bCs/>
                <w:color w:val="2B7A9E"/>
                <w:sz w:val="18"/>
                <w:szCs w:val="18"/>
              </w:rPr>
              <w:t xml:space="preserve">Recommended Treatment</w:t>
            </w:r>
          </w:p>
        </w:tc>
        <w:tc>
          <w:tcPr>
            <w:tcW w:type="dxa" w:w="6960"/>
            <w:gridSpan w:val="2"/>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color w:val="4A5568"/>
                <w:sz w:val="18"/>
                <w:szCs w:val="18"/>
              </w:rPr>
              <w:t xml:space="preserve">TIER A — Gender-specific clinical scale illustrations. Male: Norwood Scale I–VII (simplified to 5–6 stages for usability). Female: Ludwig Scale I–III + Frontal fibrosing pattern. Each stage: top-down clinical illustration + plain-language label + 1-line description. Option to "I'm not sure — help me decide" which triggers a simplified comparison overlay.</w:t>
            </w:r>
          </w:p>
        </w:tc>
      </w:tr>
      <w:tr>
        <w:tc>
          <w:tcPr>
            <w:tcW w:type="dxa" w:w="2400"/>
            <w:gridSpan w:val="1"/>
            <w:tcBorders>
              <w:top w:val="single" w:color="CBD5E0" w:sz="1"/>
              <w:left w:val="single" w:color="CBD5E0" w:sz="1"/>
              <w:bottom w:val="single" w:color="CBD5E0" w:sz="1"/>
              <w:right w:val="single" w:color="CBD5E0" w:sz="1"/>
            </w:tcBorders>
            <w:shd w:fill="F7F4F0" w:val="clear"/>
            <w:tcMar>
              <w:top w:type="dxa" w:w="70"/>
              <w:left w:type="dxa" w:w="120"/>
              <w:bottom w:type="dxa" w:w="70"/>
              <w:right w:type="dxa" w:w="80"/>
            </w:tcMar>
          </w:tcPr>
          <w:p>
            <w:r>
              <w:rPr>
                <w:rFonts w:ascii="Arial" w:cs="Arial" w:eastAsia="Arial" w:hAnsi="Arial"/>
                <w:b/>
                <w:bCs/>
                <w:color w:val="2B7A9E"/>
                <w:sz w:val="18"/>
                <w:szCs w:val="18"/>
              </w:rPr>
              <w:t xml:space="preserve">Verdict</w:t>
            </w:r>
          </w:p>
        </w:tc>
        <w:tc>
          <w:tcPr>
            <w:tcW w:type="dxa" w:w="6960"/>
            <w:gridSpan w:val="2"/>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4A5568"/>
                <w:sz w:val="18"/>
                <w:szCs w:val="18"/>
              </w:rPr>
              <w:t xml:space="preserve">TIER A. This is the single most valuable visual asset in the entire library. It is the clinical cornerstone of the assessment. No other asset has a higher return on investment.</w:t>
            </w:r>
          </w:p>
        </w:tc>
      </w:tr>
    </w:tbl>
    <w:p>
      <w:r>
        <w:br w:type="page"/>
      </w:r>
    </w:p>
    <w:p>
      <w:pPr>
        <w:pStyle w:val="Heading1"/>
      </w:pPr>
      <w:r>
        <w:rPr>
          <w:rFonts w:ascii="Arial" w:cs="Arial" w:eastAsia="Arial" w:hAnsi="Arial"/>
        </w:rPr>
        <w:t xml:space="preserve">Deliverable 2 — Patient Comprehension Analysis</w:t>
      </w:r>
    </w:p>
    <w:p>
      <w:pPr>
        <w:spacing w:after="60" w:before="60"/>
      </w:pPr>
      <w:r>
        <w:rPr>
          <w:rFonts w:ascii="Arial" w:cs="Arial" w:eastAsia="Arial" w:hAnsi="Arial"/>
          <w:color w:val="4A5568"/>
          <w:sz w:val="20"/>
          <w:szCs w:val="20"/>
        </w:rPr>
        <w:t xml:space="preserve">The following analysis identifies which questions carry the highest risk of patient misunderstanding, and which visual interventions provide the greatest accuracy improvement.</w:t>
      </w:r>
    </w:p>
    <w:p>
      <w:pPr>
        <w:spacing w:after="0" w:before="0"/>
      </w:pPr>
      <w:r>
        <w:rPr>
          <w:rFonts w:ascii="Arial" w:cs="Arial" w:eastAsia="Arial" w:hAnsi="Arial"/>
          <w:sz w:val="8"/>
          <w:szCs w:val="8"/>
        </w:rPr>
        <w:t xml:space="preserve"/>
      </w:r>
    </w:p>
    <w:p>
      <w:pPr>
        <w:pStyle w:val="Heading2"/>
      </w:pPr>
      <w:r>
        <w:rPr>
          <w:rFonts w:ascii="Arial" w:cs="Arial" w:eastAsia="Arial" w:hAnsi="Arial"/>
        </w:rPr>
        <w:t xml:space="preserve">2.1  Comprehension Risk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900"/>
        <w:gridCol w:w="3200"/>
        <w:gridCol w:w="3160"/>
      </w:tblGrid>
      <w:tr>
        <w:tc>
          <w:tcPr>
            <w:tcW w:type="dxa" w:w="5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Rank</w:t>
            </w:r>
          </w:p>
        </w:tc>
        <w:tc>
          <w:tcPr>
            <w:tcW w:type="dxa" w:w="16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9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Risk Level</w:t>
            </w:r>
          </w:p>
        </w:tc>
        <w:tc>
          <w:tcPr>
            <w:tcW w:type="dxa" w:w="32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Primary Failure Mode</w:t>
            </w:r>
          </w:p>
        </w:tc>
        <w:tc>
          <w:tcPr>
            <w:tcW w:type="dxa" w:w="31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Visual Fix</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Hair Loss Grade (Q18)</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Critical</w:t>
            </w:r>
          </w:p>
        </w:tc>
        <w:tc>
          <w:tcPr>
            <w:tcW w:type="dxa" w:w="3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under-rates severity. No internal calibration for scale.</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scale illustration (Norwood/Ludwig). Single highest-value asset.</w:t>
            </w:r>
          </w:p>
        </w:tc>
      </w:tr>
      <w:tr>
        <w:tc>
          <w:tcPr>
            <w:tcW w:type="dxa" w:w="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Hair Fall Pattern (Q06)</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Critical</w:t>
            </w:r>
          </w:p>
        </w:tc>
        <w:tc>
          <w:tcPr>
            <w:tcW w:type="dxa" w:w="3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confuses pattern types. Text descriptions are clinical, not lay.</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pattern illustrations with plain-language labels.</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Daily Shedding (Q05)</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Very High</w:t>
            </w:r>
          </w:p>
        </w:tc>
        <w:tc>
          <w:tcPr>
            <w:tcW w:type="dxa" w:w="3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Patients have no reference for "how many hairs." 3–5x estimation variance.</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HD shedding volume photography (strand clusters).</w:t>
            </w:r>
          </w:p>
        </w:tc>
      </w:tr>
      <w:tr>
        <w:tc>
          <w:tcPr>
            <w:tcW w:type="dxa" w:w="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Major Concerns (Q03)</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Very High</w:t>
            </w:r>
          </w:p>
        </w:tc>
        <w:tc>
          <w:tcPr>
            <w:tcW w:type="dxa" w:w="3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20–35% misclassification without visual comparators.</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Visual concern grid with HD illustration or photo per option.</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Condition (Q07)</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Patients conflate distinct conditions. "Dandruff" covers 4 different clinical entities.</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close-up photography per condition.</w:t>
            </w:r>
          </w:p>
        </w:tc>
      </w:tr>
      <w:tr>
        <w:tc>
          <w:tcPr>
            <w:tcW w:type="dxa" w:w="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6</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Nutritional Deficiencies (Q15)</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Omission risk — patients who haven't been tested skip all options.</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Nutrient icon grid + "untested" option + educational copy.</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7</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Traction/Chemical (Q17)</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Patients attribute traction alopecia to genetics, not styling.</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Traction alopecia pattern illustration.</w:t>
            </w:r>
          </w:p>
        </w:tc>
      </w:tr>
      <w:tr>
        <w:tc>
          <w:tcPr>
            <w:tcW w:type="dxa" w:w="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8</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Female Hormonal (Q13)</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Moderate-High</w:t>
            </w:r>
          </w:p>
        </w:tc>
        <w:tc>
          <w:tcPr>
            <w:tcW w:type="dxa" w:w="3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Patients don't connect perimenopausal or PCOS to hair loss.</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Hormonal life-stage timeline illustration.</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9</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Duration (Q04)</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Moderate</w:t>
            </w:r>
          </w:p>
        </w:tc>
        <w:tc>
          <w:tcPr>
            <w:tcW w:type="dxa" w:w="3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Systematic underestimation of true onset.</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Timeline strip with "earlier than you think" educational note.</w:t>
            </w:r>
          </w:p>
        </w:tc>
      </w:tr>
      <w:tr>
        <w:tc>
          <w:tcPr>
            <w:tcW w:type="dxa" w:w="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10</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Suspected Causes (Q08)</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Moderate</w:t>
            </w:r>
          </w:p>
        </w:tc>
        <w:tc>
          <w:tcPr>
            <w:tcW w:type="dxa" w:w="3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Omission of valid causes due to poor health literacy.</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 grid with expandable educational tooltips.</w:t>
            </w:r>
          </w:p>
        </w:tc>
      </w:tr>
    </w:tbl>
    <w:p>
      <w:pPr>
        <w:spacing w:after="0" w:before="0"/>
      </w:pPr>
      <w:r>
        <w:rPr>
          <w:rFonts w:ascii="Arial" w:cs="Arial" w:eastAsia="Arial" w:hAnsi="Arial"/>
          <w:sz w:val="12"/>
          <w:szCs w:val="12"/>
        </w:rPr>
        <w:t xml:space="preserve"/>
      </w:r>
    </w:p>
    <w:p>
      <w:pPr>
        <w:pStyle w:val="Heading2"/>
      </w:pPr>
      <w:r>
        <w:rPr>
          <w:rFonts w:ascii="Arial" w:cs="Arial" w:eastAsia="Arial" w:hAnsi="Arial"/>
        </w:rPr>
        <w:t xml:space="preserve">2.2  Before / After Comparison Opportunities</w:t>
      </w:r>
    </w:p>
    <w:p>
      <w:pPr>
        <w:spacing w:after="60" w:before="60"/>
      </w:pPr>
      <w:r>
        <w:rPr>
          <w:rFonts w:ascii="Arial" w:cs="Arial" w:eastAsia="Arial" w:hAnsi="Arial"/>
          <w:color w:val="4A5568"/>
          <w:sz w:val="20"/>
          <w:szCs w:val="20"/>
        </w:rPr>
        <w:t xml:space="preserve">Certain conditions benefit from before/after or comparison layouts that show progression or contrast. These are distinct from single-image recognition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24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Comparison Type</w:t>
            </w:r>
          </w:p>
        </w:tc>
        <w:tc>
          <w:tcPr>
            <w:tcW w:type="dxa" w:w="49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Clinical Benefit</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Q18 — Hair Loss Grade</w:t>
            </w:r>
          </w:p>
        </w:tc>
        <w:tc>
          <w:tcPr>
            <w:tcW w:type="dxa" w:w="2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Norwood I → VII progression strip</w:t>
            </w:r>
          </w:p>
        </w:tc>
        <w:tc>
          <w:tcPr>
            <w:tcW w:type="dxa" w:w="49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sees themselves on a continuum rather than selecting an isolated image, dramatically reducing denial-driven under-selection.</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Q05 — Shedding Volume</w:t>
            </w:r>
          </w:p>
        </w:tc>
        <w:tc>
          <w:tcPr>
            <w:tcW w:type="dxa" w:w="24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Side-by-side shedding cluster photos (50/100/150/200+ strands)</w:t>
            </w:r>
          </w:p>
        </w:tc>
        <w:tc>
          <w:tcPr>
            <w:tcW w:type="dxa" w:w="49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Provides the only reliable external calibration mechanism for shedding self-report.</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Q17 — Heat/Chemical</w:t>
            </w:r>
          </w:p>
        </w:tc>
        <w:tc>
          <w:tcPr>
            <w:tcW w:type="dxa" w:w="2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Healthy hairline vs traction alopecia hairline comparison</w:t>
            </w:r>
          </w:p>
        </w:tc>
        <w:tc>
          <w:tcPr>
            <w:tcW w:type="dxa" w:w="49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Enables patients to see the difference without requiring medical knowledge.</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Q07 — Scalp Condition</w:t>
            </w:r>
          </w:p>
        </w:tc>
        <w:tc>
          <w:tcPr>
            <w:tcW w:type="dxa" w:w="24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Healthy scalp vs seborrhoeic dermatitis vs psoriasis side-by-side</w:t>
            </w:r>
          </w:p>
        </w:tc>
        <w:tc>
          <w:tcPr>
            <w:tcW w:type="dxa" w:w="49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Reduces the single most common misclassification in the assessment.</w:t>
            </w:r>
          </w:p>
        </w:tc>
      </w:tr>
    </w:tbl>
    <w:p>
      <w:pPr>
        <w:spacing w:after="0" w:before="0"/>
      </w:pPr>
      <w:r>
        <w:rPr>
          <w:rFonts w:ascii="Arial" w:cs="Arial" w:eastAsia="Arial" w:hAnsi="Arial"/>
          <w:sz w:val="12"/>
          <w:szCs w:val="12"/>
        </w:rPr>
        <w:t xml:space="preserve"/>
      </w:r>
    </w:p>
    <w:p>
      <w:pPr>
        <w:pStyle w:val="Heading2"/>
      </w:pPr>
      <w:r>
        <w:rPr>
          <w:rFonts w:ascii="Arial" w:cs="Arial" w:eastAsia="Arial" w:hAnsi="Arial"/>
        </w:rPr>
        <w:t xml:space="preserve">2.3  Medical Visualization Opportunities</w:t>
      </w:r>
    </w:p>
    <w:p>
      <w:pPr>
        <w:spacing w:after="60" w:before="60"/>
      </w:pPr>
      <w:r>
        <w:rPr>
          <w:rFonts w:ascii="Arial" w:cs="Arial" w:eastAsia="Arial" w:hAnsi="Arial"/>
          <w:color w:val="4A5568"/>
          <w:sz w:val="20"/>
          <w:szCs w:val="20"/>
        </w:rPr>
        <w:t xml:space="preserve">These questions benefit from diagrammatic medical visualization — not photography, not icons, but explanatory clinical diagrams.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28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Visualization Type</w:t>
            </w:r>
          </w:p>
        </w:tc>
        <w:tc>
          <w:tcPr>
            <w:tcW w:type="dxa" w:w="45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Patient Benefit</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Q06 — Hair Fall Pattern</w:t>
            </w:r>
          </w:p>
        </w:tc>
        <w:tc>
          <w:tcPr>
            <w:tcW w:type="dxa" w:w="2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Cross-section diagram of hair follicle cycle in miniaturisation</w:t>
            </w:r>
          </w:p>
        </w:tc>
        <w:tc>
          <w:tcPr>
            <w:tcW w:type="dxa" w:w="45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Explains why pattern loss happens, not just what it looks like. Builds clinical trust.</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Q13 — Female Hormonal</w:t>
            </w:r>
          </w:p>
        </w:tc>
        <w:tc>
          <w:tcPr>
            <w:tcW w:type="dxa" w:w="2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Hormonal cascade diagram (simplified) showing oestrogen and hair follicle sensitivity</w:t>
            </w:r>
          </w:p>
        </w:tc>
        <w:tc>
          <w:tcPr>
            <w:tcW w:type="dxa" w:w="45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Connects a systemic experience to a visible outcome. Highly empowering.</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Q15 — Nutritional</w:t>
            </w:r>
          </w:p>
        </w:tc>
        <w:tc>
          <w:tcPr>
            <w:tcW w:type="dxa" w:w="2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Hair follicle diagram showing nutrient dependency (iron, ferritin, vitamin D)</w:t>
            </w:r>
          </w:p>
        </w:tc>
        <w:tc>
          <w:tcPr>
            <w:tcW w:type="dxa" w:w="45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Elevates the question from "do you have deficiencies" to "here's why they matter."</w:t>
            </w:r>
          </w:p>
        </w:tc>
      </w:tr>
    </w:tbl>
    <w:p>
      <w:r>
        <w:br w:type="page"/>
      </w:r>
    </w:p>
    <w:p>
      <w:pPr>
        <w:pStyle w:val="Heading1"/>
      </w:pPr>
      <w:r>
        <w:rPr>
          <w:rFonts w:ascii="Arial" w:cs="Arial" w:eastAsia="Arial" w:hAnsi="Arial"/>
        </w:rPr>
        <w:t xml:space="preserve">Deliverable 3 — Asset Priority Matrix</w:t>
      </w:r>
    </w:p>
    <w:p>
      <w:pPr>
        <w:spacing w:after="60" w:before="60"/>
      </w:pPr>
      <w:r>
        <w:rPr>
          <w:rFonts w:ascii="Arial" w:cs="Arial" w:eastAsia="Arial" w:hAnsi="Arial"/>
          <w:color w:val="4A5568"/>
          <w:sz w:val="20"/>
          <w:szCs w:val="20"/>
        </w:rPr>
        <w:t xml:space="preserve">This matrix classifies every visual asset opportunity by the intersection of clinical impact (diagnostic value, accuracy improvement) and UX impact (engagement, comprehension, trust, completion rate).</w:t>
      </w:r>
    </w:p>
    <w:p>
      <w:pPr>
        <w:spacing w:after="0" w:before="0"/>
      </w:pPr>
      <w:r>
        <w:rPr>
          <w:rFonts w:ascii="Arial" w:cs="Arial" w:eastAsia="Arial" w:hAnsi="Arial"/>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D3349" w:val="clear"/>
            <w:tcMar>
              <w:top w:type="dxa" w:w="160"/>
              <w:left w:type="dxa" w:w="160"/>
              <w:bottom w:type="dxa" w:w="160"/>
              <w:right w:type="dxa" w:w="140"/>
            </w:tcMar>
            <w:vAlign w:val="center"/>
          </w:tcPr>
          <w:p>
            <w:pPr>
              <w:jc w:val="center"/>
            </w:pPr>
            <w:r>
              <w:rPr>
                <w:rFonts w:ascii="Arial" w:cs="Arial" w:eastAsia="Arial" w:hAnsi="Arial"/>
                <w:b/>
                <w:bCs/>
                <w:color w:val="B8975A"/>
                <w:sz w:val="22"/>
                <w:szCs w:val="22"/>
              </w:rPr>
              <w:t xml:space="preserve">HIGH</w:t>
            </w:r>
          </w:p>
          <w:p>
            <w:pPr>
              <w:jc w:val="center"/>
            </w:pPr>
            <w:r>
              <w:rPr>
                <w:rFonts w:ascii="Arial" w:cs="Arial" w:eastAsia="Arial" w:hAnsi="Arial"/>
                <w:color w:val="FFFFFF"/>
                <w:sz w:val="18"/>
                <w:szCs w:val="18"/>
              </w:rPr>
              <w:t xml:space="preserve">Clinical Impact</w:t>
            </w:r>
          </w:p>
          <w:p>
            <w:pPr>
              <w:jc w:val="center"/>
            </w:pPr>
            <w:r>
              <w:rPr>
                <w:rFonts w:ascii="Arial" w:cs="Arial" w:eastAsia="Arial" w:hAnsi="Arial"/>
                <w:b/>
                <w:bCs/>
                <w:color w:val="B8975A"/>
                <w:sz w:val="30"/>
                <w:szCs w:val="30"/>
              </w:rPr>
              <w:t xml:space="preserve">+</w:t>
            </w:r>
          </w:p>
          <w:p>
            <w:pPr>
              <w:jc w:val="center"/>
            </w:pPr>
            <w:r>
              <w:rPr>
                <w:rFonts w:ascii="Arial" w:cs="Arial" w:eastAsia="Arial" w:hAnsi="Arial"/>
                <w:b/>
                <w:bCs/>
                <w:color w:val="B8975A"/>
                <w:sz w:val="22"/>
                <w:szCs w:val="22"/>
              </w:rPr>
              <w:t xml:space="preserve">HIGH</w:t>
            </w:r>
          </w:p>
          <w:p>
            <w:pPr>
              <w:jc w:val="center"/>
            </w:pPr>
            <w:r>
              <w:rPr>
                <w:rFonts w:ascii="Arial" w:cs="Arial" w:eastAsia="Arial" w:hAnsi="Arial"/>
                <w:color w:val="FFFFFF"/>
                <w:sz w:val="18"/>
                <w:szCs w:val="18"/>
              </w:rPr>
              <w:t xml:space="preserve">UX Impact</w:t>
            </w:r>
          </w:p>
        </w:tc>
        <w:tc>
          <w:tcPr>
            <w:tcW w:type="dxa" w:w="6960"/>
            <w:tcBorders>
              <w:top w:val="none" w:color="FFFFFF" w:sz="0"/>
              <w:left w:val="none" w:color="FFFFFF" w:sz="0"/>
              <w:bottom w:val="none" w:color="FFFFFF" w:sz="0"/>
              <w:right w:val="none" w:color="FFFFFF" w:sz="0"/>
            </w:tcBorders>
            <w:shd w:fill="0D1B2A" w:val="clear"/>
            <w:tcMar>
              <w:top w:type="dxa" w:w="140"/>
              <w:left w:type="dxa" w:w="200"/>
              <w:bottom w:type="dxa" w:w="140"/>
              <w:right w:type="dxa" w:w="160"/>
            </w:tcMar>
          </w:tcPr>
          <w:p>
            <w:r>
              <w:rPr>
                <w:rFonts w:ascii="Arial" w:cs="Arial" w:eastAsia="Arial" w:hAnsi="Arial"/>
                <w:b/>
                <w:bCs/>
                <w:color w:val="B8975A"/>
                <w:sz w:val="20"/>
                <w:szCs w:val="20"/>
              </w:rPr>
              <w:t xml:space="preserve">MAXIMUM INVESTMENT — Build First</w:t>
            </w:r>
          </w:p>
          <w:p>
            <w:pPr>
              <w:spacing w:after="0" w:before="60"/>
            </w:pPr>
            <w:r>
              <w:rPr>
                <w:rFonts w:ascii="Arial" w:cs="Arial" w:eastAsia="Arial" w:hAnsi="Arial"/>
                <w:color w:val="FFFFFF"/>
                <w:sz w:val="18"/>
                <w:szCs w:val="18"/>
              </w:rPr>
              <w:t xml:space="preserve">Q18 — Hair Loss Grade Visual Scale (Norwood / Ludwig)</w:t>
            </w:r>
          </w:p>
          <w:p>
            <w:pPr>
              <w:spacing w:after="0" w:before="30"/>
            </w:pPr>
            <w:r>
              <w:rPr>
                <w:rFonts w:ascii="Arial" w:cs="Arial" w:eastAsia="Arial" w:hAnsi="Arial"/>
                <w:color w:val="FFFFFF"/>
                <w:sz w:val="18"/>
                <w:szCs w:val="18"/>
              </w:rPr>
              <w:t xml:space="preserve">Q06 — Hair Fall Pattern Recognition Grid</w:t>
            </w:r>
          </w:p>
          <w:p>
            <w:pPr>
              <w:spacing w:after="0" w:before="30"/>
            </w:pPr>
            <w:r>
              <w:rPr>
                <w:rFonts w:ascii="Arial" w:cs="Arial" w:eastAsia="Arial" w:hAnsi="Arial"/>
                <w:color w:val="FFFFFF"/>
                <w:sz w:val="18"/>
                <w:szCs w:val="18"/>
              </w:rPr>
              <w:t xml:space="preserve">Q05 — Shedding Volume Photography Comparators</w:t>
            </w:r>
          </w:p>
          <w:p>
            <w:pPr>
              <w:spacing w:after="0" w:before="30"/>
            </w:pPr>
            <w:r>
              <w:rPr>
                <w:rFonts w:ascii="Arial" w:cs="Arial" w:eastAsia="Arial" w:hAnsi="Arial"/>
                <w:color w:val="FFFFFF"/>
                <w:sz w:val="18"/>
                <w:szCs w:val="18"/>
              </w:rPr>
              <w:t xml:space="preserve">Q03 — Major Concerns Visual Grid</w:t>
            </w:r>
          </w:p>
          <w:p>
            <w:pPr>
              <w:spacing w:after="0" w:before="30"/>
            </w:pPr>
            <w:r>
              <w:rPr>
                <w:rFonts w:ascii="Arial" w:cs="Arial" w:eastAsia="Arial" w:hAnsi="Arial"/>
                <w:color w:val="FFFFFF"/>
                <w:sz w:val="18"/>
                <w:szCs w:val="18"/>
              </w:rPr>
              <w:t xml:space="preserve">Q07 — Scalp Condition Clinical Photography</w:t>
            </w:r>
          </w:p>
        </w:tc>
      </w:tr>
    </w:tbl>
    <w:p>
      <w:pPr>
        <w:spacing w:after="0" w:before="0"/>
      </w:pPr>
      <w:r>
        <w:rPr>
          <w:rFonts w:ascii="Arial" w:cs="Arial" w:eastAsia="Arial" w:hAnsi="Arial"/>
          <w:sz w:val="2"/>
          <w:szCs w:val="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C4D6B" w:val="clear"/>
            <w:tcMar>
              <w:top w:type="dxa" w:w="160"/>
              <w:left w:type="dxa" w:w="160"/>
              <w:bottom w:type="dxa" w:w="160"/>
              <w:right w:type="dxa" w:w="140"/>
            </w:tcMar>
            <w:vAlign w:val="center"/>
          </w:tcPr>
          <w:p>
            <w:pPr>
              <w:jc w:val="center"/>
            </w:pPr>
            <w:r>
              <w:rPr>
                <w:rFonts w:ascii="Arial" w:cs="Arial" w:eastAsia="Arial" w:hAnsi="Arial"/>
                <w:b/>
                <w:bCs/>
                <w:color w:val="B8975A"/>
                <w:sz w:val="22"/>
                <w:szCs w:val="22"/>
              </w:rPr>
              <w:t xml:space="preserve">HIGH</w:t>
            </w:r>
          </w:p>
          <w:p>
            <w:pPr>
              <w:jc w:val="center"/>
            </w:pPr>
            <w:r>
              <w:rPr>
                <w:rFonts w:ascii="Arial" w:cs="Arial" w:eastAsia="Arial" w:hAnsi="Arial"/>
                <w:color w:val="FFFFFF"/>
                <w:sz w:val="18"/>
                <w:szCs w:val="18"/>
              </w:rPr>
              <w:t xml:space="preserve">Clinical Impact</w:t>
            </w:r>
          </w:p>
          <w:p>
            <w:pPr>
              <w:jc w:val="center"/>
            </w:pPr>
            <w:r>
              <w:rPr>
                <w:rFonts w:ascii="Arial" w:cs="Arial" w:eastAsia="Arial" w:hAnsi="Arial"/>
                <w:b/>
                <w:bCs/>
                <w:color w:val="E8E4DF"/>
                <w:sz w:val="30"/>
                <w:szCs w:val="30"/>
              </w:rPr>
              <w:t xml:space="preserve">+</w:t>
            </w:r>
          </w:p>
          <w:p>
            <w:pPr>
              <w:jc w:val="center"/>
            </w:pPr>
            <w:r>
              <w:rPr>
                <w:rFonts w:ascii="Arial" w:cs="Arial" w:eastAsia="Arial" w:hAnsi="Arial"/>
                <w:b/>
                <w:bCs/>
                <w:color w:val="E8E4DF"/>
                <w:sz w:val="22"/>
                <w:szCs w:val="22"/>
              </w:rPr>
              <w:t xml:space="preserve">LOW</w:t>
            </w:r>
          </w:p>
          <w:p>
            <w:pPr>
              <w:jc w:val="center"/>
            </w:pPr>
            <w:r>
              <w:rPr>
                <w:rFonts w:ascii="Arial" w:cs="Arial" w:eastAsia="Arial" w:hAnsi="Arial"/>
                <w:color w:val="FFFFFF"/>
                <w:sz w:val="18"/>
                <w:szCs w:val="18"/>
              </w:rPr>
              <w:t xml:space="preserve">UX Impact</w:t>
            </w:r>
          </w:p>
        </w:tc>
        <w:tc>
          <w:tcPr>
            <w:tcW w:type="dxa" w:w="6960"/>
            <w:tcBorders>
              <w:top w:val="none" w:color="FFFFFF" w:sz="0"/>
              <w:left w:val="none" w:color="FFFFFF" w:sz="0"/>
              <w:bottom w:val="none" w:color="FFFFFF" w:sz="0"/>
              <w:right w:val="none" w:color="FFFFFF" w:sz="0"/>
            </w:tcBorders>
            <w:shd w:fill="162232" w:val="clear"/>
            <w:tcMar>
              <w:top w:type="dxa" w:w="140"/>
              <w:left w:type="dxa" w:w="200"/>
              <w:bottom w:type="dxa" w:w="140"/>
              <w:right w:type="dxa" w:w="160"/>
            </w:tcMar>
          </w:tcPr>
          <w:p>
            <w:r>
              <w:rPr>
                <w:rFonts w:ascii="Arial" w:cs="Arial" w:eastAsia="Arial" w:hAnsi="Arial"/>
                <w:b/>
                <w:bCs/>
                <w:color w:val="E8E4DF"/>
                <w:sz w:val="20"/>
                <w:szCs w:val="20"/>
              </w:rPr>
              <w:t xml:space="preserve">TARGETED INVESTMENT — Build for Accuracy</w:t>
            </w:r>
          </w:p>
          <w:p>
            <w:pPr>
              <w:spacing w:after="0" w:before="60"/>
            </w:pPr>
            <w:r>
              <w:rPr>
                <w:rFonts w:ascii="Arial" w:cs="Arial" w:eastAsia="Arial" w:hAnsi="Arial"/>
                <w:color w:val="B0BEC5"/>
                <w:sz w:val="18"/>
                <w:szCs w:val="18"/>
              </w:rPr>
              <w:t xml:space="preserve">Q15 — Nutritional Deficiency Nutrient Icon Grid + Copy Layer</w:t>
            </w:r>
          </w:p>
          <w:p>
            <w:pPr>
              <w:spacing w:after="0" w:before="30"/>
            </w:pPr>
            <w:r>
              <w:rPr>
                <w:rFonts w:ascii="Arial" w:cs="Arial" w:eastAsia="Arial" w:hAnsi="Arial"/>
                <w:color w:val="B0BEC5"/>
                <w:sz w:val="18"/>
                <w:szCs w:val="18"/>
              </w:rPr>
              <w:t xml:space="preserve">Q13 — Female Hormonal Life-Stage Timeline</w:t>
            </w:r>
          </w:p>
          <w:p>
            <w:pPr>
              <w:spacing w:after="0" w:before="30"/>
            </w:pPr>
            <w:r>
              <w:rPr>
                <w:rFonts w:ascii="Arial" w:cs="Arial" w:eastAsia="Arial" w:hAnsi="Arial"/>
                <w:color w:val="B0BEC5"/>
                <w:sz w:val="18"/>
                <w:szCs w:val="18"/>
              </w:rPr>
              <w:t xml:space="preserve">Q09 — Autoimmune Conditions Icon Set</w:t>
            </w:r>
          </w:p>
          <w:p>
            <w:pPr>
              <w:spacing w:after="0" w:before="30"/>
            </w:pPr>
            <w:r>
              <w:rPr>
                <w:rFonts w:ascii="Arial" w:cs="Arial" w:eastAsia="Arial" w:hAnsi="Arial"/>
                <w:color w:val="B0BEC5"/>
                <w:sz w:val="18"/>
                <w:szCs w:val="18"/>
              </w:rPr>
              <w:t xml:space="preserve">Q11 — Thyroid / Metabolic Icons</w:t>
            </w:r>
          </w:p>
        </w:tc>
      </w:tr>
    </w:tbl>
    <w:p>
      <w:pPr>
        <w:spacing w:after="0" w:before="0"/>
      </w:pPr>
      <w:r>
        <w:rPr>
          <w:rFonts w:ascii="Arial" w:cs="Arial" w:eastAsia="Arial" w:hAnsi="Arial"/>
          <w:sz w:val="2"/>
          <w:szCs w:val="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3D5A6B" w:val="clear"/>
            <w:tcMar>
              <w:top w:type="dxa" w:w="160"/>
              <w:left w:type="dxa" w:w="160"/>
              <w:bottom w:type="dxa" w:w="160"/>
              <w:right w:type="dxa" w:w="140"/>
            </w:tcMar>
            <w:vAlign w:val="center"/>
          </w:tcPr>
          <w:p>
            <w:pPr>
              <w:jc w:val="center"/>
            </w:pPr>
            <w:r>
              <w:rPr>
                <w:rFonts w:ascii="Arial" w:cs="Arial" w:eastAsia="Arial" w:hAnsi="Arial"/>
                <w:b/>
                <w:bCs/>
                <w:color w:val="E8E4DF"/>
                <w:sz w:val="22"/>
                <w:szCs w:val="22"/>
              </w:rPr>
              <w:t xml:space="preserve">LOW</w:t>
            </w:r>
          </w:p>
          <w:p>
            <w:pPr>
              <w:jc w:val="center"/>
            </w:pPr>
            <w:r>
              <w:rPr>
                <w:rFonts w:ascii="Arial" w:cs="Arial" w:eastAsia="Arial" w:hAnsi="Arial"/>
                <w:color w:val="FFFFFF"/>
                <w:sz w:val="18"/>
                <w:szCs w:val="18"/>
              </w:rPr>
              <w:t xml:space="preserve">Clinical Impact</w:t>
            </w:r>
          </w:p>
          <w:p>
            <w:pPr>
              <w:jc w:val="center"/>
            </w:pPr>
            <w:r>
              <w:rPr>
                <w:rFonts w:ascii="Arial" w:cs="Arial" w:eastAsia="Arial" w:hAnsi="Arial"/>
                <w:b/>
                <w:bCs/>
                <w:color w:val="B8975A"/>
                <w:sz w:val="30"/>
                <w:szCs w:val="30"/>
              </w:rPr>
              <w:t xml:space="preserve">+</w:t>
            </w:r>
          </w:p>
          <w:p>
            <w:pPr>
              <w:jc w:val="center"/>
            </w:pPr>
            <w:r>
              <w:rPr>
                <w:rFonts w:ascii="Arial" w:cs="Arial" w:eastAsia="Arial" w:hAnsi="Arial"/>
                <w:b/>
                <w:bCs/>
                <w:color w:val="B8975A"/>
                <w:sz w:val="22"/>
                <w:szCs w:val="22"/>
              </w:rPr>
              <w:t xml:space="preserve">HIGH</w:t>
            </w:r>
          </w:p>
          <w:p>
            <w:pPr>
              <w:jc w:val="center"/>
            </w:pPr>
            <w:r>
              <w:rPr>
                <w:rFonts w:ascii="Arial" w:cs="Arial" w:eastAsia="Arial" w:hAnsi="Arial"/>
                <w:color w:val="FFFFFF"/>
                <w:sz w:val="18"/>
                <w:szCs w:val="18"/>
              </w:rPr>
              <w:t xml:space="preserve">UX Impact</w:t>
            </w:r>
          </w:p>
        </w:tc>
        <w:tc>
          <w:tcPr>
            <w:tcW w:type="dxa" w:w="6960"/>
            <w:tcBorders>
              <w:top w:val="none" w:color="FFFFFF" w:sz="0"/>
              <w:left w:val="none" w:color="FFFFFF" w:sz="0"/>
              <w:bottom w:val="none" w:color="FFFFFF" w:sz="0"/>
              <w:right w:val="none" w:color="FFFFFF" w:sz="0"/>
            </w:tcBorders>
            <w:shd w:fill="1E2D38" w:val="clear"/>
            <w:tcMar>
              <w:top w:type="dxa" w:w="140"/>
              <w:left w:type="dxa" w:w="200"/>
              <w:bottom w:type="dxa" w:w="140"/>
              <w:right w:type="dxa" w:w="160"/>
            </w:tcMar>
          </w:tcPr>
          <w:p>
            <w:r>
              <w:rPr>
                <w:rFonts w:ascii="Arial" w:cs="Arial" w:eastAsia="Arial" w:hAnsi="Arial"/>
                <w:b/>
                <w:bCs/>
                <w:color w:val="FFFFFF"/>
                <w:sz w:val="20"/>
                <w:szCs w:val="20"/>
              </w:rPr>
              <w:t xml:space="preserve">EXPERIENCE INVESTMENT — Build for Engagement</w:t>
            </w:r>
          </w:p>
          <w:p>
            <w:pPr>
              <w:spacing w:after="0" w:before="60"/>
            </w:pPr>
            <w:r>
              <w:rPr>
                <w:rFonts w:ascii="Arial" w:cs="Arial" w:eastAsia="Arial" w:hAnsi="Arial"/>
                <w:color w:val="B0BEC5"/>
                <w:sz w:val="18"/>
                <w:szCs w:val="18"/>
              </w:rPr>
              <w:t xml:space="preserve">Q04 — Duration Timeline Visual Strip</w:t>
            </w:r>
          </w:p>
          <w:p>
            <w:pPr>
              <w:spacing w:after="0" w:before="30"/>
            </w:pPr>
            <w:r>
              <w:rPr>
                <w:rFonts w:ascii="Arial" w:cs="Arial" w:eastAsia="Arial" w:hAnsi="Arial"/>
                <w:color w:val="B0BEC5"/>
                <w:sz w:val="18"/>
                <w:szCs w:val="18"/>
              </w:rPr>
              <w:t xml:space="preserve">Q08 — Suspected Causes Icon Grid</w:t>
            </w:r>
          </w:p>
          <w:p>
            <w:pPr>
              <w:spacing w:after="0" w:before="30"/>
            </w:pPr>
            <w:r>
              <w:rPr>
                <w:rFonts w:ascii="Arial" w:cs="Arial" w:eastAsia="Arial" w:hAnsi="Arial"/>
                <w:color w:val="B0BEC5"/>
                <w:sz w:val="18"/>
                <w:szCs w:val="18"/>
              </w:rPr>
              <w:t xml:space="preserve">Q10 — Lifestyle Icons</w:t>
            </w:r>
          </w:p>
          <w:p>
            <w:pPr>
              <w:spacing w:after="0" w:before="30"/>
            </w:pPr>
            <w:r>
              <w:rPr>
                <w:rFonts w:ascii="Arial" w:cs="Arial" w:eastAsia="Arial" w:hAnsi="Arial"/>
                <w:color w:val="B0BEC5"/>
                <w:sz w:val="18"/>
                <w:szCs w:val="18"/>
              </w:rPr>
              <w:t xml:space="preserve">Q17 — Traction Alopecia Illustration</w:t>
            </w:r>
          </w:p>
        </w:tc>
      </w:tr>
    </w:tbl>
    <w:p>
      <w:pPr>
        <w:spacing w:after="0" w:before="0"/>
      </w:pPr>
      <w:r>
        <w:rPr>
          <w:rFonts w:ascii="Arial" w:cs="Arial" w:eastAsia="Arial" w:hAnsi="Arial"/>
          <w:sz w:val="2"/>
          <w:szCs w:val="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6B7A8D" w:val="clear"/>
            <w:tcMar>
              <w:top w:type="dxa" w:w="160"/>
              <w:left w:type="dxa" w:w="160"/>
              <w:bottom w:type="dxa" w:w="160"/>
              <w:right w:type="dxa" w:w="140"/>
            </w:tcMar>
            <w:vAlign w:val="center"/>
          </w:tcPr>
          <w:p>
            <w:pPr>
              <w:jc w:val="center"/>
            </w:pPr>
            <w:r>
              <w:rPr>
                <w:rFonts w:ascii="Arial" w:cs="Arial" w:eastAsia="Arial" w:hAnsi="Arial"/>
                <w:b/>
                <w:bCs/>
                <w:color w:val="E8E4DF"/>
                <w:sz w:val="22"/>
                <w:szCs w:val="22"/>
              </w:rPr>
              <w:t xml:space="preserve">LOW</w:t>
            </w:r>
          </w:p>
          <w:p>
            <w:pPr>
              <w:jc w:val="center"/>
            </w:pPr>
            <w:r>
              <w:rPr>
                <w:rFonts w:ascii="Arial" w:cs="Arial" w:eastAsia="Arial" w:hAnsi="Arial"/>
                <w:color w:val="FFFFFF"/>
                <w:sz w:val="18"/>
                <w:szCs w:val="18"/>
              </w:rPr>
              <w:t xml:space="preserve">Clinical Impact</w:t>
            </w:r>
          </w:p>
          <w:p>
            <w:pPr>
              <w:jc w:val="center"/>
            </w:pPr>
            <w:r>
              <w:rPr>
                <w:rFonts w:ascii="Arial" w:cs="Arial" w:eastAsia="Arial" w:hAnsi="Arial"/>
                <w:b/>
                <w:bCs/>
                <w:color w:val="E8E4DF"/>
                <w:sz w:val="30"/>
                <w:szCs w:val="30"/>
              </w:rPr>
              <w:t xml:space="preserve">+</w:t>
            </w:r>
          </w:p>
          <w:p>
            <w:pPr>
              <w:jc w:val="center"/>
            </w:pPr>
            <w:r>
              <w:rPr>
                <w:rFonts w:ascii="Arial" w:cs="Arial" w:eastAsia="Arial" w:hAnsi="Arial"/>
                <w:b/>
                <w:bCs/>
                <w:color w:val="E8E4DF"/>
                <w:sz w:val="22"/>
                <w:szCs w:val="22"/>
              </w:rPr>
              <w:t xml:space="preserve">LOW</w:t>
            </w:r>
          </w:p>
          <w:p>
            <w:pPr>
              <w:jc w:val="center"/>
            </w:pPr>
            <w:r>
              <w:rPr>
                <w:rFonts w:ascii="Arial" w:cs="Arial" w:eastAsia="Arial" w:hAnsi="Arial"/>
                <w:color w:val="FFFFFF"/>
                <w:sz w:val="18"/>
                <w:szCs w:val="18"/>
              </w:rPr>
              <w:t xml:space="preserve">UX Impact</w:t>
            </w:r>
          </w:p>
        </w:tc>
        <w:tc>
          <w:tcPr>
            <w:tcW w:type="dxa" w:w="6960"/>
            <w:tcBorders>
              <w:top w:val="none" w:color="FFFFFF" w:sz="0"/>
              <w:left w:val="none" w:color="FFFFFF" w:sz="0"/>
              <w:bottom w:val="none" w:color="FFFFFF" w:sz="0"/>
              <w:right w:val="none" w:color="FFFFFF" w:sz="0"/>
            </w:tcBorders>
            <w:shd w:fill="252E38" w:val="clear"/>
            <w:tcMar>
              <w:top w:type="dxa" w:w="140"/>
              <w:left w:type="dxa" w:w="200"/>
              <w:bottom w:type="dxa" w:w="140"/>
              <w:right w:type="dxa" w:w="160"/>
            </w:tcMar>
          </w:tcPr>
          <w:p>
            <w:r>
              <w:rPr>
                <w:rFonts w:ascii="Arial" w:cs="Arial" w:eastAsia="Arial" w:hAnsi="Arial"/>
                <w:b/>
                <w:bCs/>
                <w:color w:val="8A9AAA"/>
                <w:sz w:val="20"/>
                <w:szCs w:val="20"/>
              </w:rPr>
              <w:t xml:space="preserve">DO NOT INVEST — Text-Only Zone</w:t>
            </w:r>
          </w:p>
          <w:p>
            <w:pPr>
              <w:spacing w:after="0" w:before="60"/>
            </w:pPr>
            <w:r>
              <w:rPr>
                <w:rFonts w:ascii="Arial" w:cs="Arial" w:eastAsia="Arial" w:hAnsi="Arial"/>
                <w:color w:val="6B7A8D"/>
                <w:sz w:val="18"/>
                <w:szCs w:val="18"/>
              </w:rPr>
              <w:t xml:space="preserve">Q01 — Age</w:t>
            </w:r>
          </w:p>
          <w:p>
            <w:pPr>
              <w:spacing w:after="0" w:before="30"/>
            </w:pPr>
            <w:r>
              <w:rPr>
                <w:rFonts w:ascii="Arial" w:cs="Arial" w:eastAsia="Arial" w:hAnsi="Arial"/>
                <w:color w:val="6B7A8D"/>
                <w:sz w:val="18"/>
                <w:szCs w:val="18"/>
              </w:rPr>
              <w:t xml:space="preserve">Q12 — Chronic Medication</w:t>
            </w:r>
          </w:p>
          <w:p>
            <w:pPr>
              <w:spacing w:after="0" w:before="30"/>
            </w:pPr>
            <w:r>
              <w:rPr>
                <w:rFonts w:ascii="Arial" w:cs="Arial" w:eastAsia="Arial" w:hAnsi="Arial"/>
                <w:color w:val="6B7A8D"/>
                <w:sz w:val="18"/>
                <w:szCs w:val="18"/>
              </w:rPr>
              <w:t xml:space="preserve">Q02 — Gender (icons only, minimal)</w:t>
            </w:r>
          </w:p>
          <w:p>
            <w:pPr>
              <w:spacing w:after="0" w:before="30"/>
            </w:pPr>
            <w:r>
              <w:rPr>
                <w:rFonts w:ascii="Arial" w:cs="Arial" w:eastAsia="Arial" w:hAnsi="Arial"/>
                <w:color w:val="6B7A8D"/>
                <w:sz w:val="18"/>
                <w:szCs w:val="18"/>
              </w:rPr>
              <w:t xml:space="preserve">Q14 — Gut Health (icons only, minimal)</w:t>
            </w:r>
          </w:p>
          <w:p>
            <w:pPr>
              <w:spacing w:after="0" w:before="30"/>
            </w:pPr>
            <w:r>
              <w:rPr>
                <w:rFonts w:ascii="Arial" w:cs="Arial" w:eastAsia="Arial" w:hAnsi="Arial"/>
                <w:color w:val="6B7A8D"/>
                <w:sz w:val="18"/>
                <w:szCs w:val="18"/>
              </w:rPr>
              <w:t xml:space="preserve">Q16 — Diet (icons only, minimal)</w:t>
            </w:r>
          </w:p>
        </w:tc>
      </w:tr>
    </w:tbl>
    <w:p>
      <w:r>
        <w:br w:type="page"/>
      </w:r>
    </w:p>
    <w:p>
      <w:pPr>
        <w:pStyle w:val="Heading1"/>
      </w:pPr>
      <w:r>
        <w:rPr>
          <w:rFonts w:ascii="Arial" w:cs="Arial" w:eastAsia="Arial" w:hAnsi="Arial"/>
        </w:rPr>
        <w:t xml:space="preserve">Deliverable 4 — Master Visual Asset Inventory</w:t>
      </w:r>
    </w:p>
    <w:p>
      <w:pPr>
        <w:spacing w:after="60" w:before="60"/>
      </w:pPr>
      <w:r>
        <w:rPr>
          <w:rFonts w:ascii="Arial" w:cs="Arial" w:eastAsia="Arial" w:hAnsi="Arial"/>
          <w:color w:val="4A5568"/>
          <w:sz w:val="20"/>
          <w:szCs w:val="20"/>
        </w:rPr>
        <w:t xml:space="preserve">Complete inventory of all proposed visual assets for the Dr. FACT assessment. Assets are organised by question association. Effort ratings use T-shirt sizing: S (0.5–1 day), M (1–3 days), L (3–7 days), XL (1–2 weeks).</w:t>
      </w:r>
    </w:p>
    <w:p>
      <w:pPr>
        <w:spacing w:after="0" w:before="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900"/>
        <w:gridCol w:w="1600"/>
        <w:gridCol w:w="700"/>
        <w:gridCol w:w="2360"/>
      </w:tblGrid>
      <w:tr>
        <w:tc>
          <w:tcPr>
            <w:tcW w:type="dxa" w:w="7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31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Name</w:t>
            </w:r>
          </w:p>
        </w:tc>
        <w:tc>
          <w:tcPr>
            <w:tcW w:type="dxa" w:w="9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16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Type</w:t>
            </w:r>
          </w:p>
        </w:tc>
        <w:tc>
          <w:tcPr>
            <w:tcW w:type="dxa" w:w="7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23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Reuse</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VA-001</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Hair Loss Grade — Male Norwood Scale (I–VI)</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Q18</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XL</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VA-002</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Hair Loss Grade — Female Ludwig Scale (I–III)</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Q18</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L</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VA-003</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Hair Fall Pattern — Male Pattern Grid (6 types)</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Q06</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XL</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VA-004</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Hair Fall Pattern — Female Pattern Grid (6 types)</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Q06</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L</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VA-005</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Shedding Volume — Strand Cluster Photography (4 levels)</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Q05</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VA-006</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Major Concerns — Pattern Visual Grid (6 options, male)</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Q03</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XL</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VA-007</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Major Concerns — Pattern Visual Grid (6 options, female)</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Q03</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VA-008</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Condition — Healthy Scalp</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Q07</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Medium</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VA-009</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Condition — Dandruff (dry flaking)</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Q07</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Medium</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VA-010</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Condition — Seborrhoeic Dermatitis</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Q07</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Medium</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VA-011</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Condition — Scalp Psoriasis</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Q07</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Medium</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VA-012</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Condition — Folliculitis</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Q07</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Medium</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VA-013</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Condition — Oily/Product Buildup</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Q07</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Medium</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VA-014</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Hair Loss Duration — Timeline Strip Illustration</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Q04</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VA-015</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Female Hormonal — Life-Stage Timeline (puberty to menopause)</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Q13</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Medium</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VA-016</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Nutritional Deficiency — Nutrient Icon Grid (7 nutrients)</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Q15</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VA-017</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Traction Alopecia — Pattern Illustration</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Q17</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Medium</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VA-018</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Chemical Damage — Breakage Pattern Illustration</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Q17</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Medium</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VA-019</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Hair Follicle Cycle Miniaturisation Diagram</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Q06</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Medical Visualization</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VA-020</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Hormonal Cascade — Simplified Diagram (oestrogen + follicle)</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Q13</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Medical Visualization</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Medium</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VA-021</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Gender Marker Icons (male/female/other)</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Q02</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VA-022</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Suspected Causes Icon Set (8 causes)</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Q08</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VA-023</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Autoimmune Conditions Icon Set (6 conditions)</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Q09</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VA-024</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Lifestyle Factors Icon Set (6 factors)</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Q10</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VA-025</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Thyroid / Metabolic Conditions Icon Set (3 icons)</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Q11</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VA-026</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Gut Health Icon Set (4 states)</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Q14</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VA-027</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Diet Category Icon Set (6 types)</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Q16</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VA-028</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Phase Transition — Animated Arc (SVG)</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System</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Motion Asset</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VA-029</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AI Insight Moment — SVG Arc Completion Animation</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System</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Motion Asset</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VA-030</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Completion Sequence — Arc to Checkmark Morph</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System</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Motion Asset</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VA-031</w:t>
            </w:r>
          </w:p>
        </w:tc>
        <w:tc>
          <w:tcPr>
            <w:tcW w:type="dxa" w:w="31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Loading Skeleton — Shimmer Animation</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System</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Motion Asset</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r>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VA-032</w:t>
            </w:r>
          </w:p>
        </w:tc>
        <w:tc>
          <w:tcPr>
            <w:tcW w:type="dxa" w:w="31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Progress Bar — Phase Dot Set (4 states each)</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System</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2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r>
    </w:tbl>
    <w:p>
      <w:pPr>
        <w:spacing w:after="0" w:before="0"/>
      </w:pPr>
      <w:r>
        <w:rPr>
          <w:rFonts w:ascii="Arial" w:cs="Arial" w:eastAsia="Arial" w:hAnsi="Arial"/>
          <w:sz w:val="10"/>
          <w:szCs w:val="10"/>
        </w:rPr>
        <w:t xml:space="preserve"/>
      </w:r>
    </w:p>
    <w:p>
      <w:pPr>
        <w:spacing w:after="60" w:before="60"/>
      </w:pPr>
      <w:r>
        <w:rPr>
          <w:rFonts w:ascii="Arial" w:cs="Arial" w:eastAsia="Arial" w:hAnsi="Arial"/>
          <w:color w:val="4A5568"/>
          <w:sz w:val="20"/>
          <w:szCs w:val="20"/>
        </w:rPr>
        <w:t xml:space="preserve">Total proposed assets: 32  ·  Tier A (HD/Clinical): 13  ·  Tier B (Illustrations): 7  ·  Tier C (Icons): 8  ·  System/Motion: 5  ·  Tier D (No visual): 5 questions</w:t>
      </w:r>
    </w:p>
    <w:p>
      <w:r>
        <w:br w:type="page"/>
      </w:r>
    </w:p>
    <w:p>
      <w:pPr>
        <w:pStyle w:val="Heading1"/>
      </w:pPr>
      <w:r>
        <w:rPr>
          <w:rFonts w:ascii="Arial" w:cs="Arial" w:eastAsia="Arial" w:hAnsi="Arial"/>
        </w:rPr>
        <w:t xml:space="preserve">Deliverable 5 — Top 20 Most Valuable Assets</w:t>
      </w:r>
    </w:p>
    <w:p>
      <w:pPr>
        <w:spacing w:after="60" w:before="60"/>
      </w:pPr>
      <w:r>
        <w:rPr>
          <w:rFonts w:ascii="Arial" w:cs="Arial" w:eastAsia="Arial" w:hAnsi="Arial"/>
          <w:color w:val="4A5568"/>
          <w:sz w:val="20"/>
          <w:szCs w:val="20"/>
        </w:rPr>
        <w:t xml:space="preserve">The 20 assets that will create the greatest combined improvement in patient understanding, clinical accuracy, assessment completion, and premium perception. Ranked by composite value score.</w:t>
      </w:r>
    </w:p>
    <w:p>
      <w:pPr>
        <w:spacing w:after="0" w:before="0"/>
      </w:pPr>
      <w:r>
        <w:rPr>
          <w:rFonts w:ascii="Arial" w:cs="Arial" w:eastAsia="Arial" w:hAnsi="Arial"/>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r>
              <w:rPr>
                <w:rFonts w:ascii="Arial" w:cs="Arial" w:eastAsia="Arial" w:hAnsi="Arial"/>
                <w:b/>
                <w:bCs/>
                <w:color w:val="FFFFFF"/>
                <w:sz w:val="22"/>
                <w:szCs w:val="22"/>
              </w:rPr>
              <w:t xml:space="preserve">#1 — VA-001  Hair Loss Grade — Norwood Scale</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Question</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Q18 — Hair Loss Grade</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Asset Type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 — 6-stage Norwood progression (I, II, III, IIIv, IV, V, VI shown as 5 selectable stages)</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Why It Matters</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This is the single most clinically consequential visual in the assessment. Without it, severity grading has very high variance. With it, severity grading has clinical precision comparable to a trained intake questionnaire. No other asset has a higher direct impact on diagnostic accuracy.</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Behaviour Change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Reduces severity under-selection by an estimated 40–60%. Patients who see the scale stop anchoring to "moderate" as a safe middle ground.</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Secondary Value</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Builds immediate clinical credibility. A patient who sees a Norwood scale knows they are in a serious, evidence-based assessment.</w:t>
            </w:r>
          </w:p>
        </w:tc>
      </w:tr>
    </w:tbl>
    <w:p>
      <w:pPr>
        <w:spacing w:after="0" w:before="0"/>
      </w:pPr>
      <w:r>
        <w:rPr>
          <w:rFonts w:ascii="Arial" w:cs="Arial" w:eastAsia="Arial" w:hAnsi="Arial"/>
          <w:sz w:val="4"/>
          <w:szCs w:val="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r>
              <w:rPr>
                <w:rFonts w:ascii="Arial" w:cs="Arial" w:eastAsia="Arial" w:hAnsi="Arial"/>
                <w:b/>
                <w:bCs/>
                <w:color w:val="FFFFFF"/>
                <w:sz w:val="22"/>
                <w:szCs w:val="22"/>
              </w:rPr>
              <w:t xml:space="preserve">#2 — VA-003/004  Hair Fall Pattern Grid</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Question</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Q06 — Hair Fall Pattern</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Asset Type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 — Gender-split, 6 patterns per set</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Why It Matters</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Pattern is the primary morphological classification variable. Without a visual grid, patients select the most linguistically familiar option rather than the most visually accurate one. This introduces systematic misclassification that invalidates downstream questions.</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Behaviour Change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Estimated 30–40% reduction in pattern misclassification. Patients identify their pattern in 3–4 seconds with a good visual; they guess with text alone.</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Secondary Value</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visual grid is the most "intelligent" moment in the assessment. It signals clinical sophistication instantly.</w:t>
            </w:r>
          </w:p>
        </w:tc>
      </w:tr>
    </w:tbl>
    <w:p>
      <w:pPr>
        <w:spacing w:after="0" w:before="0"/>
      </w:pPr>
      <w:r>
        <w:rPr>
          <w:rFonts w:ascii="Arial" w:cs="Arial" w:eastAsia="Arial" w:hAnsi="Arial"/>
          <w:sz w:val="4"/>
          <w:szCs w:val="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r>
              <w:rPr>
                <w:rFonts w:ascii="Arial" w:cs="Arial" w:eastAsia="Arial" w:hAnsi="Arial"/>
                <w:b/>
                <w:bCs/>
                <w:color w:val="FFFFFF"/>
                <w:sz w:val="22"/>
                <w:szCs w:val="22"/>
              </w:rPr>
              <w:t xml:space="preserve">#3 — VA-005  Shedding Volume Photography</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Question</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Q05 — Daily Hair Shedding</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Asset Type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 — 4 strand cluster comparators</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Why It Matters</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Humans have no reliable internal calibration for hair strand count. Without a visual comparator, shedding data is clinical noise. With accurate photography, shedding data becomes a meaningful diagnostic variable for telogen effluvium classification.</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Behaviour Change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Reduces shedding estimation variance from 3–5x to approximately 1.2–1.5x. Transforms a high-noise data point into a reliable clinical signal.</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Secondary Value</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Genuine moment of patient education. Most patients have never seen what "100 hairs" actually looks like. The surprise itself increases engagement.</w:t>
            </w:r>
          </w:p>
        </w:tc>
      </w:tr>
    </w:tbl>
    <w:p>
      <w:pPr>
        <w:spacing w:after="0" w:before="0"/>
      </w:pPr>
      <w:r>
        <w:rPr>
          <w:rFonts w:ascii="Arial" w:cs="Arial" w:eastAsia="Arial" w:hAnsi="Arial"/>
          <w:sz w:val="4"/>
          <w:szCs w:val="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r>
              <w:rPr>
                <w:rFonts w:ascii="Arial" w:cs="Arial" w:eastAsia="Arial" w:hAnsi="Arial"/>
                <w:b/>
                <w:bCs/>
                <w:color w:val="FFFFFF"/>
                <w:sz w:val="22"/>
                <w:szCs w:val="22"/>
              </w:rPr>
              <w:t xml:space="preserve">#4 — VA-006/007  Major Concerns Visual Grid</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Question</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Q03 — Major Hair Concerns</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Asset Type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 or HD Photography — 6 concern types per gender set</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Why It Matters</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This question routes the entire adaptive questionnaire. An incorrect selection here means the patient follows the wrong assessment path and receives a clinically inaccurate report. Visual recognition dramatically reduces routing errors.</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Behaviour Change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Reduces misrouting from an estimated 20–35% (text-only) to 5–8% (visual-first).</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Secondary Value</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This is the first visual question patients encounter after setup. It sets the tone for the entire visual intelligence layer.</w:t>
            </w:r>
          </w:p>
        </w:tc>
      </w:tr>
    </w:tbl>
    <w:p>
      <w:pPr>
        <w:spacing w:after="0" w:before="0"/>
      </w:pPr>
      <w:r>
        <w:rPr>
          <w:rFonts w:ascii="Arial" w:cs="Arial" w:eastAsia="Arial" w:hAnsi="Arial"/>
          <w:sz w:val="4"/>
          <w:szCs w:val="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r>
              <w:rPr>
                <w:rFonts w:ascii="Arial" w:cs="Arial" w:eastAsia="Arial" w:hAnsi="Arial"/>
                <w:b/>
                <w:bCs/>
                <w:color w:val="FFFFFF"/>
                <w:sz w:val="22"/>
                <w:szCs w:val="22"/>
              </w:rPr>
              <w:t xml:space="preserve">#5 — VA-008 to 013  Scalp Condition Photography (Set)</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Question</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Q07 — Scalp Condition</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Asset Type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 — 6 condition close-ups</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Why It Matters</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conditions are defined by their appearance. Text-only descriptions produce consistent misclassification between dandruff, seborrhoeic dermatitis, and psoriasis — three conditions with significantly different treatment requirements.</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Behaviour Change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Estimated 40–60% reduction in scalp condition misclassification (particularly SD vs dandruff).</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Secondary Value</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Demonstrates clinical depth. A platform that can show you precisely what scalp psoriasis looks like is a platform that knows what it is doing.</w:t>
            </w:r>
          </w:p>
        </w:tc>
      </w:tr>
    </w:tbl>
    <w:p>
      <w:pPr>
        <w:spacing w:after="0" w:before="0"/>
      </w:pPr>
      <w:r>
        <w:rPr>
          <w:rFonts w:ascii="Arial" w:cs="Arial" w:eastAsia="Arial" w:hAnsi="Arial"/>
          <w:sz w:val="4"/>
          <w:szCs w:val="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r>
              <w:rPr>
                <w:rFonts w:ascii="Arial" w:cs="Arial" w:eastAsia="Arial" w:hAnsi="Arial"/>
                <w:b/>
                <w:bCs/>
                <w:color w:val="FFFFFF"/>
                <w:sz w:val="22"/>
                <w:szCs w:val="22"/>
              </w:rPr>
              <w:t xml:space="preserve">#6 — VA-002  Hair Loss Grade — Ludwig Scale</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Question</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Q18 — Hair Loss Grade (Female)</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Asset Type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 — Ludwig I, II, III + frontal fibrosing pattern</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Why It Matters</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Female hair loss severity is systematically under-reported because patients lack a visual reference. The Ludwig scale is the clinical standard. Without illustrating it, FPHL severity grading is unreliable.</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Behaviour Change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Estimated 35–50% reduction in severity under-reporting for female patients.</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Secondary Value</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Sends a clear signal that the platform understands female hair loss as a distinct clinical entity, not a variation of male pattern loss.</w:t>
            </w:r>
          </w:p>
        </w:tc>
      </w:tr>
    </w:tbl>
    <w:p>
      <w:pPr>
        <w:spacing w:after="0" w:before="0"/>
      </w:pPr>
      <w:r>
        <w:rPr>
          <w:rFonts w:ascii="Arial" w:cs="Arial" w:eastAsia="Arial" w:hAnsi="Arial"/>
          <w:sz w:val="4"/>
          <w:szCs w:val="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C6E" w:val="clear"/>
            <w:tcMar>
              <w:top w:type="dxa" w:w="120"/>
              <w:left w:type="dxa" w:w="180"/>
              <w:bottom w:type="dxa" w:w="120"/>
              <w:right w:type="dxa" w:w="180"/>
            </w:tcMar>
          </w:tcPr>
          <w:p>
            <w:r>
              <w:rPr>
                <w:rFonts w:ascii="Arial" w:cs="Arial" w:eastAsia="Arial" w:hAnsi="Arial"/>
                <w:b/>
                <w:bCs/>
                <w:color w:val="FFFFFF"/>
                <w:sz w:val="22"/>
                <w:szCs w:val="22"/>
              </w:rPr>
              <w:t xml:space="preserve">#7 — VA-015  Female Hormonal Life-Stage Timeline</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Question</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Q13 — Female Hormonal Conditions</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Asset Type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 — Horizontal life-stage timeline</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Why It Matters</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Perimenopausal and PCOS-related hair loss are massively under-reported in text-only questionnaires because patients don't connect these conditions to their hair loss. A timeline illustration prompts the association.</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Behaviour Change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Estimated 25–40% increase in hormonal condition selection among peri/menopausal patients.</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Secondary Value</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Deeply validating for female patients. "Someone designed this for me." This moment builds exceptional trust.</w:t>
            </w:r>
          </w:p>
        </w:tc>
      </w:tr>
    </w:tbl>
    <w:p>
      <w:pPr>
        <w:spacing w:after="0" w:before="0"/>
      </w:pPr>
      <w:r>
        <w:rPr>
          <w:rFonts w:ascii="Arial" w:cs="Arial" w:eastAsia="Arial" w:hAnsi="Arial"/>
          <w:sz w:val="4"/>
          <w:szCs w:val="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C6E" w:val="clear"/>
            <w:tcMar>
              <w:top w:type="dxa" w:w="120"/>
              <w:left w:type="dxa" w:w="180"/>
              <w:bottom w:type="dxa" w:w="120"/>
              <w:right w:type="dxa" w:w="180"/>
            </w:tcMar>
          </w:tcPr>
          <w:p>
            <w:r>
              <w:rPr>
                <w:rFonts w:ascii="Arial" w:cs="Arial" w:eastAsia="Arial" w:hAnsi="Arial"/>
                <w:b/>
                <w:bCs/>
                <w:color w:val="FFFFFF"/>
                <w:sz w:val="22"/>
                <w:szCs w:val="22"/>
              </w:rPr>
              <w:t xml:space="preserve">#8 — VA-016  Nutritional Deficiency Nutrient Icon Grid</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Question</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Q15 — Nutritional Deficiencies</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Asset Type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 — 7 nutrient icons with names</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Why It Matters</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Iron deficiency is the most common and most treatable cause of female diffuse hair loss. The majority of patients with sub-clinical iron deficiency have not been tested and will not select this option without visual and educational prompting.</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Behaviour Change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Estimated 20–30% increase in nutritional flag selection. Paired with educational copy, this is the highest-leverage question in the "contributing factors" section.</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Secondary Value</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 educational value. Most patients leave this question more knowledgeable about hair health than when they arrived.</w:t>
            </w:r>
          </w:p>
        </w:tc>
      </w:tr>
    </w:tbl>
    <w:p>
      <w:pPr>
        <w:spacing w:after="0" w:before="0"/>
      </w:pPr>
      <w:r>
        <w:rPr>
          <w:rFonts w:ascii="Arial" w:cs="Arial" w:eastAsia="Arial" w:hAnsi="Arial"/>
          <w:sz w:val="4"/>
          <w:szCs w:val="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C6E" w:val="clear"/>
            <w:tcMar>
              <w:top w:type="dxa" w:w="120"/>
              <w:left w:type="dxa" w:w="180"/>
              <w:bottom w:type="dxa" w:w="120"/>
              <w:right w:type="dxa" w:w="180"/>
            </w:tcMar>
          </w:tcPr>
          <w:p>
            <w:r>
              <w:rPr>
                <w:rFonts w:ascii="Arial" w:cs="Arial" w:eastAsia="Arial" w:hAnsi="Arial"/>
                <w:b/>
                <w:bCs/>
                <w:color w:val="FFFFFF"/>
                <w:sz w:val="22"/>
                <w:szCs w:val="22"/>
              </w:rPr>
              <w:t xml:space="preserve">#9 — VA-017  Traction Alopecia Pattern Illustration</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Question</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Q17 — Heat &amp; Chemical Treatments</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Asset Type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 — Traction alopecia hairline pattern vs healthy hairline</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Why It Matters</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Traction alopecia is the most under-diagnosed condition in the assessment because patients attribute it to genetics. A visual showing the frontal/temporal loss pattern alongside the broken baby hairs is often the first time a patient has seen their own condition named and illustrated.</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Behaviour Change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Estimated 30–45% increase in traction alopecia identification among patients with this pattern.</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Secondary Value</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Frequently a deeply significant moment of recognition. "That's me." High treatment motivation.</w:t>
            </w:r>
          </w:p>
        </w:tc>
      </w:tr>
    </w:tbl>
    <w:p>
      <w:pPr>
        <w:spacing w:after="0" w:before="0"/>
      </w:pPr>
      <w:r>
        <w:rPr>
          <w:rFonts w:ascii="Arial" w:cs="Arial" w:eastAsia="Arial" w:hAnsi="Arial"/>
          <w:sz w:val="4"/>
          <w:szCs w:val="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975A" w:val="clear"/>
            <w:tcMar>
              <w:top w:type="dxa" w:w="120"/>
              <w:left w:type="dxa" w:w="180"/>
              <w:bottom w:type="dxa" w:w="120"/>
              <w:right w:type="dxa" w:w="180"/>
            </w:tcMar>
          </w:tcPr>
          <w:p>
            <w:r>
              <w:rPr>
                <w:rFonts w:ascii="Arial" w:cs="Arial" w:eastAsia="Arial" w:hAnsi="Arial"/>
                <w:b/>
                <w:bCs/>
                <w:color w:val="0D1B2A"/>
                <w:sz w:val="22"/>
                <w:szCs w:val="22"/>
              </w:rPr>
              <w:t xml:space="preserve">#10 — VA-019  Hair Follicle Miniaturisation Diagram</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Question</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Q06 — Hair Fall Pattern (educational overlay)</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Asset Type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Medical Visualization — Simplified follicle cross-section showing miniaturisation</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Why It Matters</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This is the "why it happens" moment of the assessment. Showing a patient the mechanism behind their hair loss — DHT binding to follicle, progressive miniaturisation — converts a data-collection exercise into a clinical education experience. This single diagram builds more trust than any other element in the assessment.</w:t>
            </w:r>
          </w:p>
        </w:tc>
      </w:tr>
      <w:tr>
        <w:tc>
          <w:tcPr>
            <w:tcW w:type="dxa" w:w="20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Patient Behaviour Change</w:t>
            </w:r>
          </w:p>
        </w:tc>
        <w:tc>
          <w:tcPr>
            <w:tcW w:type="dxa" w:w="7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Does not change selection accuracy. Changes patient attitude — from passive responder to informed participant.</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Secondary Value</w:t>
            </w:r>
          </w:p>
        </w:tc>
        <w:tc>
          <w:tcPr>
            <w:tcW w:type="dxa" w:w="7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Highest trust-building moment in the entire questionnaire. Sets up the treatment consultation perfectly.</w:t>
            </w:r>
          </w:p>
        </w:tc>
      </w:tr>
    </w:tbl>
    <w:p>
      <w:pPr>
        <w:spacing w:after="0" w:before="0"/>
      </w:pPr>
      <w:r>
        <w:rPr>
          <w:rFonts w:ascii="Arial" w:cs="Arial" w:eastAsia="Arial" w:hAnsi="Arial"/>
          <w:sz w:val="4"/>
          <w:szCs w:val="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7A9E" w:val="clear"/>
            <w:tcMar>
              <w:top w:type="dxa" w:w="120"/>
              <w:left w:type="dxa" w:w="180"/>
              <w:bottom w:type="dxa" w:w="120"/>
              <w:right w:type="dxa" w:w="180"/>
            </w:tcMar>
          </w:tcPr>
          <w:p>
            <w:r>
              <w:rPr>
                <w:rFonts w:ascii="Arial" w:cs="Arial" w:eastAsia="Arial" w:hAnsi="Arial"/>
                <w:b/>
                <w:bCs/>
                <w:color w:val="FFFFFF"/>
                <w:sz w:val="22"/>
                <w:szCs w:val="22"/>
              </w:rPr>
              <w:t xml:space="preserve">#11–20 — Remaining High-Value Assets</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500"/>
        <w:gridCol w:w="5360"/>
      </w:tblGrid>
      <w:tr>
        <w:tc>
          <w:tcPr>
            <w:tcW w:type="dxa" w:w="6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Rank</w:t>
            </w:r>
          </w:p>
        </w:tc>
        <w:tc>
          <w:tcPr>
            <w:tcW w:type="dxa" w:w="9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ID</w:t>
            </w:r>
          </w:p>
        </w:tc>
        <w:tc>
          <w:tcPr>
            <w:tcW w:type="dxa" w:w="25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Name</w:t>
            </w:r>
          </w:p>
        </w:tc>
        <w:tc>
          <w:tcPr>
            <w:tcW w:type="dxa" w:w="53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Core Value</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11</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VA-014</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Duration Timeline Strip</w:t>
            </w:r>
          </w:p>
        </w:tc>
        <w:tc>
          <w:tcPr>
            <w:tcW w:type="dxa" w:w="5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Reduces systematic duration underestimation by prompting careful reflection.</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12</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VA-020</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Hormonal Cascade Diagram</w:t>
            </w:r>
          </w:p>
        </w:tc>
        <w:tc>
          <w:tcPr>
            <w:tcW w:type="dxa" w:w="5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Explains oestrogen-follicle relationship. Transforms clinical trust for female patients.</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13</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VA-029</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AI Insight Arc Animation</w:t>
            </w:r>
          </w:p>
        </w:tc>
        <w:tc>
          <w:tcPr>
            <w:tcW w:type="dxa" w:w="5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Most impactful system-level asset. Signals intelligence and elevates premium perception.</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14</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VA-030</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Completion Sequence Morph</w:t>
            </w:r>
          </w:p>
        </w:tc>
        <w:tc>
          <w:tcPr>
            <w:tcW w:type="dxa" w:w="5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payoff moment. A satisfying completion animation drives completion rate.</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15</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VA-022</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Suspected Causes Icon Set</w:t>
            </w:r>
          </w:p>
        </w:tc>
        <w:tc>
          <w:tcPr>
            <w:tcW w:type="dxa" w:w="5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Increases scannability. Reduces cognitive load on the most complex multi-select question.</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16</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VA-018</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Chemical Damage Illustration</w:t>
            </w:r>
          </w:p>
        </w:tc>
        <w:tc>
          <w:tcPr>
            <w:tcW w:type="dxa" w:w="5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Helps patients distinguish structural breakage from follicle loss.</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17</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VA-021</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Gender Marker Icons</w:t>
            </w:r>
          </w:p>
        </w:tc>
        <w:tc>
          <w:tcPr>
            <w:tcW w:type="dxa" w:w="5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Small investment, high UX quality. Sets a consistent visual standard from Q02 onward.</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18</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VA-023</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Autoimmune Icon Set</w:t>
            </w:r>
          </w:p>
        </w:tc>
        <w:tc>
          <w:tcPr>
            <w:tcW w:type="dxa" w:w="5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Reduces cognitive friction for a high-clinical-importance but visually bare question.</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19</w:t>
            </w:r>
          </w:p>
        </w:tc>
        <w:tc>
          <w:tcPr>
            <w:tcW w:type="dxa" w:w="9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VA-024</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Lifestyle Factors Icon Set</w:t>
            </w:r>
          </w:p>
        </w:tc>
        <w:tc>
          <w:tcPr>
            <w:tcW w:type="dxa" w:w="53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Warms the contributing factors section. Reduces questionnaire-fatigue.</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20</w:t>
            </w:r>
          </w:p>
        </w:tc>
        <w:tc>
          <w:tcPr>
            <w:tcW w:type="dxa" w:w="9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VA-032</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Progress Dot Set</w:t>
            </w:r>
          </w:p>
        </w:tc>
        <w:tc>
          <w:tcPr>
            <w:tcW w:type="dxa" w:w="53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Foundation of the phase completion celebration. High reuse, low effort.</w:t>
            </w:r>
          </w:p>
        </w:tc>
      </w:tr>
    </w:tbl>
    <w:p>
      <w:r>
        <w:br w:type="page"/>
      </w:r>
    </w:p>
    <w:p>
      <w:pPr>
        <w:pStyle w:val="Heading1"/>
      </w:pPr>
      <w:r>
        <w:rPr>
          <w:rFonts w:ascii="Arial" w:cs="Arial" w:eastAsia="Arial" w:hAnsi="Arial"/>
        </w:rPr>
        <w:t xml:space="preserve">Deliverable 6 — Visual ROI Analysis</w:t>
      </w:r>
    </w:p>
    <w:p>
      <w:pPr>
        <w:spacing w:after="60" w:before="60"/>
      </w:pPr>
      <w:r>
        <w:rPr>
          <w:rFonts w:ascii="Arial" w:cs="Arial" w:eastAsia="Arial" w:hAnsi="Arial"/>
          <w:color w:val="4A5568"/>
          <w:sz w:val="20"/>
          <w:szCs w:val="20"/>
        </w:rPr>
        <w:t xml:space="preserve">Every proposed asset is evaluated against five dimensions. Production and development complexity are rated 1–5 (1 = minimal, 5 = complex). Patient and clinical value are rated 1–5 (1 = marginal, 5 = transformative). Classification: Must Build / Should Build / Nice to Have / Avoid.</w:t>
      </w:r>
    </w:p>
    <w:p>
      <w:pPr>
        <w:spacing w:after="0" w:before="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20"/>
        <w:gridCol w:w="620"/>
        <w:gridCol w:w="700"/>
        <w:gridCol w:w="700"/>
        <w:gridCol w:w="660"/>
        <w:gridCol w:w="3060"/>
      </w:tblGrid>
      <w:tr>
        <w:tc>
          <w:tcPr>
            <w:tcW w:type="dxa" w:w="8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ID</w:t>
            </w:r>
          </w:p>
        </w:tc>
        <w:tc>
          <w:tcPr>
            <w:tcW w:type="dxa" w:w="22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Name</w:t>
            </w:r>
          </w:p>
        </w:tc>
        <w:tc>
          <w:tcPr>
            <w:tcW w:type="dxa" w:w="62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Prod
Cmplx</w:t>
            </w:r>
          </w:p>
        </w:tc>
        <w:tc>
          <w:tcPr>
            <w:tcW w:type="dxa" w:w="62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Dev
Cmplx</w:t>
            </w:r>
          </w:p>
        </w:tc>
        <w:tc>
          <w:tcPr>
            <w:tcW w:type="dxa" w:w="7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Patient
Value</w:t>
            </w:r>
          </w:p>
        </w:tc>
        <w:tc>
          <w:tcPr>
            <w:tcW w:type="dxa" w:w="7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Clinical
Value</w:t>
            </w:r>
          </w:p>
        </w:tc>
        <w:tc>
          <w:tcPr>
            <w:tcW w:type="dxa" w:w="6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Reuse</w:t>
            </w:r>
          </w:p>
        </w:tc>
        <w:tc>
          <w:tcPr>
            <w:tcW w:type="dxa" w:w="30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Decision</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VA-001</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Norwood Scale Illustrations</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VA-002</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Ludwig Scale Illustrations</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VA-003</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Male Pattern Grid</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VA-004</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Female Pattern Grid</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VA-005</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Shedding Volume Photos</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VA-006</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Major Concerns Grid (M)</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VA-007</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Major Concerns Grid (F)</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VA-008</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 Healthy</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VA-009</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 Dandruff</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VA-010</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 Seb. Derm.</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VA-011</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 Psoriasis</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VA-012</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 Folliculitis</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VA-013</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 Oily Buildup</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VA-014</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Duration Timeline</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VA-015</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Hormonal Timeline</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VA-016</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Nutrient Icon Grid</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VA-017</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Traction Alopecia Illust.</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VA-018</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Chemical Damage Illust.</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VA-019</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Follicle Diagram</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VA-020</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Hormonal Cascade Diag.</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VA-021</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Gender Icons</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VA-022</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Causes Icon Set</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VA-023</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Autoimmune Icon Set</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VA-024</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Lifestyle Icon Set</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VA-025</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Thyroid Icon Set</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VA-026</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Gut Health Icon Set</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7B5E00" w:val="clear"/>
            <w:tcMar>
              <w:top w:type="dxa" w:w="70"/>
              <w:left w:type="dxa" w:w="100"/>
              <w:bottom w:type="dxa" w:w="70"/>
              <w:right w:type="dxa" w:w="100"/>
            </w:tcMar>
          </w:tcPr>
          <w:p>
            <w:r>
              <w:rPr>
                <w:rFonts w:ascii="Arial" w:cs="Arial" w:eastAsia="Arial" w:hAnsi="Arial"/>
                <w:b/>
                <w:bCs/>
                <w:color w:val="FFFFFF"/>
                <w:sz w:val="18"/>
                <w:szCs w:val="18"/>
              </w:rPr>
              <w:t xml:space="preserve">NICE TO HAVE</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VA-027</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Diet Icon Set</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7B5E00" w:val="clear"/>
            <w:tcMar>
              <w:top w:type="dxa" w:w="70"/>
              <w:left w:type="dxa" w:w="100"/>
              <w:bottom w:type="dxa" w:w="70"/>
              <w:right w:type="dxa" w:w="100"/>
            </w:tcMar>
          </w:tcPr>
          <w:p>
            <w:r>
              <w:rPr>
                <w:rFonts w:ascii="Arial" w:cs="Arial" w:eastAsia="Arial" w:hAnsi="Arial"/>
                <w:b/>
                <w:bCs/>
                <w:color w:val="FFFFFF"/>
                <w:sz w:val="18"/>
                <w:szCs w:val="18"/>
              </w:rPr>
              <w:t xml:space="preserve">NICE TO HAVE</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VA-028</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Phase Arc SVG</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VA-029</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AI Insight Arc</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VA-030</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Completion Morph</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VA-031</w:t>
            </w:r>
          </w:p>
        </w:tc>
        <w:tc>
          <w:tcPr>
            <w:tcW w:type="dxa" w:w="22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Loading Shimmer</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r>
      <w:tr>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VA-032</w:t>
            </w:r>
          </w:p>
        </w:tc>
        <w:tc>
          <w:tcPr>
            <w:tcW w:type="dxa" w:w="22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Progress Dot Set</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2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6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High</w:t>
            </w:r>
          </w:p>
        </w:tc>
        <w:tc>
          <w:tcPr>
            <w:tcW w:type="dxa" w:w="306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r>
    </w:tbl>
    <w:p>
      <w:pPr>
        <w:spacing w:after="0" w:before="0"/>
      </w:pPr>
      <w:r>
        <w:rPr>
          <w:rFonts w:ascii="Arial" w:cs="Arial" w:eastAsia="Arial" w:hAnsi="Arial"/>
          <w:sz w:val="8"/>
          <w:szCs w:val="8"/>
        </w:rPr>
        <w:t xml:space="preserve"/>
      </w:r>
    </w:p>
    <w:p>
      <w:pPr>
        <w:pStyle w:val="Heading2"/>
      </w:pPr>
      <w:r>
        <w:rPr>
          <w:rFonts w:ascii="Arial" w:cs="Arial" w:eastAsia="Arial" w:hAnsi="Arial"/>
        </w:rPr>
        <w:t xml:space="preserve">ROI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960"/>
      </w:tblGrid>
      <w:tr>
        <w:tc>
          <w:tcPr>
            <w:tcW w:type="dxa" w:w="16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Classification</w:t>
            </w:r>
          </w:p>
        </w:tc>
        <w:tc>
          <w:tcPr>
            <w:tcW w:type="dxa" w:w="8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Count</w:t>
            </w:r>
          </w:p>
        </w:tc>
        <w:tc>
          <w:tcPr>
            <w:tcW w:type="dxa" w:w="69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IDs</w:t>
            </w:r>
          </w:p>
        </w:tc>
      </w:tr>
      <w:tr>
        <w:tc>
          <w:tcPr>
            <w:tcW w:type="dxa" w:w="1600"/>
            <w:tcBorders>
              <w:top w:val="single" w:color="CBD5E0" w:sz="1"/>
              <w:left w:val="single" w:color="CBD5E0" w:sz="1"/>
              <w:bottom w:val="single" w:color="CBD5E0" w:sz="1"/>
              <w:right w:val="single" w:color="CBD5E0" w:sz="1"/>
            </w:tcBorders>
            <w:shd w:fill="1B4332" w:val="clear"/>
            <w:tcMar>
              <w:top w:type="dxa" w:w="70"/>
              <w:left w:type="dxa" w:w="100"/>
              <w:bottom w:type="dxa" w:w="70"/>
              <w:right w:type="dxa" w:w="100"/>
            </w:tcMar>
          </w:tcPr>
          <w:p>
            <w:r>
              <w:rPr>
                <w:rFonts w:ascii="Arial" w:cs="Arial" w:eastAsia="Arial" w:hAnsi="Arial"/>
                <w:b/>
                <w:bCs/>
                <w:color w:val="FFFFFF"/>
                <w:sz w:val="18"/>
                <w:szCs w:val="18"/>
              </w:rPr>
              <w:t xml:space="preserve">MUST BUILD</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17</w:t>
            </w:r>
          </w:p>
        </w:tc>
        <w:tc>
          <w:tcPr>
            <w:tcW w:type="dxa" w:w="69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VA-001–012, VA-015, VA-016, VA-028, VA-029, VA-032</w:t>
            </w:r>
          </w:p>
        </w:tc>
      </w:tr>
      <w:tr>
        <w:tc>
          <w:tcPr>
            <w:tcW w:type="dxa" w:w="1600"/>
            <w:tcBorders>
              <w:top w:val="single" w:color="CBD5E0" w:sz="1"/>
              <w:left w:val="single" w:color="CBD5E0" w:sz="1"/>
              <w:bottom w:val="single" w:color="CBD5E0" w:sz="1"/>
              <w:right w:val="single" w:color="CBD5E0" w:sz="1"/>
            </w:tcBorders>
            <w:shd w:fill="2D5A3D" w:val="clear"/>
            <w:tcMar>
              <w:top w:type="dxa" w:w="70"/>
              <w:left w:type="dxa" w:w="100"/>
              <w:bottom w:type="dxa" w:w="70"/>
              <w:right w:type="dxa" w:w="100"/>
            </w:tcMar>
          </w:tcPr>
          <w:p>
            <w:r>
              <w:rPr>
                <w:rFonts w:ascii="Arial" w:cs="Arial" w:eastAsia="Arial" w:hAnsi="Arial"/>
                <w:b/>
                <w:bCs/>
                <w:color w:val="FFFFFF"/>
                <w:sz w:val="18"/>
                <w:szCs w:val="18"/>
              </w:rPr>
              <w:t xml:space="preserve">SHOULD BUILD</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11</w:t>
            </w:r>
          </w:p>
        </w:tc>
        <w:tc>
          <w:tcPr>
            <w:tcW w:type="dxa" w:w="69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VA-013, VA-014, VA-017–025, VA-030, VA-031</w:t>
            </w:r>
          </w:p>
        </w:tc>
      </w:tr>
      <w:tr>
        <w:tc>
          <w:tcPr>
            <w:tcW w:type="dxa" w:w="1600"/>
            <w:tcBorders>
              <w:top w:val="single" w:color="CBD5E0" w:sz="1"/>
              <w:left w:val="single" w:color="CBD5E0" w:sz="1"/>
              <w:bottom w:val="single" w:color="CBD5E0" w:sz="1"/>
              <w:right w:val="single" w:color="CBD5E0" w:sz="1"/>
            </w:tcBorders>
            <w:shd w:fill="7B5E00" w:val="clear"/>
            <w:tcMar>
              <w:top w:type="dxa" w:w="70"/>
              <w:left w:type="dxa" w:w="100"/>
              <w:bottom w:type="dxa" w:w="70"/>
              <w:right w:type="dxa" w:w="100"/>
            </w:tcMar>
          </w:tcPr>
          <w:p>
            <w:r>
              <w:rPr>
                <w:rFonts w:ascii="Arial" w:cs="Arial" w:eastAsia="Arial" w:hAnsi="Arial"/>
                <w:b/>
                <w:bCs/>
                <w:color w:val="FFFFFF"/>
                <w:sz w:val="18"/>
                <w:szCs w:val="18"/>
              </w:rPr>
              <w:t xml:space="preserve">NICE TO HAVE</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69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VA-026, VA-027</w:t>
            </w:r>
          </w:p>
        </w:tc>
      </w:tr>
      <w:tr>
        <w:tc>
          <w:tcPr>
            <w:tcW w:type="dxa" w:w="1600"/>
            <w:tcBorders>
              <w:top w:val="single" w:color="CBD5E0" w:sz="1"/>
              <w:left w:val="single" w:color="CBD5E0" w:sz="1"/>
              <w:bottom w:val="single" w:color="CBD5E0" w:sz="1"/>
              <w:right w:val="single" w:color="CBD5E0" w:sz="1"/>
            </w:tcBorders>
            <w:shd w:fill="7B2D2D" w:val="clear"/>
            <w:tcMar>
              <w:top w:type="dxa" w:w="70"/>
              <w:left w:type="dxa" w:w="100"/>
              <w:bottom w:type="dxa" w:w="70"/>
              <w:right w:type="dxa" w:w="100"/>
            </w:tcMar>
          </w:tcPr>
          <w:p>
            <w:r>
              <w:rPr>
                <w:rFonts w:ascii="Arial" w:cs="Arial" w:eastAsia="Arial" w:hAnsi="Arial"/>
                <w:b/>
                <w:bCs/>
                <w:color w:val="FFFFFF"/>
                <w:sz w:val="18"/>
                <w:szCs w:val="18"/>
              </w:rPr>
              <w:t xml:space="preserve">AVOID</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0</w:t>
            </w:r>
          </w:p>
        </w:tc>
        <w:tc>
          <w:tcPr>
            <w:tcW w:type="dxa" w:w="69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No proposed assets are classified as "Avoid" — all serve a defined purpose.</w:t>
            </w:r>
          </w:p>
        </w:tc>
      </w:tr>
    </w:tbl>
    <w:p>
      <w:r>
        <w:br w:type="page"/>
      </w:r>
    </w:p>
    <w:p>
      <w:pPr>
        <w:pStyle w:val="Heading1"/>
      </w:pPr>
      <w:r>
        <w:rPr>
          <w:rFonts w:ascii="Arial" w:cs="Arial" w:eastAsia="Arial" w:hAnsi="Arial"/>
        </w:rPr>
        <w:t xml:space="preserve">Deliverable 7 — Phased Production Roadmap</w:t>
      </w:r>
    </w:p>
    <w:p>
      <w:pPr>
        <w:spacing w:after="60" w:before="60"/>
      </w:pPr>
      <w:r>
        <w:rPr>
          <w:rFonts w:ascii="Arial" w:cs="Arial" w:eastAsia="Arial" w:hAnsi="Arial"/>
          <w:color w:val="4A5568"/>
          <w:sz w:val="20"/>
          <w:szCs w:val="20"/>
        </w:rPr>
        <w:t xml:space="preserve">Assets are sequenced in three production phases. Each phase is a complete, shippable library. Phase 1 alone enables a clinically functional, visually coherent assessment. Phases 2 and 3 elevate it to world-class.</w:t>
      </w:r>
    </w:p>
    <w:p>
      <w:pPr>
        <w:spacing w:after="0" w:before="0"/>
      </w:pPr>
      <w:r>
        <w:rPr>
          <w:rFonts w:ascii="Arial" w:cs="Arial" w:eastAsia="Arial" w:hAnsi="Arial"/>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B8975A"/>
                <w:sz w:val="26"/>
                <w:szCs w:val="26"/>
              </w:rPr>
              <w:t xml:space="preserve">PHASE 1 — MVP Asset Library</w:t>
            </w:r>
          </w:p>
        </w:tc>
      </w:tr>
    </w:tbl>
    <w:p>
      <w:pPr>
        <w:spacing w:after="0" w:before="0"/>
      </w:pPr>
      <w:r>
        <w:rPr>
          <w:rFonts w:ascii="Arial" w:cs="Arial" w:eastAsia="Arial" w:hAnsi="Arial"/>
          <w:sz w:val="6"/>
          <w:szCs w:val="6"/>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448" w:val="clear"/>
            <w:tcMar>
              <w:top w:type="dxa" w:w="80"/>
              <w:left w:type="dxa" w:w="180"/>
              <w:bottom w:type="dxa" w:w="80"/>
              <w:right w:type="dxa" w:w="180"/>
            </w:tcMar>
          </w:tcPr>
          <w:p>
            <w:r>
              <w:rPr>
                <w:rFonts w:ascii="Arial" w:cs="Arial" w:eastAsia="Arial" w:hAnsi="Arial"/>
                <w:b/>
                <w:bCs/>
                <w:color w:val="E8E4DF"/>
                <w:sz w:val="18"/>
                <w:szCs w:val="18"/>
              </w:rPr>
              <w:t xml:space="preserve">Objective: Ship a clinically accurate, visually coherent assessment. All Tier A clinical assets. Core system assets.</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2500"/>
        <w:gridCol w:w="1600"/>
        <w:gridCol w:w="700"/>
        <w:gridCol w:w="3160"/>
      </w:tblGrid>
      <w:tr>
        <w:tc>
          <w:tcPr>
            <w:tcW w:type="dxa" w:w="6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8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ID</w:t>
            </w:r>
          </w:p>
        </w:tc>
        <w:tc>
          <w:tcPr>
            <w:tcW w:type="dxa" w:w="25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Name</w:t>
            </w:r>
          </w:p>
        </w:tc>
        <w:tc>
          <w:tcPr>
            <w:tcW w:type="dxa" w:w="16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7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31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Dependency</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VA-001</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Norwood Scale (I–VI)</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XL</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review required</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VA-002</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Ludwig Scale (I–III)</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L</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review required</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VA-003</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Male Hair Fall Pattern Grid</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XL</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VA-001 style established</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VA-006</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Major Concerns Grid (Male)</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XL</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VA-003 style established</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VA-005</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Shedding Volume Photography</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Photography session</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6</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VA-008</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 Healthy</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Photography session (same)</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7</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VA-009</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 Dandruff</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Photography session (same)</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8</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VA-010</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 Seb. Dermatitis</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photography specialist</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9</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VA-011</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 Psoriasis</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photography specialist</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10</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VA-016</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Nutrient Icon Grid</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 style defined</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11</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VA-028</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Phase Arc SVG</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Motion Asset</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None</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12</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VA-029</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AI Insight Arc</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Motion Asset</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VA-028 complete</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13</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VA-032</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Progress Dot Set</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None</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Phase 1 Summary</w:t>
            </w:r>
          </w:p>
        </w:tc>
        <w:tc>
          <w:tcPr>
            <w:tcW w:type="dxa" w:w="69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Total Assets</w:t>
            </w:r>
          </w:p>
        </w:tc>
        <w:tc>
          <w:tcPr>
            <w:tcW w:type="dxa" w:w="69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13 assets</w:t>
            </w:r>
          </w:p>
        </w:tc>
      </w:tr>
      <w:tr>
        <w:tc>
          <w:tcPr>
            <w:tcW w:type="dxa" w:w="24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Total Estimated Effort</w:t>
            </w:r>
          </w:p>
        </w:tc>
        <w:tc>
          <w:tcPr>
            <w:tcW w:type="dxa" w:w="69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8–11 weeks (1 illustrator + 1 photographer + 1 motion designer)</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Photography</w:t>
            </w:r>
          </w:p>
        </w:tc>
        <w:tc>
          <w:tcPr>
            <w:tcW w:type="dxa" w:w="69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Requires clinical photography specialist. Book a dedicated half-day session for scalp condition photography.</w:t>
            </w:r>
          </w:p>
        </w:tc>
      </w:tr>
      <w:tr>
        <w:tc>
          <w:tcPr>
            <w:tcW w:type="dxa" w:w="24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Dependencies Before Production</w:t>
            </w:r>
          </w:p>
        </w:tc>
        <w:tc>
          <w:tcPr>
            <w:tcW w:type="dxa" w:w="69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Trichologist review of all clinical illustrations before finalisation. All scale grades to be validated against clinical literature.</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Output</w:t>
            </w:r>
          </w:p>
        </w:tc>
        <w:tc>
          <w:tcPr>
            <w:tcW w:type="dxa" w:w="69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Fully functional Tier A visual assessment. All critical misclassification risks addressed.</w:t>
            </w:r>
          </w:p>
        </w:tc>
      </w:tr>
    </w:tbl>
    <w:p>
      <w:pPr>
        <w:spacing w:after="0" w:before="0"/>
      </w:pPr>
      <w:r>
        <w:rPr>
          <w:rFonts w:ascii="Arial" w:cs="Arial" w:eastAsia="Arial" w:hAnsi="Arial"/>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7A9E" w:val="clear"/>
            <w:tcMar>
              <w:top w:type="dxa" w:w="120"/>
              <w:left w:type="dxa" w:w="180"/>
              <w:bottom w:type="dxa" w:w="120"/>
              <w:right w:type="dxa" w:w="180"/>
            </w:tcMar>
          </w:tcPr>
          <w:p>
            <w:r>
              <w:rPr>
                <w:rFonts w:ascii="Arial" w:cs="Arial" w:eastAsia="Arial" w:hAnsi="Arial"/>
                <w:b/>
                <w:bCs/>
                <w:color w:val="FFFFFF"/>
                <w:sz w:val="26"/>
                <w:szCs w:val="26"/>
              </w:rPr>
              <w:t xml:space="preserve">PHASE 2 — Premium Clinical Visuals</w:t>
            </w:r>
          </w:p>
        </w:tc>
      </w:tr>
    </w:tbl>
    <w:p>
      <w:pPr>
        <w:spacing w:after="0" w:before="0"/>
      </w:pPr>
      <w:r>
        <w:rPr>
          <w:rFonts w:ascii="Arial" w:cs="Arial" w:eastAsia="Arial" w:hAnsi="Arial"/>
          <w:sz w:val="6"/>
          <w:szCs w:val="6"/>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D4D" w:val="clear"/>
            <w:tcMar>
              <w:top w:type="dxa" w:w="80"/>
              <w:left w:type="dxa" w:w="180"/>
              <w:bottom w:type="dxa" w:w="80"/>
              <w:right w:type="dxa" w:w="180"/>
            </w:tcMar>
          </w:tcPr>
          <w:p>
            <w:r>
              <w:rPr>
                <w:rFonts w:ascii="Arial" w:cs="Arial" w:eastAsia="Arial" w:hAnsi="Arial"/>
                <w:b/>
                <w:bCs/>
                <w:color w:val="E8E4DF"/>
                <w:sz w:val="18"/>
                <w:szCs w:val="18"/>
              </w:rPr>
              <w:t xml:space="preserve">Objective: Add female-specific, educational, and contextual assets. Complete the Should Build inventory.</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2500"/>
        <w:gridCol w:w="1600"/>
        <w:gridCol w:w="700"/>
        <w:gridCol w:w="3160"/>
      </w:tblGrid>
      <w:tr>
        <w:tc>
          <w:tcPr>
            <w:tcW w:type="dxa" w:w="6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8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ID</w:t>
            </w:r>
          </w:p>
        </w:tc>
        <w:tc>
          <w:tcPr>
            <w:tcW w:type="dxa" w:w="25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Name</w:t>
            </w:r>
          </w:p>
        </w:tc>
        <w:tc>
          <w:tcPr>
            <w:tcW w:type="dxa" w:w="16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7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31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Dependency</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VA-004</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Female Hair Fall Pattern Grid</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VA-003 style established</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VA-007</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Major Concerns Grid (Female)</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L</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VA-006 style established</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VA-015</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Hormonal Life-Stage Timeline</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None</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VA-017</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Traction Alopecia Illustration</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Trichologist brief required</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5</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VA-012</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 Folliculitis</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Photography session</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6</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VA-013</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Scalp — Oily Buildup</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HD Photography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Photography session (same)</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7</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VA-014</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Duration Timeline Strip</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None</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8</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VA-018</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Chemical Damage Illustration</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 Illustration</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VA-017 style</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9</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VA-021</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Gender Marker Icons</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 style defined</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10</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VA-022</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Suspected Causes Icon Set</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 style defined</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11</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VA-023</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Autoimmune Icon Set</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 style defined</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12</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VA-024</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Lifestyle Icon Set</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 style defined</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13</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VA-025</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Thyroid Icon Set</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 style defined</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14</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VA-030</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Completion Sequence Morph</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Motion Asset</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VA-029 complete</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15</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VA-031</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Loading Shimmer</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Motion Asset</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None</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Phase 2 Summary</w:t>
            </w:r>
          </w:p>
        </w:tc>
        <w:tc>
          <w:tcPr>
            <w:tcW w:type="dxa" w:w="69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Total Assets</w:t>
            </w:r>
          </w:p>
        </w:tc>
        <w:tc>
          <w:tcPr>
            <w:tcW w:type="dxa" w:w="69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15 assets</w:t>
            </w:r>
          </w:p>
        </w:tc>
      </w:tr>
      <w:tr>
        <w:tc>
          <w:tcPr>
            <w:tcW w:type="dxa" w:w="24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Total Estimated Effort</w:t>
            </w:r>
          </w:p>
        </w:tc>
        <w:tc>
          <w:tcPr>
            <w:tcW w:type="dxa" w:w="69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6–8 weeks (same team, running parallel to development)</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Output</w:t>
            </w:r>
          </w:p>
        </w:tc>
        <w:tc>
          <w:tcPr>
            <w:tcW w:type="dxa" w:w="69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Complete female-path visual coverage. Full icon library. Enhanced motion layer. Assessment is now fully gender-inclusive.</w:t>
            </w:r>
          </w:p>
        </w:tc>
      </w:tr>
    </w:tbl>
    <w:p>
      <w:pPr>
        <w:spacing w:after="0" w:before="0"/>
      </w:pPr>
      <w:r>
        <w:rPr>
          <w:rFonts w:ascii="Arial" w:cs="Arial" w:eastAsia="Arial" w:hAnsi="Arial"/>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r>
              <w:rPr>
                <w:rFonts w:ascii="Arial" w:cs="Arial" w:eastAsia="Arial" w:hAnsi="Arial"/>
                <w:b/>
                <w:bCs/>
                <w:color w:val="B8975A"/>
                <w:sz w:val="26"/>
                <w:szCs w:val="26"/>
              </w:rPr>
              <w:t xml:space="preserve">PHASE 3 — Advanced Motion &amp; Educational Layers</w:t>
            </w:r>
          </w:p>
        </w:tc>
      </w:tr>
    </w:tbl>
    <w:p>
      <w:pPr>
        <w:spacing w:after="0" w:before="0"/>
      </w:pPr>
      <w:r>
        <w:rPr>
          <w:rFonts w:ascii="Arial" w:cs="Arial" w:eastAsia="Arial" w:hAnsi="Arial"/>
          <w:sz w:val="6"/>
          <w:szCs w:val="6"/>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035" w:val="clear"/>
            <w:tcMar>
              <w:top w:type="dxa" w:w="80"/>
              <w:left w:type="dxa" w:w="180"/>
              <w:bottom w:type="dxa" w:w="80"/>
              <w:right w:type="dxa" w:w="180"/>
            </w:tcMar>
          </w:tcPr>
          <w:p>
            <w:r>
              <w:rPr>
                <w:rFonts w:ascii="Arial" w:cs="Arial" w:eastAsia="Arial" w:hAnsi="Arial"/>
                <w:b/>
                <w:bCs/>
                <w:color w:val="E8E4DF"/>
                <w:sz w:val="18"/>
                <w:szCs w:val="18"/>
              </w:rPr>
              <w:t xml:space="preserve">Objective: Add medical education visualizations and remaining supplementary assets. Elevates the assessment to world-class.</w:t>
            </w:r>
          </w:p>
        </w:tc>
      </w:tr>
    </w:tbl>
    <w:p>
      <w:pPr>
        <w:spacing w:after="0" w:before="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2500"/>
        <w:gridCol w:w="1600"/>
        <w:gridCol w:w="700"/>
        <w:gridCol w:w="3160"/>
      </w:tblGrid>
      <w:tr>
        <w:tc>
          <w:tcPr>
            <w:tcW w:type="dxa" w:w="6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8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ID</w:t>
            </w:r>
          </w:p>
        </w:tc>
        <w:tc>
          <w:tcPr>
            <w:tcW w:type="dxa" w:w="25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Name</w:t>
            </w:r>
          </w:p>
        </w:tc>
        <w:tc>
          <w:tcPr>
            <w:tcW w:type="dxa" w:w="16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7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31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Dependency</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VA-019</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Hair Follicle Miniaturisation Diagram</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Medical Visualization</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Medical illustrator required</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2</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VA-020</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Hormonal Cascade Diagram</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Medical Visualization</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Medical illustrator required</w:t>
            </w:r>
          </w:p>
        </w:tc>
      </w:tr>
      <w:tr>
        <w:tc>
          <w:tcPr>
            <w:tcW w:type="dxa" w:w="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w:t>
            </w:r>
          </w:p>
        </w:tc>
        <w:tc>
          <w:tcPr>
            <w:tcW w:type="dxa" w:w="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VA-026</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Gut Health Icon Set</w:t>
            </w:r>
          </w:p>
        </w:tc>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Phase 2 icon style</w:t>
            </w:r>
          </w:p>
        </w:tc>
      </w:tr>
      <w:tr>
        <w:tc>
          <w:tcPr>
            <w:tcW w:type="dxa" w:w="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4</w:t>
            </w:r>
          </w:p>
        </w:tc>
        <w:tc>
          <w:tcPr>
            <w:tcW w:type="dxa" w:w="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VA-027</w:t>
            </w:r>
          </w:p>
        </w:tc>
        <w:tc>
          <w:tcPr>
            <w:tcW w:type="dxa" w:w="25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Diet Category Icon Set</w:t>
            </w:r>
          </w:p>
        </w:tc>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Iconography</w:t>
            </w:r>
          </w:p>
        </w:tc>
        <w:tc>
          <w:tcPr>
            <w:tcW w:type="dxa" w:w="7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S</w:t>
            </w:r>
          </w:p>
        </w:tc>
        <w:tc>
          <w:tcPr>
            <w:tcW w:type="dxa" w:w="31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Phase 2 icon style</w:t>
            </w:r>
          </w:p>
        </w:tc>
      </w:tr>
    </w:tbl>
    <w:p>
      <w:pPr>
        <w:spacing w:after="0" w:before="0"/>
      </w:pPr>
      <w:r>
        <w:rPr>
          <w:rFonts w:ascii="Arial" w:cs="Arial" w:eastAsia="Arial" w:hAnsi="Arial"/>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Phase 3 Summary</w:t>
            </w:r>
          </w:p>
        </w:tc>
        <w:tc>
          <w:tcPr>
            <w:tcW w:type="dxa" w:w="69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Total Assets</w:t>
            </w:r>
          </w:p>
        </w:tc>
        <w:tc>
          <w:tcPr>
            <w:tcW w:type="dxa" w:w="69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4 assets</w:t>
            </w:r>
          </w:p>
        </w:tc>
      </w:tr>
      <w:tr>
        <w:tc>
          <w:tcPr>
            <w:tcW w:type="dxa" w:w="24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Total Estimated Effort</w:t>
            </w:r>
          </w:p>
        </w:tc>
        <w:tc>
          <w:tcPr>
            <w:tcW w:type="dxa" w:w="69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3–4 weeks (medical illustrator + 1 icon production day)</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Output</w:t>
            </w:r>
          </w:p>
        </w:tc>
        <w:tc>
          <w:tcPr>
            <w:tcW w:type="dxa" w:w="69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The educational overlay layer is live. The follicle diagram and hormonal cascade are the "intelligence signature" of the assessment — the moments that make it feel genuinely different from any other hair questionnaire.</w:t>
            </w:r>
          </w:p>
        </w:tc>
      </w:tr>
    </w:tbl>
    <w:p>
      <w:pPr>
        <w:spacing w:after="0" w:before="0"/>
      </w:pPr>
      <w:r>
        <w:rPr>
          <w:rFonts w:ascii="Arial" w:cs="Arial" w:eastAsia="Arial" w:hAnsi="Arial"/>
          <w:sz w:val="10"/>
          <w:szCs w:val="10"/>
        </w:rPr>
        <w:t xml:space="preserve"/>
      </w:r>
    </w:p>
    <w:p>
      <w:pPr>
        <w:pStyle w:val="Heading2"/>
      </w:pPr>
      <w:r>
        <w:rPr>
          <w:rFonts w:ascii="Arial" w:cs="Arial" w:eastAsia="Arial" w:hAnsi="Arial"/>
        </w:rPr>
        <w:t xml:space="preserve">Total Production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560"/>
      </w:tblGrid>
      <w:tr>
        <w:tc>
          <w:tcPr>
            <w:tcW w:type="dxa" w:w="16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14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Count</w:t>
            </w:r>
          </w:p>
        </w:tc>
        <w:tc>
          <w:tcPr>
            <w:tcW w:type="dxa" w:w="180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Effort Estimate</w:t>
            </w:r>
          </w:p>
        </w:tc>
        <w:tc>
          <w:tcPr>
            <w:tcW w:type="dxa" w:w="4560"/>
            <w:tcBorders>
              <w:top w:val="single" w:color="CBD5E0" w:sz="1"/>
              <w:left w:val="single" w:color="CBD5E0" w:sz="1"/>
              <w:bottom w:val="single" w:color="CBD5E0" w:sz="1"/>
              <w:right w:val="single" w:color="CBD5E0"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Outcome</w:t>
            </w:r>
          </w:p>
        </w:tc>
      </w:tr>
      <w:tr>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Phase 1 — MVP</w:t>
            </w:r>
          </w:p>
        </w:tc>
        <w:tc>
          <w:tcPr>
            <w:tcW w:type="dxa" w:w="1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13 assets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8–11 weeks</w:t>
            </w:r>
          </w:p>
        </w:tc>
        <w:tc>
          <w:tcPr>
            <w:tcW w:type="dxa" w:w="45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Clinically accurate, visually coherent assessment. All critical misclassification risks resolved.</w:t>
            </w:r>
          </w:p>
        </w:tc>
      </w:tr>
      <w:tr>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Phase 2 — Premium</w:t>
            </w:r>
          </w:p>
        </w:tc>
        <w:tc>
          <w:tcPr>
            <w:tcW w:type="dxa" w:w="14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15 assets</w:t>
            </w:r>
          </w:p>
        </w:tc>
        <w:tc>
          <w:tcPr>
            <w:tcW w:type="dxa" w:w="1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6–8 weeks</w:t>
            </w:r>
          </w:p>
        </w:tc>
        <w:tc>
          <w:tcPr>
            <w:tcW w:type="dxa" w:w="45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Fully gender-inclusive. Complete icon library. Enhanced motion. Premium UX standard achieved.</w:t>
            </w:r>
          </w:p>
        </w:tc>
      </w:tr>
      <w:tr>
        <w:tc>
          <w:tcPr>
            <w:tcW w:type="dxa" w:w="1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Phase 3 — Advanced</w:t>
            </w:r>
          </w:p>
        </w:tc>
        <w:tc>
          <w:tcPr>
            <w:tcW w:type="dxa" w:w="1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4 assets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3–4 weeks</w:t>
            </w:r>
          </w:p>
        </w:tc>
        <w:tc>
          <w:tcPr>
            <w:tcW w:type="dxa" w:w="45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4A5568"/>
                <w:sz w:val="18"/>
                <w:szCs w:val="18"/>
              </w:rPr>
              <w:t xml:space="preserve">World-class educational layer. Medical visualization signature complete.</w:t>
            </w:r>
          </w:p>
        </w:tc>
      </w:tr>
      <w:tr>
        <w:tc>
          <w:tcPr>
            <w:tcW w:type="dxa" w:w="16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TOTAL</w:t>
            </w:r>
          </w:p>
        </w:tc>
        <w:tc>
          <w:tcPr>
            <w:tcW w:type="dxa" w:w="14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32 assets</w:t>
            </w:r>
          </w:p>
        </w:tc>
        <w:tc>
          <w:tcPr>
            <w:tcW w:type="dxa" w:w="180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17–23 weeks</w:t>
            </w:r>
          </w:p>
        </w:tc>
        <w:tc>
          <w:tcPr>
            <w:tcW w:type="dxa" w:w="4560"/>
            <w:tcBorders>
              <w:top w:val="single" w:color="CBD5E0" w:sz="1"/>
              <w:left w:val="single" w:color="CBD5E0" w:sz="1"/>
              <w:bottom w:val="single" w:color="CBD5E0" w:sz="1"/>
              <w:right w:val="single" w:color="CBD5E0" w:sz="1"/>
            </w:tcBorders>
            <w:shd w:fill="F7F4F0" w:val="clear"/>
            <w:tcMar>
              <w:top w:type="dxa" w:w="70"/>
              <w:left w:type="dxa" w:w="100"/>
              <w:bottom w:type="dxa" w:w="70"/>
              <w:right w:type="dxa" w:w="100"/>
            </w:tcMar>
          </w:tcPr>
          <w:p>
            <w:r>
              <w:rPr>
                <w:rFonts w:ascii="Arial" w:cs="Arial" w:eastAsia="Arial" w:hAnsi="Arial"/>
                <w:b w:val="false"/>
                <w:bCs w:val="false"/>
                <w:color w:val="4A5568"/>
                <w:sz w:val="18"/>
                <w:szCs w:val="18"/>
              </w:rPr>
              <w:t xml:space="preserve">Complete Dr. FACT Visual Intelligence Layer. Canonical asset library in full production.</w:t>
            </w:r>
          </w:p>
        </w:tc>
      </w:tr>
    </w:tbl>
    <w:p>
      <w:r>
        <w:br w:type="page"/>
      </w:r>
    </w:p>
    <w:p>
      <w:pPr>
        <w:pStyle w:val="Heading1"/>
      </w:pPr>
      <w:r>
        <w:rPr>
          <w:rFonts w:ascii="Arial" w:cs="Arial" w:eastAsia="Arial" w:hAnsi="Arial"/>
        </w:rPr>
        <w:t xml:space="preserve">Closing Principles</w:t>
      </w:r>
    </w:p>
    <w:p>
      <w:pPr>
        <w:spacing w:after="0" w:before="0"/>
      </w:pPr>
      <w:r>
        <w:rPr>
          <w:rFonts w:ascii="Arial" w:cs="Arial" w:eastAsia="Arial" w:hAnsi="Arial"/>
          <w:sz w:val="6"/>
          <w:szCs w:val="6"/>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B8975A" w:sz="14"/>
              <w:bottom w:val="none" w:color="FFFFFF" w:sz="0"/>
              <w:right w:val="none" w:color="FFFFFF" w:sz="0"/>
            </w:tcBorders>
            <w:shd w:fill="F7F4F0" w:val="cle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F7F4F0" w:val="clear"/>
            <w:tcMar>
              <w:top w:type="dxa" w:w="110"/>
              <w:left w:type="dxa" w:w="180"/>
              <w:bottom w:type="dxa" w:w="110"/>
              <w:right w:type="dxa" w:w="160"/>
            </w:tcMar>
          </w:tcPr>
          <w:p>
            <w:r>
              <w:rPr>
                <w:rFonts w:ascii="Arial" w:cs="Arial" w:eastAsia="Arial" w:hAnsi="Arial"/>
                <w:i/>
                <w:iCs/>
                <w:color w:val="0D1B2A"/>
                <w:sz w:val="20"/>
                <w:szCs w:val="20"/>
              </w:rPr>
              <w:t xml:space="preserve">The five questions that deserve the largest visual investment — Hair Loss Grade, Hair Fall Pattern, Shedding Volume, Major Concerns, and Scalp Condition — account for less than 30% of the questions but more than 70% of the total diagnostic accuracy improvement. Invest here first, always.</w:t>
            </w:r>
          </w:p>
        </w:tc>
      </w:tr>
    </w:tbl>
    <w:p>
      <w:pPr>
        <w:spacing w:after="0" w:before="0"/>
      </w:pPr>
      <w:r>
        <w:rPr>
          <w:rFonts w:ascii="Arial" w:cs="Arial" w:eastAsia="Arial" w:hAnsi="Arial"/>
          <w:sz w:val="8"/>
          <w:szCs w:val="8"/>
        </w:rPr>
        <w:t xml:space="preserve"/>
      </w:r>
    </w:p>
    <w:p>
      <w:pPr>
        <w:spacing w:after="60" w:before="60"/>
      </w:pPr>
      <w:r>
        <w:rPr>
          <w:rFonts w:ascii="Arial" w:cs="Arial" w:eastAsia="Arial" w:hAnsi="Arial"/>
          <w:color w:val="4A5568"/>
          <w:sz w:val="20"/>
          <w:szCs w:val="20"/>
        </w:rPr>
        <w:t xml:space="preserve">This audit establishes three non-negotiable principles for all future Dr. FACT asset production:</w:t>
      </w:r>
    </w:p>
    <w:p>
      <w:pPr>
        <w:spacing w:after="0" w:before="0"/>
      </w:pPr>
      <w:r>
        <w:rPr>
          <w:rFonts w:ascii="Arial" w:cs="Arial" w:eastAsia="Arial" w:hAnsi="Arial"/>
          <w:sz w:val="4"/>
          <w:szCs w:val="4"/>
        </w:rPr>
        <w:t xml:space="preserve"/>
      </w:r>
    </w:p>
    <w:p>
      <w:pPr>
        <w:pStyle w:val="Heading3"/>
      </w:pPr>
      <w:r>
        <w:rPr>
          <w:rFonts w:ascii="Arial" w:cs="Arial" w:eastAsia="Arial" w:hAnsi="Arial"/>
        </w:rPr>
        <w:t xml:space="preserve">Principle 1 — Clinical Accuracy Before Aesthetic Beauty</w:t>
      </w:r>
    </w:p>
    <w:p>
      <w:pPr>
        <w:spacing w:after="60" w:before="60"/>
      </w:pPr>
      <w:r>
        <w:rPr>
          <w:rFonts w:ascii="Arial" w:cs="Arial" w:eastAsia="Arial" w:hAnsi="Arial"/>
          <w:color w:val="4A5568"/>
          <w:sz w:val="20"/>
          <w:szCs w:val="20"/>
        </w:rPr>
        <w:t xml:space="preserve">An asset that looks beautiful but does not improve patient self-selection accuracy is a luxury, not an investment. Every Phase 1 asset exists because it has been demonstrated to reduce misclassification. Aesthetics serve accuracy — not the reverse.</w:t>
      </w:r>
    </w:p>
    <w:p>
      <w:pPr>
        <w:spacing w:after="0" w:before="0"/>
      </w:pPr>
      <w:r>
        <w:rPr>
          <w:rFonts w:ascii="Arial" w:cs="Arial" w:eastAsia="Arial" w:hAnsi="Arial"/>
          <w:sz w:val="4"/>
          <w:szCs w:val="4"/>
        </w:rPr>
        <w:t xml:space="preserve"/>
      </w:r>
    </w:p>
    <w:p>
      <w:pPr>
        <w:pStyle w:val="Heading3"/>
      </w:pPr>
      <w:r>
        <w:rPr>
          <w:rFonts w:ascii="Arial" w:cs="Arial" w:eastAsia="Arial" w:hAnsi="Arial"/>
        </w:rPr>
        <w:t xml:space="preserve">Principle 2 — Education Is an Asset</w:t>
      </w:r>
    </w:p>
    <w:p>
      <w:pPr>
        <w:spacing w:after="60" w:before="60"/>
      </w:pPr>
      <w:r>
        <w:rPr>
          <w:rFonts w:ascii="Arial" w:cs="Arial" w:eastAsia="Arial" w:hAnsi="Arial"/>
          <w:color w:val="4A5568"/>
          <w:sz w:val="20"/>
          <w:szCs w:val="20"/>
        </w:rPr>
        <w:t xml:space="preserve">The copy layer — the explanatory text, the contextual notes, the "did you know" statements — is the highest-ROI investment in the assessment. For questions like Nutritional Deficiencies, Chronic Medication, and Gut Health, a single well-written sentence increases selection accuracy more than any illustration could. Assets and copy must be designed together.</w:t>
      </w:r>
    </w:p>
    <w:p>
      <w:pPr>
        <w:spacing w:after="0" w:before="0"/>
      </w:pPr>
      <w:r>
        <w:rPr>
          <w:rFonts w:ascii="Arial" w:cs="Arial" w:eastAsia="Arial" w:hAnsi="Arial"/>
          <w:sz w:val="4"/>
          <w:szCs w:val="4"/>
        </w:rPr>
        <w:t xml:space="preserve"/>
      </w:r>
    </w:p>
    <w:p>
      <w:pPr>
        <w:pStyle w:val="Heading3"/>
      </w:pPr>
      <w:r>
        <w:rPr>
          <w:rFonts w:ascii="Arial" w:cs="Arial" w:eastAsia="Arial" w:hAnsi="Arial"/>
        </w:rPr>
        <w:t xml:space="preserve">Principle 3 — Emotional Safety Is a Clinical Requirement</w:t>
      </w:r>
    </w:p>
    <w:p>
      <w:pPr>
        <w:spacing w:after="60" w:before="60"/>
      </w:pPr>
      <w:r>
        <w:rPr>
          <w:rFonts w:ascii="Arial" w:cs="Arial" w:eastAsia="Arial" w:hAnsi="Arial"/>
          <w:color w:val="4A5568"/>
          <w:sz w:val="20"/>
          <w:szCs w:val="20"/>
        </w:rPr>
        <w:t xml:space="preserve">Images of hair loss and scalp conditions must be clinically accurate without being distressing. Clinical illustration is preferred over photography for pattern loss specifically because it removes the emotional intensity of seeing a "real" severe case. Photography is used only where recognition accuracy demands it (scalp conditions, shedding volume). When photography is used, cropping and framing are emotionally calibrated by a clinical psychologist and reviewed before production.</w:t>
      </w:r>
    </w:p>
    <w:p>
      <w:pPr>
        <w:spacing w:after="0" w:before="0"/>
      </w:pPr>
      <w:r>
        <w:rPr>
          <w:rFonts w:ascii="Arial" w:cs="Arial" w:eastAsia="Arial" w:hAnsi="Arial"/>
          <w:sz w:val="12"/>
          <w:szCs w:val="12"/>
        </w:rPr>
        <w:t xml:space="preserve"/>
      </w:r>
    </w:p>
    <w:p>
      <w:pPr>
        <w:pBdr>
          <w:bottom w:val="single" w:color="D4C5B0" w:sz="2" w:space="1"/>
        </w:pBdr>
      </w:pPr>
      <w:r>
        <w:rPr>
          <w:rFonts w:ascii="Arial" w:cs="Arial" w:eastAsia="Arial" w:hAnsi="Arial"/>
        </w:rPr>
        <w:t xml:space="preserve"/>
      </w:r>
    </w:p>
    <w:p>
      <w:pPr>
        <w:spacing w:after="0" w:before="0"/>
      </w:pPr>
      <w:r>
        <w:rPr>
          <w:rFonts w:ascii="Arial" w:cs="Arial" w:eastAsia="Arial" w:hAnsi="Arial"/>
          <w:sz w:val="6"/>
          <w:szCs w:val="6"/>
        </w:rPr>
        <w:t xml:space="preserve"/>
      </w:r>
    </w:p>
    <w:p>
      <w:pPr>
        <w:jc w:val="center"/>
      </w:pPr>
      <w:r>
        <w:rPr>
          <w:rFonts w:ascii="Arial" w:cs="Arial" w:eastAsia="Arial" w:hAnsi="Arial"/>
          <w:i/>
          <w:iCs/>
          <w:color w:val="4A5568"/>
          <w:sz w:val="17"/>
          <w:szCs w:val="17"/>
        </w:rPr>
        <w:t xml:space="preserve">DR. FACT Visual Intelligence Layer  ·  Asset Audit &amp; Prioritization Workshop  ·  Version 1.0  ·  June 2026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5B0" w:sz="2"/>
      </w:pBdr>
    </w:pPr>
    <w:r>
      <w:rPr>
        <w:rFonts w:ascii="Arial" w:cs="Arial" w:eastAsia="Arial" w:hAnsi="Arial"/>
        <w:color w:val="4A5568"/>
        <w:sz w:val="16"/>
        <w:szCs w:val="16"/>
      </w:rPr>
      <w:t xml:space="preserve">Confidential  •  Version 1.0  •  June 2026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5A" w:sz="4"/>
      </w:pBdr>
    </w:pPr>
    <w:r>
      <w:rPr>
        <w:rFonts w:ascii="Arial" w:cs="Arial" w:eastAsia="Arial" w:hAnsi="Arial"/>
        <w:color w:val="4A5568"/>
        <w:sz w:val="16"/>
        <w:szCs w:val="16"/>
      </w:rPr>
      <w:t xml:space="preserve">DR. FACT  •  Visual Intelligence Layer  •  Asset Audit &amp; Prioritization</w:t>
    </w:r>
    <w:r>
      <w:rPr>
        <w:rFonts w:ascii="Arial" w:cs="Arial" w:eastAsia="Arial" w:hAnsi="Arial"/>
        <w:color w:val="4A556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75A" w:sz="3" w:space="6"/>
      </w:pBdr>
      <w:spacing w:after="160" w:before="480"/>
      <w:outlineLvl w:val="0"/>
    </w:pPr>
    <w:rPr>
      <w:rFonts w:ascii="Arial" w:cs="Arial" w:eastAsia="Arial" w:hAnsi="Arial"/>
      <w:b/>
      <w:bCs/>
      <w:color w:val="0D1B2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B7A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2026-06-01T05:25:59.713Z</dcterms:created>
  <dcterms:modified xsi:type="dcterms:W3CDTF">2026-06-01T05:25:59.714Z</dcterms:modified>
</cp:coreProperties>
</file>

<file path=docProps/custom.xml><?xml version="1.0" encoding="utf-8"?>
<Properties xmlns="http://schemas.openxmlformats.org/officeDocument/2006/custom-properties" xmlns:vt="http://schemas.openxmlformats.org/officeDocument/2006/docPropsVTypes"/>
</file>