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INTERNSHIP REPORT</w:t>
      </w:r>
    </w:p>
    <w:p>
      <w:pPr>
        <w:jc w:val="center"/>
      </w:pPr>
      <w:r>
        <w:rPr>
          <w:b/>
          <w:sz w:val="44"/>
        </w:rPr>
        <w:t>Research &amp; Analytics Internship – Satvify</w:t>
      </w:r>
    </w:p>
    <w:p>
      <w:pPr>
        <w:jc w:val="center"/>
      </w:pPr>
      <w:r>
        <w:rPr>
          <w:i/>
          <w:sz w:val="26"/>
        </w:rPr>
        <w:t>Customer Loyalty, Retention and Early-Stage Customer Acquisition</w:t>
      </w:r>
    </w:p>
    <w:p/>
    <w:p>
      <w:pPr>
        <w:jc w:val="center"/>
      </w:pPr>
      <w:r>
        <w:rPr>
          <w:b/>
        </w:rPr>
        <w:t>Prepared by</w:t>
        <w:br/>
      </w:r>
      <w:r>
        <w:t>Diveshika Yadav</w:t>
        <w:br/>
        <w:br/>
      </w:r>
      <w:r>
        <w:t>Internship / Academic Session: 2025–26</w:t>
        <w:br/>
      </w:r>
      <w:r>
        <w:t>Research &amp; Analytics Internship</w:t>
        <w:br/>
        <w:br/>
      </w:r>
      <w:r>
        <w:t>IILM University, Greater Noida</w:t>
      </w:r>
    </w:p>
    <w:p>
      <w:r>
        <w:br w:type="page"/>
      </w:r>
    </w:p>
    <w:p>
      <w:pPr>
        <w:pStyle w:val="Heading1"/>
      </w:pPr>
      <w:r>
        <w:t>Executive Summary</w:t>
      </w:r>
    </w:p>
    <w:p>
      <w:r>
        <w:t>This internship report presents a research and analytics study conducted for Satvify. The work focuses on customer loyalty, retention and early-stage customer acquisition. Primary data collected through Google Forms was converted into percentage-based pie charts and interpreted to identify customer preferences, behavioural patterns and practical business implications.</w:t>
      </w:r>
    </w:p>
    <w:p>
      <w:r>
        <w:t>Across the survey sets, product quality, customer experience, membership benefits, social media, reviews, discounts and trial-based experiences emerged as important factors. The report also documents the Satvify subscription-plan FAQs supplied during the internship.</w:t>
      </w:r>
    </w:p>
    <w:p>
      <w:pPr>
        <w:pStyle w:val="Heading1"/>
      </w:pPr>
      <w:r>
        <w:t>Table of Contents</w:t>
      </w:r>
    </w:p>
    <w:p>
      <w:pPr>
        <w:pStyle w:val="ListNumber"/>
      </w:pPr>
      <w:r>
        <w:t>1. Introduction</w:t>
      </w:r>
    </w:p>
    <w:p>
      <w:pPr>
        <w:pStyle w:val="ListNumber"/>
      </w:pPr>
      <w:r>
        <w:t>2. Objectives</w:t>
      </w:r>
    </w:p>
    <w:p>
      <w:pPr>
        <w:pStyle w:val="ListNumber"/>
      </w:pPr>
      <w:r>
        <w:t>3. Organisation / Project Context</w:t>
      </w:r>
    </w:p>
    <w:p>
      <w:pPr>
        <w:pStyle w:val="ListNumber"/>
      </w:pPr>
      <w:r>
        <w:t>4. Internship Work and Approach</w:t>
      </w:r>
    </w:p>
    <w:p>
      <w:pPr>
        <w:pStyle w:val="ListNumber"/>
      </w:pPr>
      <w:r>
        <w:t>5. Survey Methodology</w:t>
      </w:r>
    </w:p>
    <w:p>
      <w:pPr>
        <w:pStyle w:val="ListNumber"/>
      </w:pPr>
      <w:r>
        <w:t>6. Survey Analysis and Pie Charts</w:t>
      </w:r>
    </w:p>
    <w:p>
      <w:pPr>
        <w:pStyle w:val="ListNumber"/>
      </w:pPr>
      <w:r>
        <w:t>7. Consolidated Findings</w:t>
      </w:r>
    </w:p>
    <w:p>
      <w:pPr>
        <w:pStyle w:val="ListNumber"/>
      </w:pPr>
      <w:r>
        <w:t>8. Recommendations</w:t>
      </w:r>
    </w:p>
    <w:p>
      <w:pPr>
        <w:pStyle w:val="ListNumber"/>
      </w:pPr>
      <w:r>
        <w:t>9. Limitations</w:t>
      </w:r>
    </w:p>
    <w:p>
      <w:pPr>
        <w:pStyle w:val="ListNumber"/>
      </w:pPr>
      <w:r>
        <w:t>10. Satvify Subscription-Plan FAQs</w:t>
      </w:r>
    </w:p>
    <w:p>
      <w:pPr>
        <w:pStyle w:val="ListNumber"/>
      </w:pPr>
      <w:r>
        <w:t>11. Conclusion</w:t>
      </w:r>
    </w:p>
    <w:p>
      <w:pPr>
        <w:pStyle w:val="ListNumber"/>
      </w:pPr>
      <w:r>
        <w:t>12. Suggested Viva Questions</w:t>
      </w:r>
    </w:p>
    <w:p>
      <w:pPr>
        <w:pStyle w:val="ListNumber"/>
      </w:pPr>
      <w:r>
        <w:t>13. References / Source Documents</w:t>
      </w:r>
    </w:p>
    <w:p>
      <w:r>
        <w:br w:type="page"/>
      </w:r>
    </w:p>
    <w:p>
      <w:pPr>
        <w:pStyle w:val="Heading1"/>
      </w:pPr>
      <w:r>
        <w:t>1. Introduction</w:t>
      </w:r>
    </w:p>
    <w:p>
      <w:r>
        <w:t>Customer behaviour is influenced by multiple factors such as perceived quality, trust, emotional connection, offers, service experience and convenience. During the internship, survey-based primary research was used to validate research observations related to brand loyalty, customer retention and customer acquisition.</w:t>
      </w:r>
    </w:p>
    <w:p>
      <w:r>
        <w:t>The analysis is organised into three themes: Customer Loyalty, Customer Retention and Early-Stage Customer Acquisition. The survey evidence is presented visually through pie charts, followed by concise interpretations.</w:t>
      </w:r>
    </w:p>
    <w:p>
      <w:pPr>
        <w:pStyle w:val="Heading1"/>
      </w:pPr>
      <w:r>
        <w:t>2. Objectives</w:t>
      </w:r>
    </w:p>
    <w:p>
      <w:pPr>
        <w:pStyle w:val="ListBullet"/>
      </w:pPr>
      <w:r>
        <w:t>Understand factors that influence repeat purchase and brand loyalty.</w:t>
      </w:r>
    </w:p>
    <w:p>
      <w:pPr>
        <w:pStyle w:val="ListBullet"/>
      </w:pPr>
      <w:r>
        <w:t>Identify customer retention strategies that respondents value most.</w:t>
      </w:r>
    </w:p>
    <w:p>
      <w:pPr>
        <w:pStyle w:val="ListBullet"/>
      </w:pPr>
      <w:r>
        <w:t>Examine how customers discover new brands and what builds trust.</w:t>
      </w:r>
    </w:p>
    <w:p>
      <w:pPr>
        <w:pStyle w:val="ListBullet"/>
      </w:pPr>
      <w:r>
        <w:t>Evaluate the role of discounts, referral rewards, trials and influencer recommendations.</w:t>
      </w:r>
    </w:p>
    <w:p>
      <w:pPr>
        <w:pStyle w:val="ListBullet"/>
      </w:pPr>
      <w:r>
        <w:t>Translate survey responses into clear business insights and recommendations.</w:t>
      </w:r>
    </w:p>
    <w:p>
      <w:pPr>
        <w:pStyle w:val="ListBullet"/>
      </w:pPr>
      <w:r>
        <w:t>Document customer-facing information through a structured FAQ section.</w:t>
      </w:r>
    </w:p>
    <w:p>
      <w:pPr>
        <w:pStyle w:val="Heading1"/>
      </w:pPr>
      <w:r>
        <w:t>3. Organisation / Project Context</w:t>
      </w:r>
    </w:p>
    <w:p>
      <w:r>
        <w:t>Satvify is described in the supplied FAQ material as a cloud kitchen offering fresh, plant-based, Satvic and wholesome meals delivered to customers. The FAQ material highlights a 100% plant-based and vegan positioning, freshly prepared meals, natural ingredients and the absence of refined sugar, refined oil, maida, preservatives and artificial additives.</w:t>
      </w:r>
    </w:p>
    <w:p>
      <w:r>
        <w:t>The internship research component examined customer behaviour around loyalty, retention and acquisition. This provided a practical analytics framework for turning customer responses into actionable recommendations.</w:t>
      </w:r>
    </w:p>
    <w:p>
      <w:pPr>
        <w:pStyle w:val="Heading1"/>
      </w:pPr>
      <w:r>
        <w:t>4. Internship Work and Approach</w:t>
      </w:r>
    </w:p>
    <w:p>
      <w:pPr>
        <w:pStyle w:val="ListBullet"/>
      </w:pPr>
      <w:r>
        <w:t>Reviewed customer-oriented research themes relevant to loyalty, retention and acquisition.</w:t>
      </w:r>
    </w:p>
    <w:p>
      <w:pPr>
        <w:pStyle w:val="ListBullet"/>
      </w:pPr>
      <w:r>
        <w:t>Collected / worked with primary responses obtained through Google Forms.</w:t>
      </w:r>
    </w:p>
    <w:p>
      <w:pPr>
        <w:pStyle w:val="ListBullet"/>
      </w:pPr>
      <w:r>
        <w:t>Converted response distributions into percentage-based pie charts.</w:t>
      </w:r>
    </w:p>
    <w:p>
      <w:pPr>
        <w:pStyle w:val="ListBullet"/>
      </w:pPr>
      <w:r>
        <w:t>Prepared written interpretations for the dominant response in each question.</w:t>
      </w:r>
    </w:p>
    <w:p>
      <w:pPr>
        <w:pStyle w:val="ListBullet"/>
      </w:pPr>
      <w:r>
        <w:t>Compared findings across loyalty, retention and acquisition themes.</w:t>
      </w:r>
    </w:p>
    <w:p>
      <w:pPr>
        <w:pStyle w:val="ListBullet"/>
      </w:pPr>
      <w:r>
        <w:t>Developed practical recommendations based on the strongest patterns.</w:t>
      </w:r>
    </w:p>
    <w:p>
      <w:pPr>
        <w:pStyle w:val="ListBullet"/>
      </w:pPr>
      <w:r>
        <w:t>Structured a customer FAQ resource for the Satvify subscription plan.</w:t>
      </w:r>
    </w:p>
    <w:p>
      <w:pPr>
        <w:pStyle w:val="Heading1"/>
      </w:pPr>
      <w:r>
        <w:t>5. Survey Methodology</w:t>
      </w:r>
    </w:p>
    <w:p>
      <w:r>
        <w:t>Primary data was collected through Google Forms. The supplied analysis contains three survey sets with different sample sizes. Because the samples differ, the report keeps each survey set separate rather than artificially combining respondent counts.</w:t>
      </w:r>
    </w:p>
    <w:tbl>
      <w:tblPr>
        <w:tblStyle w:val="TableGrid"/>
        <w:tblW w:type="auto" w:w="0"/>
        <w:tblLook w:firstColumn="1" w:firstRow="1" w:lastColumn="0" w:lastRow="0" w:noHBand="0" w:noVBand="1" w:val="04A0"/>
      </w:tblPr>
      <w:tblGrid>
        <w:gridCol w:w="3360"/>
        <w:gridCol w:w="3360"/>
        <w:gridCol w:w="3360"/>
      </w:tblGrid>
      <w:tr>
        <w:tc>
          <w:tcPr>
            <w:tcW w:type="dxa" w:w="3360"/>
          </w:tcPr>
          <w:p>
            <w:r>
              <w:t>Survey Set</w:t>
            </w:r>
          </w:p>
        </w:tc>
        <w:tc>
          <w:tcPr>
            <w:tcW w:type="dxa" w:w="3360"/>
          </w:tcPr>
          <w:p>
            <w:r>
              <w:t>Responses</w:t>
            </w:r>
          </w:p>
        </w:tc>
        <w:tc>
          <w:tcPr>
            <w:tcW w:type="dxa" w:w="3360"/>
          </w:tcPr>
          <w:p>
            <w:r>
              <w:t>Focus</w:t>
            </w:r>
          </w:p>
        </w:tc>
      </w:tr>
      <w:tr>
        <w:tc>
          <w:tcPr>
            <w:tcW w:type="dxa" w:w="3360"/>
          </w:tcPr>
          <w:p>
            <w:r>
              <w:t>Customer Loyalty</w:t>
            </w:r>
          </w:p>
        </w:tc>
        <w:tc>
          <w:tcPr>
            <w:tcW w:type="dxa" w:w="3360"/>
          </w:tcPr>
          <w:p>
            <w:r>
              <w:t>22</w:t>
            </w:r>
          </w:p>
        </w:tc>
        <w:tc>
          <w:tcPr>
            <w:tcW w:type="dxa" w:w="3360"/>
          </w:tcPr>
          <w:p>
            <w:r>
              <w:t>Repeat purchase, emotional connection, trust, recommendation and loyalty drivers</w:t>
            </w:r>
          </w:p>
        </w:tc>
      </w:tr>
      <w:tr>
        <w:tc>
          <w:tcPr>
            <w:tcW w:type="dxa" w:w="3360"/>
          </w:tcPr>
          <w:p>
            <w:r>
              <w:t>Customer Retention</w:t>
            </w:r>
          </w:p>
        </w:tc>
        <w:tc>
          <w:tcPr>
            <w:tcW w:type="dxa" w:w="3360"/>
          </w:tcPr>
          <w:p>
            <w:r>
              <w:t>15</w:t>
            </w:r>
          </w:p>
        </w:tc>
        <w:tc>
          <w:tcPr>
            <w:tcW w:type="dxa" w:w="3360"/>
          </w:tcPr>
          <w:p>
            <w:r>
              <w:t>Retention strategies, personalization, subscriptions and purchase drop-off</w:t>
            </w:r>
          </w:p>
        </w:tc>
      </w:tr>
      <w:tr>
        <w:tc>
          <w:tcPr>
            <w:tcW w:type="dxa" w:w="3360"/>
          </w:tcPr>
          <w:p>
            <w:r>
              <w:t>Early-Stage Customer Acquisition</w:t>
            </w:r>
          </w:p>
        </w:tc>
        <w:tc>
          <w:tcPr>
            <w:tcW w:type="dxa" w:w="3360"/>
          </w:tcPr>
          <w:p>
            <w:r>
              <w:t>23</w:t>
            </w:r>
          </w:p>
        </w:tc>
        <w:tc>
          <w:tcPr>
            <w:tcW w:type="dxa" w:w="3360"/>
          </w:tcPr>
          <w:p>
            <w:r>
              <w:t>Discovery channels, influencers, launch offers, trust and free trials</w:t>
            </w:r>
          </w:p>
        </w:tc>
      </w:tr>
    </w:tbl>
    <w:p>
      <w:r>
        <w:t>The samples are small convenience samples, so the results should be treated as directional internship-level insights rather than representative estimates for the entire customer population.</w:t>
      </w:r>
    </w:p>
    <w:p>
      <w:pPr>
        <w:pStyle w:val="Heading1"/>
      </w:pPr>
      <w:r>
        <w:t>6.1 Customer Loyalty</w:t>
      </w:r>
    </w:p>
    <w:p>
      <w:r>
        <w:t>Sample size: 22 respondents.</w:t>
      </w:r>
    </w:p>
    <w:p>
      <w:pPr>
        <w:pStyle w:val="Heading2"/>
      </w:pPr>
      <w:r>
        <w:t>L1: Repeat Purchase Frequency</w:t>
      </w:r>
    </w:p>
    <w:p>
      <w:r>
        <w:drawing>
          <wp:inline xmlns:a="http://schemas.openxmlformats.org/drawingml/2006/main" xmlns:pic="http://schemas.openxmlformats.org/drawingml/2006/picture">
            <wp:extent cx="5166360" cy="5079966"/>
            <wp:docPr id="1" name="Picture 1"/>
            <wp:cNvGraphicFramePr>
              <a:graphicFrameLocks noChangeAspect="1"/>
            </wp:cNvGraphicFramePr>
            <a:graphic>
              <a:graphicData uri="http://schemas.openxmlformats.org/drawingml/2006/picture">
                <pic:pic>
                  <pic:nvPicPr>
                    <pic:cNvPr id="0" name="L1.png"/>
                    <pic:cNvPicPr/>
                  </pic:nvPicPr>
                  <pic:blipFill>
                    <a:blip r:embed="rId9"/>
                    <a:stretch>
                      <a:fillRect/>
                    </a:stretch>
                  </pic:blipFill>
                  <pic:spPr>
                    <a:xfrm>
                      <a:off x="0" y="0"/>
                      <a:ext cx="5166360" cy="5079966"/>
                    </a:xfrm>
                    <a:prstGeom prst="rect"/>
                  </pic:spPr>
                </pic:pic>
              </a:graphicData>
            </a:graphic>
          </wp:inline>
        </w:drawing>
      </w:r>
    </w:p>
    <w:p>
      <w:pPr>
        <w:jc w:val="center"/>
      </w:pPr>
      <w:r>
        <w:rPr>
          <w:i/>
        </w:rPr>
        <w:t>Figure L1 – Repeat Purchase Frequency</w:t>
      </w:r>
    </w:p>
    <w:p>
      <w:r>
        <w:t>Interpretation: 45.5% always purchase from the same brand again, while 36.4% do so sometimes.</w:t>
      </w:r>
    </w:p>
    <w:p>
      <w:pPr>
        <w:pStyle w:val="Heading2"/>
      </w:pPr>
      <w:r>
        <w:t>L2: Emotional Connection &amp; Buying Decisions</w:t>
      </w:r>
    </w:p>
    <w:p>
      <w:r>
        <w:drawing>
          <wp:inline xmlns:a="http://schemas.openxmlformats.org/drawingml/2006/main" xmlns:pic="http://schemas.openxmlformats.org/drawingml/2006/picture">
            <wp:extent cx="5166360" cy="5379846"/>
            <wp:docPr id="2" name="Picture 2"/>
            <wp:cNvGraphicFramePr>
              <a:graphicFrameLocks noChangeAspect="1"/>
            </wp:cNvGraphicFramePr>
            <a:graphic>
              <a:graphicData uri="http://schemas.openxmlformats.org/drawingml/2006/picture">
                <pic:pic>
                  <pic:nvPicPr>
                    <pic:cNvPr id="0" name="L2.png"/>
                    <pic:cNvPicPr/>
                  </pic:nvPicPr>
                  <pic:blipFill>
                    <a:blip r:embed="rId10"/>
                    <a:stretch>
                      <a:fillRect/>
                    </a:stretch>
                  </pic:blipFill>
                  <pic:spPr>
                    <a:xfrm>
                      <a:off x="0" y="0"/>
                      <a:ext cx="5166360" cy="5379846"/>
                    </a:xfrm>
                    <a:prstGeom prst="rect"/>
                  </pic:spPr>
                </pic:pic>
              </a:graphicData>
            </a:graphic>
          </wp:inline>
        </w:drawing>
      </w:r>
    </w:p>
    <w:p>
      <w:pPr>
        <w:jc w:val="center"/>
      </w:pPr>
      <w:r>
        <w:rPr>
          <w:i/>
        </w:rPr>
        <w:t>Figure L2 – Emotional Connection &amp; Buying Decisions</w:t>
      </w:r>
    </w:p>
    <w:p>
      <w:r>
        <w:t>Interpretation: 59.1% stated that emotional connection with a brand influences their buying decisions.</w:t>
      </w:r>
    </w:p>
    <w:p>
      <w:pPr>
        <w:pStyle w:val="Heading2"/>
      </w:pPr>
      <w:r>
        <w:t>L3: Trusted Brand Despite Higher Price</w:t>
      </w:r>
    </w:p>
    <w:p>
      <w:r>
        <w:drawing>
          <wp:inline xmlns:a="http://schemas.openxmlformats.org/drawingml/2006/main" xmlns:pic="http://schemas.openxmlformats.org/drawingml/2006/picture">
            <wp:extent cx="5166360" cy="5418228"/>
            <wp:docPr id="3" name="Picture 3"/>
            <wp:cNvGraphicFramePr>
              <a:graphicFrameLocks noChangeAspect="1"/>
            </wp:cNvGraphicFramePr>
            <a:graphic>
              <a:graphicData uri="http://schemas.openxmlformats.org/drawingml/2006/picture">
                <pic:pic>
                  <pic:nvPicPr>
                    <pic:cNvPr id="0" name="L3.png"/>
                    <pic:cNvPicPr/>
                  </pic:nvPicPr>
                  <pic:blipFill>
                    <a:blip r:embed="rId11"/>
                    <a:stretch>
                      <a:fillRect/>
                    </a:stretch>
                  </pic:blipFill>
                  <pic:spPr>
                    <a:xfrm>
                      <a:off x="0" y="0"/>
                      <a:ext cx="5166360" cy="5418228"/>
                    </a:xfrm>
                    <a:prstGeom prst="rect"/>
                  </pic:spPr>
                </pic:pic>
              </a:graphicData>
            </a:graphic>
          </wp:inline>
        </w:drawing>
      </w:r>
    </w:p>
    <w:p>
      <w:pPr>
        <w:jc w:val="center"/>
      </w:pPr>
      <w:r>
        <w:rPr>
          <w:i/>
        </w:rPr>
        <w:t>Figure L3 – Trusted Brand Despite Higher Price</w:t>
      </w:r>
    </w:p>
    <w:p>
      <w:r>
        <w:t>Interpretation: 40.9% said choosing a trusted brand at a slightly higher price depends on the product.</w:t>
      </w:r>
    </w:p>
    <w:p>
      <w:pPr>
        <w:pStyle w:val="Heading2"/>
      </w:pPr>
      <w:r>
        <w:t>L4: Factors Increasing Brand Loyalty</w:t>
      </w:r>
    </w:p>
    <w:p>
      <w:r>
        <w:drawing>
          <wp:inline xmlns:a="http://schemas.openxmlformats.org/drawingml/2006/main" xmlns:pic="http://schemas.openxmlformats.org/drawingml/2006/picture">
            <wp:extent cx="5166360" cy="4424009"/>
            <wp:docPr id="4" name="Picture 4"/>
            <wp:cNvGraphicFramePr>
              <a:graphicFrameLocks noChangeAspect="1"/>
            </wp:cNvGraphicFramePr>
            <a:graphic>
              <a:graphicData uri="http://schemas.openxmlformats.org/drawingml/2006/picture">
                <pic:pic>
                  <pic:nvPicPr>
                    <pic:cNvPr id="0" name="L4.png"/>
                    <pic:cNvPicPr/>
                  </pic:nvPicPr>
                  <pic:blipFill>
                    <a:blip r:embed="rId12"/>
                    <a:stretch>
                      <a:fillRect/>
                    </a:stretch>
                  </pic:blipFill>
                  <pic:spPr>
                    <a:xfrm>
                      <a:off x="0" y="0"/>
                      <a:ext cx="5166360" cy="4424009"/>
                    </a:xfrm>
                    <a:prstGeom prst="rect"/>
                  </pic:spPr>
                </pic:pic>
              </a:graphicData>
            </a:graphic>
          </wp:inline>
        </w:drawing>
      </w:r>
    </w:p>
    <w:p>
      <w:pPr>
        <w:jc w:val="center"/>
      </w:pPr>
      <w:r>
        <w:rPr>
          <w:i/>
        </w:rPr>
        <w:t>Figure L4 – Factors Increasing Brand Loyalty</w:t>
      </w:r>
    </w:p>
    <w:p>
      <w:r>
        <w:t>Interpretation: High product quality was the strongest loyalty driver at 63.7%.</w:t>
      </w:r>
    </w:p>
    <w:p>
      <w:pPr>
        <w:pStyle w:val="Heading2"/>
      </w:pPr>
      <w:r>
        <w:t>L5: Likelihood of Recommending Favourite Brand</w:t>
      </w:r>
    </w:p>
    <w:p>
      <w:r>
        <w:drawing>
          <wp:inline xmlns:a="http://schemas.openxmlformats.org/drawingml/2006/main" xmlns:pic="http://schemas.openxmlformats.org/drawingml/2006/picture">
            <wp:extent cx="5166360" cy="5225607"/>
            <wp:docPr id="5" name="Picture 5"/>
            <wp:cNvGraphicFramePr>
              <a:graphicFrameLocks noChangeAspect="1"/>
            </wp:cNvGraphicFramePr>
            <a:graphic>
              <a:graphicData uri="http://schemas.openxmlformats.org/drawingml/2006/picture">
                <pic:pic>
                  <pic:nvPicPr>
                    <pic:cNvPr id="0" name="L5.png"/>
                    <pic:cNvPicPr/>
                  </pic:nvPicPr>
                  <pic:blipFill>
                    <a:blip r:embed="rId13"/>
                    <a:stretch>
                      <a:fillRect/>
                    </a:stretch>
                  </pic:blipFill>
                  <pic:spPr>
                    <a:xfrm>
                      <a:off x="0" y="0"/>
                      <a:ext cx="5166360" cy="5225607"/>
                    </a:xfrm>
                    <a:prstGeom prst="rect"/>
                  </pic:spPr>
                </pic:pic>
              </a:graphicData>
            </a:graphic>
          </wp:inline>
        </w:drawing>
      </w:r>
    </w:p>
    <w:p>
      <w:pPr>
        <w:jc w:val="center"/>
      </w:pPr>
      <w:r>
        <w:rPr>
          <w:i/>
        </w:rPr>
        <w:t>Figure L5 – Likelihood of Recommending Favourite Brand</w:t>
      </w:r>
    </w:p>
    <w:p>
      <w:r>
        <w:t>Interpretation: 54.5% were very likely to recommend their favourite brand to others.</w:t>
      </w:r>
    </w:p>
    <w:p>
      <w:pPr>
        <w:pStyle w:val="Heading2"/>
      </w:pPr>
      <w:r>
        <w:t>L6: Reasons for Stopping Purchases</w:t>
      </w:r>
    </w:p>
    <w:p>
      <w:r>
        <w:drawing>
          <wp:inline xmlns:a="http://schemas.openxmlformats.org/drawingml/2006/main" xmlns:pic="http://schemas.openxmlformats.org/drawingml/2006/picture">
            <wp:extent cx="5166360" cy="4543100"/>
            <wp:docPr id="6" name="Picture 6"/>
            <wp:cNvGraphicFramePr>
              <a:graphicFrameLocks noChangeAspect="1"/>
            </wp:cNvGraphicFramePr>
            <a:graphic>
              <a:graphicData uri="http://schemas.openxmlformats.org/drawingml/2006/picture">
                <pic:pic>
                  <pic:nvPicPr>
                    <pic:cNvPr id="0" name="L6.png"/>
                    <pic:cNvPicPr/>
                  </pic:nvPicPr>
                  <pic:blipFill>
                    <a:blip r:embed="rId14"/>
                    <a:stretch>
                      <a:fillRect/>
                    </a:stretch>
                  </pic:blipFill>
                  <pic:spPr>
                    <a:xfrm>
                      <a:off x="0" y="0"/>
                      <a:ext cx="5166360" cy="4543100"/>
                    </a:xfrm>
                    <a:prstGeom prst="rect"/>
                  </pic:spPr>
                </pic:pic>
              </a:graphicData>
            </a:graphic>
          </wp:inline>
        </w:drawing>
      </w:r>
    </w:p>
    <w:p>
      <w:pPr>
        <w:jc w:val="center"/>
      </w:pPr>
      <w:r>
        <w:rPr>
          <w:i/>
        </w:rPr>
        <w:t>Figure L6 – Reasons for Stopping Purchases</w:t>
      </w:r>
    </w:p>
    <w:p>
      <w:r>
        <w:t>Interpretation: Bad experience was the leading reason for stopping purchases at 40.9%.</w:t>
      </w:r>
    </w:p>
    <w:p>
      <w:pPr>
        <w:pStyle w:val="Heading1"/>
      </w:pPr>
      <w:r>
        <w:t>6.2 Customer Retention</w:t>
      </w:r>
    </w:p>
    <w:p>
      <w:r>
        <w:t>Sample size: 15 respondents.</w:t>
      </w:r>
    </w:p>
    <w:p>
      <w:pPr>
        <w:pStyle w:val="Heading2"/>
      </w:pPr>
      <w:r>
        <w:t>R1: Best-Performing Retention Strategy</w:t>
      </w:r>
    </w:p>
    <w:p>
      <w:r>
        <w:drawing>
          <wp:inline xmlns:a="http://schemas.openxmlformats.org/drawingml/2006/main" xmlns:pic="http://schemas.openxmlformats.org/drawingml/2006/picture">
            <wp:extent cx="5166360" cy="5029503"/>
            <wp:docPr id="7" name="Picture 7"/>
            <wp:cNvGraphicFramePr>
              <a:graphicFrameLocks noChangeAspect="1"/>
            </wp:cNvGraphicFramePr>
            <a:graphic>
              <a:graphicData uri="http://schemas.openxmlformats.org/drawingml/2006/picture">
                <pic:pic>
                  <pic:nvPicPr>
                    <pic:cNvPr id="0" name="R1.png"/>
                    <pic:cNvPicPr/>
                  </pic:nvPicPr>
                  <pic:blipFill>
                    <a:blip r:embed="rId15"/>
                    <a:stretch>
                      <a:fillRect/>
                    </a:stretch>
                  </pic:blipFill>
                  <pic:spPr>
                    <a:xfrm>
                      <a:off x="0" y="0"/>
                      <a:ext cx="5166360" cy="5029503"/>
                    </a:xfrm>
                    <a:prstGeom prst="rect"/>
                  </pic:spPr>
                </pic:pic>
              </a:graphicData>
            </a:graphic>
          </wp:inline>
        </w:drawing>
      </w:r>
    </w:p>
    <w:p>
      <w:pPr>
        <w:jc w:val="center"/>
      </w:pPr>
      <w:r>
        <w:rPr>
          <w:i/>
        </w:rPr>
        <w:t>Figure R1 – Best-Performing Retention Strategy</w:t>
      </w:r>
    </w:p>
    <w:p>
      <w:r>
        <w:t>Interpretation: Membership benefits were the most preferred retention strategy at 53.3%.</w:t>
      </w:r>
    </w:p>
    <w:p>
      <w:pPr>
        <w:pStyle w:val="Heading2"/>
      </w:pPr>
      <w:r>
        <w:t>R2: Personalized Messages / Offers</w:t>
      </w:r>
    </w:p>
    <w:p>
      <w:r>
        <w:drawing>
          <wp:inline xmlns:a="http://schemas.openxmlformats.org/drawingml/2006/main" xmlns:pic="http://schemas.openxmlformats.org/drawingml/2006/picture">
            <wp:extent cx="5166360" cy="5249688"/>
            <wp:docPr id="8" name="Picture 8"/>
            <wp:cNvGraphicFramePr>
              <a:graphicFrameLocks noChangeAspect="1"/>
            </wp:cNvGraphicFramePr>
            <a:graphic>
              <a:graphicData uri="http://schemas.openxmlformats.org/drawingml/2006/picture">
                <pic:pic>
                  <pic:nvPicPr>
                    <pic:cNvPr id="0" name="R2.png"/>
                    <pic:cNvPicPr/>
                  </pic:nvPicPr>
                  <pic:blipFill>
                    <a:blip r:embed="rId16"/>
                    <a:stretch>
                      <a:fillRect/>
                    </a:stretch>
                  </pic:blipFill>
                  <pic:spPr>
                    <a:xfrm>
                      <a:off x="0" y="0"/>
                      <a:ext cx="5166360" cy="5249688"/>
                    </a:xfrm>
                    <a:prstGeom prst="rect"/>
                  </pic:spPr>
                </pic:pic>
              </a:graphicData>
            </a:graphic>
          </wp:inline>
        </w:drawing>
      </w:r>
    </w:p>
    <w:p>
      <w:pPr>
        <w:jc w:val="center"/>
      </w:pPr>
      <w:r>
        <w:rPr>
          <w:i/>
        </w:rPr>
        <w:t>Figure R2 – Personalized Messages / Offers</w:t>
      </w:r>
    </w:p>
    <w:p>
      <w:r>
        <w:t>Interpretation: Personalized messages/offers produced a split response: 46.7% Yes and 46.7% No.</w:t>
      </w:r>
    </w:p>
    <w:p>
      <w:pPr>
        <w:pStyle w:val="Heading2"/>
      </w:pPr>
      <w:r>
        <w:t>R3: Continued Subscription Because of Special Offers</w:t>
      </w:r>
    </w:p>
    <w:p>
      <w:r>
        <w:drawing>
          <wp:inline xmlns:a="http://schemas.openxmlformats.org/drawingml/2006/main" xmlns:pic="http://schemas.openxmlformats.org/drawingml/2006/picture">
            <wp:extent cx="5166360" cy="4816839"/>
            <wp:docPr id="9" name="Picture 9"/>
            <wp:cNvGraphicFramePr>
              <a:graphicFrameLocks noChangeAspect="1"/>
            </wp:cNvGraphicFramePr>
            <a:graphic>
              <a:graphicData uri="http://schemas.openxmlformats.org/drawingml/2006/picture">
                <pic:pic>
                  <pic:nvPicPr>
                    <pic:cNvPr id="0" name="R3.png"/>
                    <pic:cNvPicPr/>
                  </pic:nvPicPr>
                  <pic:blipFill>
                    <a:blip r:embed="rId17"/>
                    <a:stretch>
                      <a:fillRect/>
                    </a:stretch>
                  </pic:blipFill>
                  <pic:spPr>
                    <a:xfrm>
                      <a:off x="0" y="0"/>
                      <a:ext cx="5166360" cy="4816839"/>
                    </a:xfrm>
                    <a:prstGeom prst="rect"/>
                  </pic:spPr>
                </pic:pic>
              </a:graphicData>
            </a:graphic>
          </wp:inline>
        </w:drawing>
      </w:r>
    </w:p>
    <w:p>
      <w:pPr>
        <w:jc w:val="center"/>
      </w:pPr>
      <w:r>
        <w:rPr>
          <w:i/>
        </w:rPr>
        <w:t>Figure R3 – Continued Subscription Because of Special Offers</w:t>
      </w:r>
    </w:p>
    <w:p>
      <w:r>
        <w:t>Interpretation: 53.3% reported continuing a subscription because of special offers.</w:t>
      </w:r>
    </w:p>
    <w:p>
      <w:pPr>
        <w:pStyle w:val="Heading2"/>
      </w:pPr>
      <w:r>
        <w:t>R4: Reasons for Stopping Purchases</w:t>
      </w:r>
    </w:p>
    <w:p>
      <w:r>
        <w:drawing>
          <wp:inline xmlns:a="http://schemas.openxmlformats.org/drawingml/2006/main" xmlns:pic="http://schemas.openxmlformats.org/drawingml/2006/picture">
            <wp:extent cx="5166360" cy="4493816"/>
            <wp:docPr id="10" name="Picture 10"/>
            <wp:cNvGraphicFramePr>
              <a:graphicFrameLocks noChangeAspect="1"/>
            </wp:cNvGraphicFramePr>
            <a:graphic>
              <a:graphicData uri="http://schemas.openxmlformats.org/drawingml/2006/picture">
                <pic:pic>
                  <pic:nvPicPr>
                    <pic:cNvPr id="0" name="R4.png"/>
                    <pic:cNvPicPr/>
                  </pic:nvPicPr>
                  <pic:blipFill>
                    <a:blip r:embed="rId18"/>
                    <a:stretch>
                      <a:fillRect/>
                    </a:stretch>
                  </pic:blipFill>
                  <pic:spPr>
                    <a:xfrm>
                      <a:off x="0" y="0"/>
                      <a:ext cx="5166360" cy="4493816"/>
                    </a:xfrm>
                    <a:prstGeom prst="rect"/>
                  </pic:spPr>
                </pic:pic>
              </a:graphicData>
            </a:graphic>
          </wp:inline>
        </w:drawing>
      </w:r>
    </w:p>
    <w:p>
      <w:pPr>
        <w:jc w:val="center"/>
      </w:pPr>
      <w:r>
        <w:rPr>
          <w:i/>
        </w:rPr>
        <w:t>Figure R4 – Reasons for Stopping Purchases</w:t>
      </w:r>
    </w:p>
    <w:p>
      <w:r>
        <w:t>Interpretation: Poor quality was the leading reason for stopping purchases at 46.7%.</w:t>
      </w:r>
    </w:p>
    <w:p>
      <w:pPr>
        <w:pStyle w:val="Heading1"/>
      </w:pPr>
      <w:r>
        <w:t>6.3 Early-Stage Customer Acquisition</w:t>
      </w:r>
    </w:p>
    <w:p>
      <w:r>
        <w:t>Sample size: 23 respondents.</w:t>
      </w:r>
    </w:p>
    <w:p>
      <w:pPr>
        <w:pStyle w:val="Heading2"/>
      </w:pPr>
      <w:r>
        <w:t>A1: How New Brands / Products Are Discovered</w:t>
      </w:r>
    </w:p>
    <w:p>
      <w:r>
        <w:drawing>
          <wp:inline xmlns:a="http://schemas.openxmlformats.org/drawingml/2006/main" xmlns:pic="http://schemas.openxmlformats.org/drawingml/2006/picture">
            <wp:extent cx="5166360" cy="4958356"/>
            <wp:docPr id="11" name="Picture 11"/>
            <wp:cNvGraphicFramePr>
              <a:graphicFrameLocks noChangeAspect="1"/>
            </wp:cNvGraphicFramePr>
            <a:graphic>
              <a:graphicData uri="http://schemas.openxmlformats.org/drawingml/2006/picture">
                <pic:pic>
                  <pic:nvPicPr>
                    <pic:cNvPr id="0" name="A1.png"/>
                    <pic:cNvPicPr/>
                  </pic:nvPicPr>
                  <pic:blipFill>
                    <a:blip r:embed="rId19"/>
                    <a:stretch>
                      <a:fillRect/>
                    </a:stretch>
                  </pic:blipFill>
                  <pic:spPr>
                    <a:xfrm>
                      <a:off x="0" y="0"/>
                      <a:ext cx="5166360" cy="4958356"/>
                    </a:xfrm>
                    <a:prstGeom prst="rect"/>
                  </pic:spPr>
                </pic:pic>
              </a:graphicData>
            </a:graphic>
          </wp:inline>
        </w:drawing>
      </w:r>
    </w:p>
    <w:p>
      <w:pPr>
        <w:jc w:val="center"/>
      </w:pPr>
      <w:r>
        <w:rPr>
          <w:i/>
        </w:rPr>
        <w:t>Figure A1 – How New Brands / Products Are Discovered</w:t>
      </w:r>
    </w:p>
    <w:p>
      <w:r>
        <w:t>Interpretation: Social media was the leading channel for discovering new brands/products at 56.5%.</w:t>
      </w:r>
    </w:p>
    <w:p>
      <w:pPr>
        <w:pStyle w:val="Heading2"/>
      </w:pPr>
      <w:r>
        <w:t>A2: Effect of Influencer Recommendations</w:t>
      </w:r>
    </w:p>
    <w:p>
      <w:r>
        <w:drawing>
          <wp:inline xmlns:a="http://schemas.openxmlformats.org/drawingml/2006/main" xmlns:pic="http://schemas.openxmlformats.org/drawingml/2006/picture">
            <wp:extent cx="5166360" cy="5280104"/>
            <wp:docPr id="12" name="Picture 12"/>
            <wp:cNvGraphicFramePr>
              <a:graphicFrameLocks noChangeAspect="1"/>
            </wp:cNvGraphicFramePr>
            <a:graphic>
              <a:graphicData uri="http://schemas.openxmlformats.org/drawingml/2006/picture">
                <pic:pic>
                  <pic:nvPicPr>
                    <pic:cNvPr id="0" name="A2.png"/>
                    <pic:cNvPicPr/>
                  </pic:nvPicPr>
                  <pic:blipFill>
                    <a:blip r:embed="rId20"/>
                    <a:stretch>
                      <a:fillRect/>
                    </a:stretch>
                  </pic:blipFill>
                  <pic:spPr>
                    <a:xfrm>
                      <a:off x="0" y="0"/>
                      <a:ext cx="5166360" cy="5280104"/>
                    </a:xfrm>
                    <a:prstGeom prst="rect"/>
                  </pic:spPr>
                </pic:pic>
              </a:graphicData>
            </a:graphic>
          </wp:inline>
        </w:drawing>
      </w:r>
    </w:p>
    <w:p>
      <w:pPr>
        <w:jc w:val="center"/>
      </w:pPr>
      <w:r>
        <w:rPr>
          <w:i/>
        </w:rPr>
        <w:t>Figure A2 – Effect of Influencer Recommendations</w:t>
      </w:r>
    </w:p>
    <w:p>
      <w:r>
        <w:t>Interpretation: 47.8% said influencer recommendations sometimes affect their buying decisions.</w:t>
      </w:r>
    </w:p>
    <w:p>
      <w:pPr>
        <w:pStyle w:val="Heading2"/>
      </w:pPr>
      <w:r>
        <w:t>A3: Most Attractive Launch Offer</w:t>
      </w:r>
    </w:p>
    <w:p>
      <w:r>
        <w:drawing>
          <wp:inline xmlns:a="http://schemas.openxmlformats.org/drawingml/2006/main" xmlns:pic="http://schemas.openxmlformats.org/drawingml/2006/picture">
            <wp:extent cx="5166360" cy="4791514"/>
            <wp:docPr id="13" name="Picture 13"/>
            <wp:cNvGraphicFramePr>
              <a:graphicFrameLocks noChangeAspect="1"/>
            </wp:cNvGraphicFramePr>
            <a:graphic>
              <a:graphicData uri="http://schemas.openxmlformats.org/drawingml/2006/picture">
                <pic:pic>
                  <pic:nvPicPr>
                    <pic:cNvPr id="0" name="A3.png"/>
                    <pic:cNvPicPr/>
                  </pic:nvPicPr>
                  <pic:blipFill>
                    <a:blip r:embed="rId21"/>
                    <a:stretch>
                      <a:fillRect/>
                    </a:stretch>
                  </pic:blipFill>
                  <pic:spPr>
                    <a:xfrm>
                      <a:off x="0" y="0"/>
                      <a:ext cx="5166360" cy="4791514"/>
                    </a:xfrm>
                    <a:prstGeom prst="rect"/>
                  </pic:spPr>
                </pic:pic>
              </a:graphicData>
            </a:graphic>
          </wp:inline>
        </w:drawing>
      </w:r>
    </w:p>
    <w:p>
      <w:pPr>
        <w:jc w:val="center"/>
      </w:pPr>
      <w:r>
        <w:rPr>
          <w:i/>
        </w:rPr>
        <w:t>Figure A3 – Most Attractive Launch Offer</w:t>
      </w:r>
    </w:p>
    <w:p>
      <w:r>
        <w:t>Interpretation: Discounts were the most attractive launch offer at 52.2%, followed by referral rewards at 43.5%.</w:t>
      </w:r>
    </w:p>
    <w:p>
      <w:pPr>
        <w:pStyle w:val="Heading2"/>
      </w:pPr>
      <w:r>
        <w:t>A4: What Builds Trust in a New Brand</w:t>
      </w:r>
    </w:p>
    <w:p>
      <w:r>
        <w:drawing>
          <wp:inline xmlns:a="http://schemas.openxmlformats.org/drawingml/2006/main" xmlns:pic="http://schemas.openxmlformats.org/drawingml/2006/picture">
            <wp:extent cx="5166360" cy="5418228"/>
            <wp:docPr id="14" name="Picture 14"/>
            <wp:cNvGraphicFramePr>
              <a:graphicFrameLocks noChangeAspect="1"/>
            </wp:cNvGraphicFramePr>
            <a:graphic>
              <a:graphicData uri="http://schemas.openxmlformats.org/drawingml/2006/picture">
                <pic:pic>
                  <pic:nvPicPr>
                    <pic:cNvPr id="0" name="A4.png"/>
                    <pic:cNvPicPr/>
                  </pic:nvPicPr>
                  <pic:blipFill>
                    <a:blip r:embed="rId22"/>
                    <a:stretch>
                      <a:fillRect/>
                    </a:stretch>
                  </pic:blipFill>
                  <pic:spPr>
                    <a:xfrm>
                      <a:off x="0" y="0"/>
                      <a:ext cx="5166360" cy="5418228"/>
                    </a:xfrm>
                    <a:prstGeom prst="rect"/>
                  </pic:spPr>
                </pic:pic>
              </a:graphicData>
            </a:graphic>
          </wp:inline>
        </w:drawing>
      </w:r>
    </w:p>
    <w:p>
      <w:pPr>
        <w:jc w:val="center"/>
      </w:pPr>
      <w:r>
        <w:rPr>
          <w:i/>
        </w:rPr>
        <w:t>Figure A4 – What Builds Trust in a New Brand</w:t>
      </w:r>
    </w:p>
    <w:p>
      <w:r>
        <w:t>Interpretation: Reviews were the strongest trust-building factor at 60.9%.</w:t>
      </w:r>
    </w:p>
    <w:p>
      <w:pPr>
        <w:pStyle w:val="Heading2"/>
      </w:pPr>
      <w:r>
        <w:t>A5: Are Free Trials Helpful in Conversion?</w:t>
      </w:r>
    </w:p>
    <w:p>
      <w:r>
        <w:drawing>
          <wp:inline xmlns:a="http://schemas.openxmlformats.org/drawingml/2006/main" xmlns:pic="http://schemas.openxmlformats.org/drawingml/2006/picture">
            <wp:extent cx="5166360" cy="5323282"/>
            <wp:docPr id="15" name="Picture 15"/>
            <wp:cNvGraphicFramePr>
              <a:graphicFrameLocks noChangeAspect="1"/>
            </wp:cNvGraphicFramePr>
            <a:graphic>
              <a:graphicData uri="http://schemas.openxmlformats.org/drawingml/2006/picture">
                <pic:pic>
                  <pic:nvPicPr>
                    <pic:cNvPr id="0" name="A5.png"/>
                    <pic:cNvPicPr/>
                  </pic:nvPicPr>
                  <pic:blipFill>
                    <a:blip r:embed="rId23"/>
                    <a:stretch>
                      <a:fillRect/>
                    </a:stretch>
                  </pic:blipFill>
                  <pic:spPr>
                    <a:xfrm>
                      <a:off x="0" y="0"/>
                      <a:ext cx="5166360" cy="5323282"/>
                    </a:xfrm>
                    <a:prstGeom prst="rect"/>
                  </pic:spPr>
                </pic:pic>
              </a:graphicData>
            </a:graphic>
          </wp:inline>
        </w:drawing>
      </w:r>
    </w:p>
    <w:p>
      <w:pPr>
        <w:jc w:val="center"/>
      </w:pPr>
      <w:r>
        <w:rPr>
          <w:i/>
        </w:rPr>
        <w:t>Figure A5 – Are Free Trials Helpful in Conversion?</w:t>
      </w:r>
    </w:p>
    <w:p>
      <w:r>
        <w:t>Interpretation: 43.5% said free trials are helpful in converting them into customers, while 34.8% said it depends on the product.</w:t>
      </w:r>
    </w:p>
    <w:p>
      <w:pPr>
        <w:pStyle w:val="Heading1"/>
      </w:pPr>
      <w:r>
        <w:t>7. Consolidated Findings</w:t>
      </w:r>
    </w:p>
    <w:tbl>
      <w:tblPr>
        <w:tblStyle w:val="TableGrid"/>
        <w:tblW w:type="auto" w:w="0"/>
        <w:tblLook w:firstColumn="1" w:firstRow="1" w:lastColumn="0" w:lastRow="0" w:noHBand="0" w:noVBand="1" w:val="04A0"/>
      </w:tblPr>
      <w:tblGrid>
        <w:gridCol w:w="5040"/>
        <w:gridCol w:w="5040"/>
      </w:tblGrid>
      <w:tr>
        <w:tc>
          <w:tcPr>
            <w:tcW w:type="dxa" w:w="5040"/>
          </w:tcPr>
          <w:p>
            <w:r>
              <w:t>Theme</w:t>
            </w:r>
          </w:p>
        </w:tc>
        <w:tc>
          <w:tcPr>
            <w:tcW w:type="dxa" w:w="5040"/>
          </w:tcPr>
          <w:p>
            <w:r>
              <w:t>Evidence / Implication</w:t>
            </w:r>
          </w:p>
        </w:tc>
      </w:tr>
      <w:tr>
        <w:tc>
          <w:tcPr>
            <w:tcW w:type="dxa" w:w="5040"/>
          </w:tcPr>
          <w:p>
            <w:r>
              <w:t>Product quality</w:t>
            </w:r>
          </w:p>
        </w:tc>
        <w:tc>
          <w:tcPr>
            <w:tcW w:type="dxa" w:w="5040"/>
          </w:tcPr>
          <w:p>
            <w:r>
              <w:t>63.7% selected high product quality as the strongest loyalty driver; 46.7% in the retention survey selected poor quality as the main reason for stopping purchases.</w:t>
            </w:r>
          </w:p>
        </w:tc>
      </w:tr>
      <w:tr>
        <w:tc>
          <w:tcPr>
            <w:tcW w:type="dxa" w:w="5040"/>
          </w:tcPr>
          <w:p>
            <w:r>
              <w:t>Customer experience</w:t>
            </w:r>
          </w:p>
        </w:tc>
        <w:tc>
          <w:tcPr>
            <w:tcW w:type="dxa" w:w="5040"/>
          </w:tcPr>
          <w:p>
            <w:r>
              <w:t>40.9% identified bad experience as the leading reason for stopping purchases in the loyalty survey.</w:t>
            </w:r>
          </w:p>
        </w:tc>
      </w:tr>
      <w:tr>
        <w:tc>
          <w:tcPr>
            <w:tcW w:type="dxa" w:w="5040"/>
          </w:tcPr>
          <w:p>
            <w:r>
              <w:t>Retention benefits</w:t>
            </w:r>
          </w:p>
        </w:tc>
        <w:tc>
          <w:tcPr>
            <w:tcW w:type="dxa" w:w="5040"/>
          </w:tcPr>
          <w:p>
            <w:r>
              <w:t>Membership benefits were the preferred retention strategy for 53.3% of retention respondents.</w:t>
            </w:r>
          </w:p>
        </w:tc>
      </w:tr>
      <w:tr>
        <w:tc>
          <w:tcPr>
            <w:tcW w:type="dxa" w:w="5040"/>
          </w:tcPr>
          <w:p>
            <w:r>
              <w:t>Special offers</w:t>
            </w:r>
          </w:p>
        </w:tc>
        <w:tc>
          <w:tcPr>
            <w:tcW w:type="dxa" w:w="5040"/>
          </w:tcPr>
          <w:p>
            <w:r>
              <w:t>53.3% said they had continued a subscription because of special offers.</w:t>
            </w:r>
          </w:p>
        </w:tc>
      </w:tr>
      <w:tr>
        <w:tc>
          <w:tcPr>
            <w:tcW w:type="dxa" w:w="5040"/>
          </w:tcPr>
          <w:p>
            <w:r>
              <w:t>Social-first acquisition</w:t>
            </w:r>
          </w:p>
        </w:tc>
        <w:tc>
          <w:tcPr>
            <w:tcW w:type="dxa" w:w="5040"/>
          </w:tcPr>
          <w:p>
            <w:r>
              <w:t>56.5% discovered new brands/products through social media.</w:t>
            </w:r>
          </w:p>
        </w:tc>
      </w:tr>
      <w:tr>
        <w:tc>
          <w:tcPr>
            <w:tcW w:type="dxa" w:w="5040"/>
          </w:tcPr>
          <w:p>
            <w:r>
              <w:t>Social proof</w:t>
            </w:r>
          </w:p>
        </w:tc>
        <w:tc>
          <w:tcPr>
            <w:tcW w:type="dxa" w:w="5040"/>
          </w:tcPr>
          <w:p>
            <w:r>
              <w:t>Reviews were the strongest trust-building factor at 60.9%.</w:t>
            </w:r>
          </w:p>
        </w:tc>
      </w:tr>
      <w:tr>
        <w:tc>
          <w:tcPr>
            <w:tcW w:type="dxa" w:w="5040"/>
          </w:tcPr>
          <w:p>
            <w:r>
              <w:t>Launch incentives</w:t>
            </w:r>
          </w:p>
        </w:tc>
        <w:tc>
          <w:tcPr>
            <w:tcW w:type="dxa" w:w="5040"/>
          </w:tcPr>
          <w:p>
            <w:r>
              <w:t>Discounts led launch offers at 52.2%, with referral rewards at 43.5%.</w:t>
            </w:r>
          </w:p>
        </w:tc>
      </w:tr>
      <w:tr>
        <w:tc>
          <w:tcPr>
            <w:tcW w:type="dxa" w:w="5040"/>
          </w:tcPr>
          <w:p>
            <w:r>
              <w:t>Trials</w:t>
            </w:r>
          </w:p>
        </w:tc>
        <w:tc>
          <w:tcPr>
            <w:tcW w:type="dxa" w:w="5040"/>
          </w:tcPr>
          <w:p>
            <w:r>
              <w:t>43.5% found free trials helpful, while 34.8% said effectiveness depends on the product.</w:t>
            </w:r>
          </w:p>
        </w:tc>
      </w:tr>
      <w:tr>
        <w:tc>
          <w:tcPr>
            <w:tcW w:type="dxa" w:w="5040"/>
          </w:tcPr>
          <w:p>
            <w:r>
              <w:t>Personalization</w:t>
            </w:r>
          </w:p>
        </w:tc>
        <w:tc>
          <w:tcPr>
            <w:tcW w:type="dxa" w:w="5040"/>
          </w:tcPr>
          <w:p>
            <w:r>
              <w:t>Responses to personalized messages/offers were evenly split between Yes and No at 46.7% each.</w:t>
            </w:r>
          </w:p>
        </w:tc>
      </w:tr>
    </w:tbl>
    <w:p>
      <w:pPr>
        <w:pStyle w:val="Heading1"/>
      </w:pPr>
      <w:r>
        <w:t>8. Recommendations</w:t>
      </w:r>
    </w:p>
    <w:p>
      <w:pPr>
        <w:pStyle w:val="ListBullet"/>
      </w:pPr>
      <w:r>
        <w:t>Prioritise consistent product quality and customer experience.</w:t>
      </w:r>
    </w:p>
    <w:p>
      <w:pPr>
        <w:pStyle w:val="ListBullet"/>
      </w:pPr>
      <w:r>
        <w:t>Use membership benefits and carefully designed offers to strengthen retention.</w:t>
      </w:r>
    </w:p>
    <w:p>
      <w:pPr>
        <w:pStyle w:val="ListBullet"/>
      </w:pPr>
      <w:r>
        <w:t>Build acquisition around social media, customer reviews and other forms of social proof.</w:t>
      </w:r>
    </w:p>
    <w:p>
      <w:pPr>
        <w:pStyle w:val="ListBullet"/>
      </w:pPr>
      <w:r>
        <w:t>Use discounts and referral rewards strategically during launch or acquisition campaigns.</w:t>
      </w:r>
    </w:p>
    <w:p>
      <w:pPr>
        <w:pStyle w:val="ListBullet"/>
      </w:pPr>
      <w:r>
        <w:t>Offer trials when the product can demonstrate value quickly and clearly.</w:t>
      </w:r>
    </w:p>
    <w:p>
      <w:pPr>
        <w:pStyle w:val="ListBullet"/>
      </w:pPr>
      <w:r>
        <w:t>Use personalization selectively and make messages genuinely relevant to the customer.</w:t>
      </w:r>
    </w:p>
    <w:p>
      <w:pPr>
        <w:pStyle w:val="ListBullet"/>
      </w:pPr>
      <w:r>
        <w:t>Track quality complaints and service issues because negative experiences can directly weaken loyalty.</w:t>
      </w:r>
    </w:p>
    <w:p>
      <w:pPr>
        <w:pStyle w:val="Heading1"/>
      </w:pPr>
      <w:r>
        <w:t>9. Limitations</w:t>
      </w:r>
    </w:p>
    <w:p>
      <w:r>
        <w:t>The survey sets contain only 15–23 respondents and use convenience sampling. The findings therefore provide directional insights rather than statistically representative population estimates. Some questions also belong to different survey sets, so their response counts should not be added together.</w:t>
      </w:r>
    </w:p>
    <w:p>
      <w:pPr>
        <w:pStyle w:val="Heading1"/>
      </w:pPr>
      <w:r>
        <w:t>10. Satvify Subscription-Plan FAQs</w:t>
      </w:r>
    </w:p>
    <w:p>
      <w:r>
        <w:rPr>
          <w:b/>
        </w:rPr>
        <w:t>1. What is Satvify?</w:t>
      </w:r>
    </w:p>
    <w:p>
      <w:r>
        <w:t>Satvify is a cloud kitchen serving fresh, plant-based, Satvic and wholesome meals prepared and delivered to customers.</w:t>
      </w:r>
    </w:p>
    <w:p>
      <w:r>
        <w:rPr>
          <w:b/>
        </w:rPr>
        <w:t>2. Do you use refined sugar, refined oil or refined flour?</w:t>
      </w:r>
    </w:p>
    <w:p>
      <w:r>
        <w:t>No. The supplied FAQ states that Satvify does not use refined sugar, refined oil, refined flour, preservatives or artificial additives.</w:t>
      </w:r>
    </w:p>
    <w:p>
      <w:r>
        <w:rPr>
          <w:b/>
        </w:rPr>
        <w:t>3. What is Satvic food?</w:t>
      </w:r>
    </w:p>
    <w:p>
      <w:r>
        <w:t>Satvic food is described as food prepared using fresh, natural and minimally processed ingredients.</w:t>
      </w:r>
    </w:p>
    <w:p>
      <w:r>
        <w:rPr>
          <w:b/>
        </w:rPr>
        <w:t>4. Is all your food vegan?</w:t>
      </w:r>
    </w:p>
    <w:p>
      <w:r>
        <w:t>Yes. The supplied FAQ states that the menu is completely plant-based and dairy-free.</w:t>
      </w:r>
    </w:p>
    <w:p>
      <w:r>
        <w:rPr>
          <w:b/>
        </w:rPr>
        <w:t>5. What makes Satvify different?</w:t>
      </w:r>
    </w:p>
    <w:p>
      <w:r>
        <w:t>The FAQ highlights 100% plant-based and vegan meals, Satvic positioning, no refined sugar/oil/maida, fresh preparation and natural ingredients.</w:t>
      </w:r>
    </w:p>
    <w:p>
      <w:r>
        <w:rPr>
          <w:b/>
        </w:rPr>
        <w:t>6. How do I order?</w:t>
      </w:r>
    </w:p>
    <w:p>
      <w:r>
        <w:t>Customers can place an order through WhatsApp or through the Satvify official website.</w:t>
      </w:r>
    </w:p>
    <w:p>
      <w:r>
        <w:rPr>
          <w:b/>
        </w:rPr>
        <w:t>7. What subscription plans are available?</w:t>
      </w:r>
    </w:p>
    <w:p>
      <w:r>
        <w:t>The supplied FAQ lists Basic, Standard and Premium plans, with different meal frequencies.</w:t>
      </w:r>
    </w:p>
    <w:p>
      <w:r>
        <w:rPr>
          <w:b/>
        </w:rPr>
        <w:t>8. Can I customise my subscription?</w:t>
      </w:r>
    </w:p>
    <w:p>
      <w:r>
        <w:t>Premium subscribers can access limited customisation such as meal selection, delivery frequency, time slot and smoothie/salad preference.</w:t>
      </w:r>
    </w:p>
    <w:p>
      <w:r>
        <w:rPr>
          <w:b/>
        </w:rPr>
        <w:t>9. Can I switch between smoothies and salads?</w:t>
      </w:r>
    </w:p>
    <w:p>
      <w:r>
        <w:t>Yes. Depending on the plan, customers can alternate between smoothies and salads and drinks.</w:t>
      </w:r>
    </w:p>
    <w:p>
      <w:r>
        <w:rPr>
          <w:b/>
        </w:rPr>
        <w:t>10. What are your best-selling items?</w:t>
      </w:r>
    </w:p>
    <w:p>
      <w:r>
        <w:t>The supplied FAQ lists Garden Blossom Salad, Jau-Dropping Bowl and Green Glow Elixir as customer favourites.</w:t>
      </w:r>
    </w:p>
    <w:p>
      <w:r>
        <w:rPr>
          <w:b/>
        </w:rPr>
        <w:t>11. Are your meals suitable for weight management?</w:t>
      </w:r>
    </w:p>
    <w:p>
      <w:r>
        <w:t>The FAQ says the meals use wholesome ingredients that support a healthy lifestyle; individual results depend on overall diet and routine.</w:t>
      </w:r>
    </w:p>
    <w:p>
      <w:r>
        <w:rPr>
          <w:b/>
        </w:rPr>
        <w:t>12. Do you offer subscriptions?</w:t>
      </w:r>
    </w:p>
    <w:p>
      <w:r>
        <w:t>Yes. Weekly and monthly subscription plans are offered for smoothies, salads and drinks.</w:t>
      </w:r>
    </w:p>
    <w:p>
      <w:r>
        <w:rPr>
          <w:b/>
        </w:rPr>
        <w:t>13. Are your meals freshly prepared every day?</w:t>
      </w:r>
    </w:p>
    <w:p>
      <w:r>
        <w:t>Yes. The supplied FAQ states that meals are freshly prepared daily before delivery.</w:t>
      </w:r>
    </w:p>
    <w:p>
      <w:r>
        <w:rPr>
          <w:b/>
        </w:rPr>
        <w:t>14. How is food quality maintained?</w:t>
      </w:r>
    </w:p>
    <w:p>
      <w:r>
        <w:t>Meals are described as handcrafted, quality checked, hygienically packed and delivered fresh.</w:t>
      </w:r>
    </w:p>
    <w:p>
      <w:r>
        <w:rPr>
          <w:b/>
        </w:rPr>
        <w:t>15. Can I pause or cancel my subscription?</w:t>
      </w:r>
    </w:p>
    <w:p>
      <w:r>
        <w:t>Yes. Customers should contact Satvify before the next scheduled delivery to request a pause or cancellation.</w:t>
      </w:r>
    </w:p>
    <w:p>
      <w:r>
        <w:rPr>
          <w:b/>
        </w:rPr>
        <w:t>16. Which areas do you deliver?</w:t>
      </w:r>
    </w:p>
    <w:p>
      <w:r>
        <w:t>Delivery is available within selected service areas; customers can contact Satvify through WhatsApp or the website to check availability.</w:t>
      </w:r>
    </w:p>
    <w:p>
      <w:r>
        <w:rPr>
          <w:b/>
        </w:rPr>
        <w:t>17. What payment methods do you accept?</w:t>
      </w:r>
    </w:p>
    <w:p>
      <w:r>
        <w:t>The supplied FAQ lists UPI, bank transfer and other available online payment methods.</w:t>
      </w:r>
    </w:p>
    <w:p>
      <w:r>
        <w:rPr>
          <w:b/>
        </w:rPr>
        <w:t>18. How can I contact Satvify?</w:t>
      </w:r>
    </w:p>
    <w:p>
      <w:r>
        <w:t>Customers can contact Satvify through WhatsApp for orders, subscriptions, support or questions, and through the official website.</w:t>
      </w:r>
    </w:p>
    <w:p>
      <w:r>
        <w:rPr>
          <w:b/>
        </w:rPr>
        <w:t>19. Do you use preservatives or artificial flavours?</w:t>
      </w:r>
    </w:p>
    <w:p>
      <w:r>
        <w:t>No. The supplied FAQ states that Satvify uses natural ingredients and does not use preservatives or artificial flavours.</w:t>
      </w:r>
    </w:p>
    <w:p>
      <w:r>
        <w:rPr>
          <w:b/>
        </w:rPr>
        <w:t>20. Who are Satvify meals suitable for?</w:t>
      </w:r>
    </w:p>
    <w:p>
      <w:r>
        <w:t>The FAQ lists busy professionals, students, fitness enthusiasts, families and anyone looking for healthy plant-based meals.</w:t>
      </w:r>
    </w:p>
    <w:p>
      <w:pPr>
        <w:pStyle w:val="Heading1"/>
      </w:pPr>
      <w:r>
        <w:t>11. Conclusion</w:t>
      </w:r>
    </w:p>
    <w:p>
      <w:r>
        <w:t>The survey-based research provides primary-data support for the major customer-behaviour themes examined during the internship. The strongest patterns point to the importance of product quality and customer experience for loyalty, membership benefits and offers for retention, and social media, reviews and well-designed incentives for acquisition. The findings can help guide practical customer-focused decisions while recognising the limitations of the small samples.</w:t>
      </w:r>
    </w:p>
    <w:p>
      <w:pPr>
        <w:pStyle w:val="Heading1"/>
      </w:pPr>
      <w:r>
        <w:t>12. Suggested Viva Questions</w:t>
      </w:r>
    </w:p>
    <w:p>
      <w:pPr>
        <w:pStyle w:val="ListBullet"/>
      </w:pPr>
      <w:r>
        <w:t>Why did you use pie charts for the survey analysis?</w:t>
      </w:r>
    </w:p>
    <w:p>
      <w:pPr>
        <w:pStyle w:val="ListBullet"/>
      </w:pPr>
      <w:r>
        <w:t>Why were the three survey sets kept separate?</w:t>
      </w:r>
    </w:p>
    <w:p>
      <w:pPr>
        <w:pStyle w:val="ListBullet"/>
      </w:pPr>
      <w:r>
        <w:t>What was the strongest factor affecting brand loyalty?</w:t>
      </w:r>
    </w:p>
    <w:p>
      <w:pPr>
        <w:pStyle w:val="ListBullet"/>
      </w:pPr>
      <w:r>
        <w:t>What was the most preferred retention strategy?</w:t>
      </w:r>
    </w:p>
    <w:p>
      <w:pPr>
        <w:pStyle w:val="ListBullet"/>
      </w:pPr>
      <w:r>
        <w:t>Which channel was strongest for discovering new brands?</w:t>
      </w:r>
    </w:p>
    <w:p>
      <w:pPr>
        <w:pStyle w:val="ListBullet"/>
      </w:pPr>
      <w:r>
        <w:t>What was the main reason respondents stopped buying from a brand?</w:t>
      </w:r>
    </w:p>
    <w:p>
      <w:pPr>
        <w:pStyle w:val="ListBullet"/>
      </w:pPr>
      <w:r>
        <w:t>What is the main business implication of the survey?</w:t>
      </w:r>
    </w:p>
    <w:p>
      <w:pPr>
        <w:pStyle w:val="ListBullet"/>
      </w:pPr>
      <w:r>
        <w:t>What were the major limitations of the research?</w:t>
      </w:r>
    </w:p>
    <w:p>
      <w:pPr>
        <w:pStyle w:val="Heading1"/>
      </w:pPr>
      <w:r>
        <w:t>13. References / Source Documents</w:t>
      </w:r>
    </w:p>
    <w:p>
      <w:r>
        <w:t>1. Google Forms survey responses supplied for the Satvify internship research.</w:t>
      </w:r>
    </w:p>
    <w:p>
      <w:r>
        <w:t>2. Satvify Subscription-Plan FAQ document supplied during the internship.</w:t>
      </w:r>
    </w:p>
    <w:p>
      <w:r>
        <w:t>3. Satvify Survey Analysis Report prepared for the internship research.</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