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Evidence–Rating Alignment for HRMS Performance Evaluation</w:t>
      </w:r>
    </w:p>
    <w:p>
      <w:pPr/>
      <w:r>
        <w:t xml:space="preserve">Divesh Singh¹ and Dr. Dilip Kumar Sharma² · ¹ GLA University, Mathura, India, divesh.singh_phd.cs24@gla.ac.in · ² GLA University, Mathura, India, dilip.sharma@gla.ac.in · </w:t>
      </w:r>
      <w:r>
        <w:t xml:space="preserve">Oct 30, 2026</w:t>
      </w:r>
    </w:p>
    <w:p>
      <w:pPr>
        <w:pStyle w:val="Heading2"/>
      </w:pPr>
      <w:r>
        <w:t xml:space="preserve">Abstract</w:t>
      </w:r>
    </w:p>
    <w:p>
      <w:pPr/>
      <w:r>
        <w:t>Employee performance evaluation using human resource management systems (HRMS) may produce ratings and explanations despite inadequate criterion-specific evidence. We propose Evidence-Rating Alignment (ERA), a measure for auditing relations between criteria, evidence, ratings, and explanation claims. ERA is the weighted sum of Evidence Coverage (EC), Evidence Relevance (ER), Criterion Agreement (CA), Evidence Traceability (ET), and Contradiction Penalty (CP): ERA_i = 0.25 EC_i + 0.25 ER_i + 0.25 CA_i + 0.15 ET_i + 0.10 (1 - CP_i). We report two computational analyses and no human or model results. First, an audit of an existing synthetic workbook (100 constructed cases, 10 roles, 500 criterion-level annotation rows) shows that all reference ratings are provisional, that no core annotation field is filled, and that the stored composite reproduces the formula to within 0.0006. The workbook's component values were not built to reflect its designed case patterns, so the composite does not separate them; the workbook is therefore a test bed for structure and arithmetic only. Second, we regenerate the components with a seeded, published generator that plants pattern-specific defects, and test whether ERA reacts. The composite separates planted low-relevance, low-agreement, and rating-gap cases but not planted contradictions (AUC about 0.50), because CP carries only a 0.10 weight; simple threshold flags on CP and EC detect them. This check is circular by construction and is not validation. An exploratory weight-sensitivity analysis shows higher rank stability under local than under broad weight changes. The results do not show accuracy, human agreement, employee-performance validity, fairness, explanation usefulness, or effectiveness of ERA.</w:t>
      </w:r>
      <w:r>
        <w:rPr>
          <w:rStyle w:val="CodeChar"/>
        </w:rPr>
      </w:r>
      <w:r/>
    </w:p>
    <w:p>
      <w:pPr/>
      <w:r>
        <w:rPr>
          <w:b/>
        </w:rPr>
        <w:t xml:space="preserve">Keywords:</w:t>
      </w:r>
      <w:r>
        <w:t xml:space="preserve"> Explainable AI · Human resource management systems · Employee performance evaluation · Evidence grounding · Auditability · Synthetic data · Composite indicators</w:t>
      </w:r>
    </w:p>
    <w:p>
      <w:pPr>
        <w:pStyle w:val="Heading2"/>
      </w:pPr>
      <w:r>
        <w:t xml:space="preserve">Introduction</w:t>
      </w:r>
    </w:p>
    <w:p>
      <w:pPr/>
      <w:r>
        <w:t xml:space="preserve">The AI-supported HRM may help in organizing records and making decisions. However, performance depends on context and is significant. There are some concerns associated with the use of AI in HRM. They concern the quality of data, accountability, fairness, privacy, employees' experiences, and the role of judgment [1,2,11,12]. XAI-related concerns may be related to the fact that the explanation should be interpreted considering the purpose and audience rather than being considered simply because it is understandable [3,4].</w:t>
      </w:r>
    </w:p>
    <w:p>
      <w:pPr/>
      <w:r>
        <w:t xml:space="preserve">Let us imagine an employee who received a rating of 4 out of 5 from a manager and an AI. Such an agreement may seem satisfactory, but it may be possible that both of them failed to take into account the delay in report submission or did not consider the right performance indicator while providing the rating. However, the paper considers the mismatch between the performance criteria, evidence available and used, rating, and justifications provided. ERA is suggested as the audit layer that reveals the relation between evidence coverage, relevance, agreement, traceability, and contradiction. This paper provides operational description of the audit for the available synthetic pilot dataset. It does not provide any additional annotations or records.</w:t>
      </w:r>
    </w:p>
    <w:p>
      <w:pPr>
        <w:pStyle w:val="Heading2"/>
      </w:pPr>
      <w:r>
        <w:t xml:space="preserve">Problem statement, research objectives, and contributions</w:t>
      </w:r>
    </w:p>
    <w:p>
      <w:pPr/>
      <w:r>
        <w:rPr>
          <w:b/>
        </w:rPr>
        <w:t xml:space="preserve">Problem statement:</w:t>
      </w:r>
      <w:r>
        <w:t xml:space="preserve"> In what way can an HRMS determine the existence of any role-related evidence for a criterion-level rating, detect any contradictions and non-correlation and keep an auditable trail of it?</w:t>
      </w:r>
    </w:p>
    <w:p>
      <w:pPr/>
      <w:r>
        <w:rPr>
          <w:b/>
        </w:rPr>
        <w:t xml:space="preserve">Four research objectives:</w:t>
      </w:r>
      <w:r>
        <w:t>Five research objectives: (1) describe the five elements of ERA and the normalized composite of these elements; (2) show how the latter may be integrated into the evidence-to-rating process; (3) audit the logic and formulas used by the current 100-case synthetic workbook; (4) perform a sensitivity test of ranking based on provisional component values; and (5) test, on regenerated synthetic components with planted defects, whether the composite and simple flags react to those defects. The objectives intentionally remain narrow and do not cover the assessment of an actual AI system or comparative evaluation of ERA against alternatives.</w:t>
      </w:r>
    </w:p>
    <w:p>
      <w:pPr/>
      <w:r>
        <w:t xml:space="preserve">These objectives are examined through five research questions: RQ1 (operationalization); RQ2 (the reaction of the system to controlled modifications of the evidence); RQ3 (incremental benefit over simple baselines); RQ4 (sensitivity to weights); and RQ5 (reliability, usefulness, fairness, and external validity). The extent to which each is answered is stated in the Discussion.</w:t>
      </w:r>
    </w:p>
    <w:p>
      <w:pPr/>
      <w:r>
        <w:rPr>
          <w:b/>
        </w:rPr>
        <w:t xml:space="preserve">Contributions:</w:t>
      </w:r>
      <w:r>
        <w:t>(a) operationalization of evidence-ratings alignment at a criterion level; (b) a suggestion for an audit record containing criteria, evidence identifiers, ratings, contradictions, and review; (c) data and formulas audit that could be replicated; (d) sensitivity test based on alternative weights; (e) a seeded, published generator for planted-defect components and a circular sensitivity check; and (f) the observation that contradiction and low coverage are better reported as flags next to ERA than inferred from the composite. This research does not validate the composite nor its independence from the reference scores nor ERA's superiority to alternatives.</w:t>
      </w:r>
    </w:p>
    <w:p>
      <w:pPr>
        <w:pStyle w:val="Heading2"/>
      </w:pPr>
      <w:r>
        <w:t xml:space="preserve">Related Work and Research Gap</w:t>
      </w:r>
    </w:p>
    <w:p>
      <w:pPr/>
      <w:r>
        <w:t xml:space="preserve">Responsible-AI research in HRM focuses on accountability, privacy, fairness, transparency, and employee participation [1,2,5,11,12,20,23]. Related work suggests governance-oriented system design, but general principles do not provide specific criteria for checking whether a particular rating is supported by evidence related to a specific criterion. Algorithmic decision making in employments is known to involve issues of fairness and discrimination in both recruitment and development cases [5,20].</w:t>
      </w:r>
    </w:p>
    <w:p>
      <w:pPr/>
      <w:r>
        <w:t xml:space="preserve">XAI research contributes methodologies for explanation of predictions and local explanation techniques like LIME [3,4]. Yet explaining a prediction does not mean verification of supporting evidence relevant to a particular criterion. Therefore, ERA considers evidence relevance and traceability separately from the fact of the presence of explanation.</w:t>
      </w:r>
    </w:p>
    <w:p>
      <w:pPr/>
      <w:r>
        <w:t xml:space="preserve">Algorithmic management and organizational justice literature emphasizes worker experience, power relations, procedural fairness, dignity, and contestability [6–9,13–18]. These criteria cannot be replaced by a single numerical score of evidence alignment. A high ERA score does not imply fairness, legitimacy or acceptability of employment procedures.</w:t>
      </w:r>
    </w:p>
    <w:p>
      <w:pPr/>
      <w:r>
        <w:t xml:space="preserve">Further strands support the audit idea. Work on attribution and factual-support evaluation of generated text checks whether statements are backed by sources [25,26]; ERA applies a comparable claim-to-record logic at the criterion level for ratings. Classical performance-appraisal research has documented rater errors such as the halo effect [29] and proposed behaviourally anchored rating scales [30], which motivate criterion-specific evidence and anchored scales here. Internal algorithmic auditing frameworks [24] and regulation, including the EU AI Act's treatment of employment systems as high-risk [27] and the GDPR provision on automated decision-making [28], further motivate auditable records and human review.</w:t>
      </w:r>
    </w:p>
    <w:p>
      <w:pPr/>
      <w:r>
        <w:t xml:space="preserve">Directly related to our work is Li, Zhou, and Xu's study of LLM-based performance evaluation relative to an external expert consensus benchmark [10]. Their paper demonstrates the importance of having an independent benchmark when evaluating ratings. The present paper does not run an LLM and has no independently adjudicated benchmark. Its contribution is complementary and methodological: it specifies a candidate evidence-alignment layer and audits the arithmetic of a synthetic prototype. The claimed gap is limited to the selected sources discussed here; it is not a claim that no related method exists anywhere in the literature.</w:t>
      </w:r>
    </w:p>
    <w:p>
      <w:pPr>
        <w:pStyle w:val="Heading2"/>
      </w:pPr>
      <w:r>
        <w:t xml:space="preserve">Literature Search and Scope of Evidence</w:t>
      </w:r>
    </w:p>
    <w:p>
      <w:pPr/>
      <w:r>
        <w:t xml:space="preserve">The source base is a literature search conducted in a systematic way for narrative synthesis rather than a systematic review. The search was conducted on 11 October 2026. Subjects covered include responsible AI in HRM, employee performance evaluation, explainable AI, algorithmic fairness, human supervision, and benchmark validity. Eligible sources were those written in English and scholarly articles that directly addressed the selected subjects. The literature search was one-person and targeted. Duplicate checking by an independent second person, a detailed de-duplication list, risk of bias assessment, and PRISMA flow counts [19] were not saved. The paper does not claim systematic review status.</w:t>
      </w:r>
    </w:p>
    <w:p>
      <w:pPr>
        <w:pStyle w:val="Heading2"/>
      </w:pPr>
      <w:r>
        <w:t xml:space="preserve">ERA Components Framework and Mathematical Formulation</w:t>
      </w:r>
    </w:p>
    <w:p>
      <w:pPr/>
      <w:r>
        <w:t xml:space="preserve">In the case of i, let k index predetermined role criteria and j index evidence items. Criterion weight w_ik ≥ 0, with the weights summing to 1 over k, for all criteria that can be assessed in this case. Rating r_ik is the assessed rating for criterion k and b_ik is the benchmark rating based on the same anchored 1–5 rating scale. The five components of ERA are normalized to range [0,1]. When the denominator is zero, then the component is undefined; hence, the case should be flagged and a composite score should not be automatically generated.</w:t>
      </w:r>
    </w:p>
    <w:p>
      <w:pPr/>
      <w:r>
        <w:t xml:space="preserve">Proposed Composite ERA:</w:t>
      </w:r>
    </w:p>
    <w:p>
      <w:pPr>
        <w:pStyle w:val="Code"/>
      </w:pPr>
      <w:bookmarkStart w:id="1" w:name="bongo_lang_latex_1"/>
      <w:bookmarkEnd w:id="1"/>
      <w:r>
        <w:t xml:space="preserve">ERA_i = 0.25\,EC_i + 0.25\,ER_i + 0.25\,CA_i + 0.15\,ET_i + 0.10\,(1 - CP_i)</w:t>
      </w:r>
    </w:p>
    <w:p>
      <w:pPr/>
      <w:r>
        <w:t xml:space="preserve">where</w:t>
      </w:r>
    </w:p>
    <w:p>
      <w:pPr>
        <w:pStyle w:val="Heading3"/>
      </w:pPr>
      <w:r>
        <w:t xml:space="preserve">Evidence Coverage (EC)</w:t>
      </w:r>
    </w:p>
    <w:p>
      <w:pPr/>
      <w:r>
        <w:t xml:space="preserve">A_ik = 1, when criterion k is assessable and A_ik = 0, when it is not. R_ik = 1, when one of the required evidence item(s) were retrieved for the criterion k.</w:t>
      </w:r>
    </w:p>
    <w:p>
      <w:pPr>
        <w:pStyle w:val="Code"/>
      </w:pPr>
      <w:bookmarkStart w:id="2" w:name="bongo_lang_latex_2"/>
      <w:bookmarkEnd w:id="2"/>
      <w:r>
        <w:t xml:space="preserve">EC_i = \frac{\sum_k w_{ik} A_{ik} R_{ik}}{\sum_k w_{ik} A_{ik}}</w:t>
      </w:r>
    </w:p>
    <w:p>
      <w:pPr/>
      <w:r>
        <w:t xml:space="preserve">Denominator must be greater than 0. Coverage reflects whether there is sufficient information available to the evaluator; it does not mean that the evidence is true.</w:t>
      </w:r>
    </w:p>
    <w:p>
      <w:pPr>
        <w:pStyle w:val="Heading3"/>
      </w:pPr>
      <w:r>
        <w:t xml:space="preserve">Evidence Relevance (ER)</w:t>
      </w:r>
    </w:p>
    <w:p>
      <w:pPr/>
      <w:r>
        <w:t xml:space="preserve">For each of the actual evidence items used, a rubric, registered beforehand, determines the score s_ij ∈ {1, 2, 3, 4, 5} and the relevance score is q_ij = (s_ij − 1)/4. Using non-negative weights v_ij,</w:t>
      </w:r>
    </w:p>
    <w:p>
      <w:pPr>
        <w:pStyle w:val="Code"/>
      </w:pPr>
      <w:bookmarkStart w:id="3" w:name="bongo_lang_latex_3"/>
      <w:bookmarkEnd w:id="3"/>
      <w:r>
        <w:t xml:space="preserve">ER_i = \frac{\sum_j v_{ij} q_{ij}}{\sum_j v_{ij}}</w:t>
      </w:r>
    </w:p>
    <w:p>
      <w:pPr/>
      <w:r>
        <w:t xml:space="preserve">Equal weights apply by default, unless some other rule is applied. Evidence that was available but not used is excluded from the computation of this component; the evidence omission should be recorded separately. If no item was used, ER is undefined.</w:t>
      </w:r>
    </w:p>
    <w:p>
      <w:pPr>
        <w:pStyle w:val="Heading3"/>
      </w:pPr>
      <w:r>
        <w:t xml:space="preserve">Criterion Agreement (CA)</w:t>
      </w:r>
    </w:p>
    <w:p>
      <w:pPr>
        <w:pStyle w:val="Code"/>
      </w:pPr>
      <w:bookmarkStart w:id="4" w:name="bongo_lang_latex_4"/>
      <w:bookmarkEnd w:id="4"/>
      <w:r>
        <w:t xml:space="preserve">CA_i = \frac{\sum_k w_{ik} A_{ik} \max\left(0,\, 1 - \frac{|r_{ik} - b_{ik}|}{4}\right)}{\sum_k w_{ik} A_{ik}}</w:t>
      </w:r>
    </w:p>
    <w:p>
      <w:pPr/>
      <w:r>
        <w:t xml:space="preserve">Here, r_ik and b_ik are the evaluated and reference ratings for criterion k on the same anchored 1–5 scale. CA is a measure of agreement with the chosen reference; not validation of its correctness. Since the present reference values are artificial and tentative, this criterion cannot be considered as a measure of agreement with employee-performance ground truth.</w:t>
      </w:r>
    </w:p>
    <w:p>
      <w:pPr/>
      <w:r>
        <w:t xml:space="preserve">Case-level form used in the pilot workbook: the workbook stores one value per case. There, EC_i is the number of evidence items considered by the illustrative AI divided by the number of evidence items available, and CA_i = max(0, 1 − |r_i − b_i|/4), with r_i the case-level illustrative AI rating and b_i the case-level benchmark score. These are case-level counterparts of the criterion-level definitions above and are not computed from criterion-level annotations; the audit in this paper uses only the case-level values.</w:t>
      </w:r>
    </w:p>
    <w:p>
      <w:pPr>
        <w:pStyle w:val="Heading3"/>
      </w:pPr>
      <w:r>
        <w:t xml:space="preserve">Contradiction Penalty (CP)</w:t>
      </w:r>
    </w:p>
    <w:p>
      <w:pPr/>
      <w:r>
        <w:t xml:space="preserve">Let c_ij = 1 when evidence item j materially contradicts the evaluated claim according to a certain coding rubric and 0 otherwise. Then</w:t>
      </w:r>
    </w:p>
    <w:p>
      <w:pPr>
        <w:pStyle w:val="Code"/>
      </w:pPr>
      <w:bookmarkStart w:id="5" w:name="bongo_lang_latex_5"/>
      <w:bookmarkEnd w:id="5"/>
      <w:r>
        <w:t xml:space="preserve">CP_i = \frac{\sum_j v_{ij} c_{ij}}{\sum_j v_{ij}}</w:t>
      </w:r>
    </w:p>
    <w:p>
      <w:pPr/>
      <w:r>
        <w:t xml:space="preserve">over assessable evidence items used. Absence of the evidence does not automatically constitute a contradiction. If no assessable evidence has been used, CP is undefined.</w:t>
      </w:r>
    </w:p>
    <w:p>
      <w:pPr>
        <w:pStyle w:val="Heading3"/>
      </w:pPr>
      <w:r>
        <w:t xml:space="preserve">Evidence Traceability (ET)</w:t>
      </w:r>
    </w:p>
    <w:p>
      <w:pPr/>
      <w:r>
        <w:t xml:space="preserve">Let L_i be the number of atomic rating or explanation claims requiring support and T_i the number of such claims with a valid evidence identifier and a verifiable mapping between the claim and the record. Then ET_i = T_i / L_i. Citation or identifier alone is not enough – there should be a matching record available to an authorized reviewer and relevant to the claim. If L_i = 0, ET_i is undefined.</w:t>
      </w:r>
    </w:p>
    <w:p>
      <w:pPr>
        <w:pStyle w:val="Heading3"/>
      </w:pPr>
      <w:r>
        <w:t xml:space="preserve">Weighting and Interpretation</w:t>
      </w:r>
    </w:p>
    <w:p>
      <w:pPr/>
      <w:r>
        <w:t>The weights sum to one and represent a transparent, theory-informed initial set-up, not empirically estimated coefficients. EC, ER, and CA all get 0.25 each; ET gets 0.15; and CP gives a penalty of 0.10. These decisions reflect design priorities, not proven relative importance of criteria. Composite-indicator methodology literature suggests making the weight assumptions explicit and subjecting the index to sensitivity analysis [21,22]. The additive score is compensatory, so it needs to be provided along with the values of the components and flags. A high score cannot override missing evidence, material contradiction, or the need for human review, nor can it automatically determine pay, promotion, termination, or other employment outcomes. For this reason ERA is specified as a component profile with flags (for example CP above a threshold and EC below a threshold), with the composite as a summary only; thresholds are not empirically calibrated here.</w:t>
      </w:r>
    </w:p>
    <w:p>
      <w:pPr>
        <w:pStyle w:val="Heading3"/>
      </w:pPr>
      <w:r>
        <w:t xml:space="preserve">Worked Example (illustrative values)</w:t>
      </w:r>
    </w:p>
    <w:p>
      <w:pPr/>
      <w:r>
        <w:t xml:space="preserve">Consider one case with five assessable criteria of equal weight (0.20 each). Required evidence was retrieved for four of them, so EC = 0.80. Three evidence items were used, with rubric scores 5, 4 and 3, giving q = 1.00, 0.75, 0.50 and ER = 0.75. Rating gaps |r − b| of 0, 1, 0, 2 and 1 give agreement terms 1.00, 0.75, 1.00, 0.50 and 0.75, so CA = 0.80. Four of five atomic claims are traceable, so ET = 0.80. One of the three evidence items contradicts the claim, so CP = 0.333. Then:</w:t>
      </w:r>
    </w:p>
    <w:p>
      <w:pPr>
        <w:pStyle w:val="Code"/>
      </w:pPr>
      <w:bookmarkStart w:id="6" w:name="bongo_lang_latex_6"/>
      <w:bookmarkEnd w:id="6"/>
      <w:r>
        <w:t xml:space="preserve">ERA = 0.25(0.80) + 0.25(0.75) + 0.25(0.80) + 0.15(0.80) + 0.10(1 - 0.333) = 0.774</w:t>
      </w:r>
    </w:p>
    <w:p>
      <w:pPr/>
      <w:r>
        <w:t xml:space="preserve">Because CP enters only through the 0.10 weight, a case in which every used item contradicts the claim (CP = 1) loses at most 0.10 of the composite. This is why the component values and flags must be reported alongside the composite.</w:t>
      </w:r>
    </w:p>
    <w:p>
      <w:pPr>
        <w:pStyle w:val="Heading2"/>
      </w:pPr>
      <w:r>
        <w:t xml:space="preserve">Proposed XAI–HRMS Workflow and Audit Record</w:t>
      </w:r>
    </w:p>
    <w:p>
      <w:pPr/>
      <w:r>
        <w:t xml:space="preserve">This proposed workflow starts with authorized records and a frozen criterion rubric for the specified role. In an evidence retrieval or selection stage, each assessable criterion is associated with evidence identifiers, provenance, source type, and time window. In a rating stage, the criterion level score and evidence used are recorded. In an audit stage, the components of the ERA are computed, any missing or conflicting evidence is flagged, and claims lacking support are identified. In a human review stage, the authorized reviewer may review the records, override or abstain from a rating, record a reason, and start correction or appeal. This architecture is a design specification, not a deployed HRMS service.</w:t>
      </w:r>
    </w:p>
    <w:p>
      <w:pPr/>
      <w:r>
        <w:drawing>
          <wp:inline distT="0" distB="0" distL="0" distR="0">
            <wp:extent cx="5486400" cy="3347357"/>
            <wp:docPr id="1" name="image1" descr="proposed workflow · 5 stages, 1 review loop"/>
            <a:graphic xmlns:a="http://schemas.openxmlformats.org/drawingml/2006/main">
              <a:graphicData uri="http://schemas.openxmlformats.org/drawingml/2006/picture">
                <pic:pic xmlns:pic="http://schemas.openxmlformats.org/drawingml/2006/picture">
                  <pic:nvPicPr>
                    <pic:cNvPr id="1" name="image1" descr="proposed workflow · 5 stages, 1 review loop"/>
                    <pic:cNvPicPr/>
                  </pic:nvPicPr>
                  <pic:blipFill>
                    <a:blip r:embed="rId3"/>
                    <a:stretch>
                      <a:fillRect/>
                    </a:stretch>
                  </pic:blipFill>
                  <pic:spPr>
                    <a:xfrm>
                      <a:off x="0" y="0"/>
                      <a:ext cx="5486400" cy="3347357"/>
                    </a:xfrm>
                    <a:prstGeom prst="rect">
                      <a:avLst/>
                    </a:prstGeom>
                  </pic:spPr>
                </pic:pic>
              </a:graphicData>
            </a:graphic>
          </wp:inline>
        </w:drawing>
      </w:r>
    </w:p>
    <w:p>
      <w:pPr/>
      <w:r>
        <w:t xml:space="preserve">proposed workflow · 5 stages, 1 review loop</w:t>
      </w:r>
    </w:p>
    <w:p>
      <w:pPr/>
      <w:r>
        <w:t xml:space="preserve">Figure 1. The proposed workflow: ERA is computed at the audit stage, and the human reviewer can override, abstain, or start correction or appeal.</w:t>
      </w:r>
    </w:p>
    <w:p>
      <w:pPr/>
      <w:r>
        <w:t xml:space="preserve">In a case-criterion output, the audit record should hold: case and criterion IDs; rubric version; rating and scale; evidence IDs used; evidence provenance and timestamps; evidence relevance and validity indicators; flags for any missing or conflicting evidence; atomic claims with linked evidence; component values; composite ERA; flags for undefined components; reviewer action and reason; and audit timestamp. The record supports traceability and contestability, but not proof of the correctness or validity of a rating.</w:t>
      </w:r>
    </w:p>
    <w:p>
      <w:pPr>
        <w:pStyle w:val="Heading2"/>
      </w:pPr>
      <w:r>
        <w:t xml:space="preserve">Explanation, Fairness, and Human Oversight Measures</w:t>
      </w:r>
    </w:p>
    <w:p>
      <w:pPr/>
      <w:r>
        <w:t xml:space="preserve">The current dataset holds no independently reviewed explanations. So explanation quality is specified, not measured. For future evaluation, explanations must be parsed into atomic factual claims. Let N be the number of eligible claims, S the number fully supported, U the number of unsupported or contradicted, V the number unverifiable due to unavailable records, and P the number partially supported. These categories should be mutually exclusive and sum to N. Evidence Support Rate is S/N; Unsupported Claim Rate is U/N; Unverifiable Claim Rate is V/N; and Partial Support Rate is P/N. If N=0, these metrics are undefined.</w:t>
      </w:r>
    </w:p>
    <w:p>
      <w:pPr/>
      <w:r>
        <w:t xml:space="preserve">Evidence identification precision and recall can be measured against a separate evidence key:</w:t>
      </w:r>
    </w:p>
    <w:p>
      <w:pPr>
        <w:pStyle w:val="Code"/>
      </w:pPr>
      <w:bookmarkStart w:id="7" w:name="bongo_lang_latex_7"/>
      <w:bookmarkEnd w:id="7"/>
      <w:r>
        <w:t xml:space="preserve">EIP = \frac{|R \cap G|}{|R|}, \qquad EIR = \frac{|R \cap G|}{|G|}</w:t>
      </w:r>
    </w:p>
    <w:p>
      <w:pPr/>
      <w:r>
        <w:t xml:space="preserve">where R is the set of returned evidence IDs and G is the set of required IDs. Their harmonic mean is reported only when defined. For planted contradictions, error detection precision, recall, F1, and false positive rate can be measured. These metrics are not included among results of the current study because no qualifying model output or explanation is available.</w:t>
      </w:r>
    </w:p>
    <w:p>
      <w:pPr/>
      <w:r>
        <w:t xml:space="preserve">The usefulness of explanations should be assessed based on the reviewer's ratings of clarity, sufficiency of evidence, actionability, and contestability reported separately. Fairness needs to be independently assessed based on decision process analysis and error patterns; the ERA framework does not include any fairness terms for protected attributes or subgroups. Sensitive attributes need to be applied only in situations that have legal and ethical approval. Meaningful human control necessitates inspecting the evidence, disputing the rating, correcting the record, opting out, and appealing.</w:t>
      </w:r>
    </w:p>
    <w:p>
      <w:pPr>
        <w:pStyle w:val="Heading2"/>
      </w:pPr>
      <w:r>
        <w:t xml:space="preserve">Data and Methodology</w:t>
      </w:r>
    </w:p>
    <w:p>
      <w:pPr>
        <w:pStyle w:val="Heading3"/>
      </w:pPr>
      <w:r>
        <w:t xml:space="preserve">Existing Dataset</w:t>
      </w:r>
    </w:p>
    <w:p>
      <w:pPr/>
      <w:r>
        <w:t xml:space="preserve">This analysis employs the already existing workbook ERA_Pilot_Dataset_100_Cases_QC_Corrected.xlsx, sheet "100_Cases_QC_Corrected" and corresponding role criteria and annotation forms sheet. The case list includes 100 artificially created cases, 100 unique case IDs and 10 roles, 10 cases for each of them. The designed case-pattern distribution is as follows: aligned (20), ai_human_agree_wrong (20), contradiction (15), strong (15), weak (15), mixed (10), and missing (5). These ratios are properties of the artificially created dataset and should not be understood as the frequency of occurrence of these patterns in real life.</w:t>
      </w:r>
    </w:p>
    <w:p>
      <w:pPr/>
      <w:r>
        <w:t xml:space="preserve">Additionally, the workbook has 500 rows of criterion-level annotations (five rows per one case). The basic fields for evidence relevance, evidence validity, criterion benchmark rating, and contradiction coding are empty in all 500 rows. For each case, the benchmark status explicitly notes the need for human annotation/adjudication prior to accepting the reference as validated ground truth. Although there is a field called "independent benchmark", these ratings are rule-generated artificial anchors, and the name does not give them empirical independence or human validation.</w:t>
      </w:r>
    </w:p>
    <w:p>
      <w:pPr/>
      <w:r>
        <w:t>Regarding the component columns, EC in the workbook equals the number of evidence items considered by the illustrative AI divided by the number available (maximum difference 0.0003), and CA equals 1 − |illustrative AI rating − benchmark score|/4 at the case level (maximum difference 0.0025, consistent with rounding of the stored ratings). The workbook documents no derivation for ER, ET, and CP. EC and CA in the workbook are therefore case-level quantities, whereas the framework section defines them at criterion level. None of the stored components was generated to reflect the designed case patterns (see Results).</w:t>
      </w:r>
    </w:p>
    <w:p>
      <w:pPr>
        <w:pStyle w:val="Heading3"/>
      </w:pPr>
      <w:r>
        <w:t xml:space="preserve">Analysis Approach</w:t>
      </w:r>
    </w:p>
    <w:p>
      <w:pPr/>
      <w:r>
        <w:t xml:space="preserve">Three types of analysis were carried out based on the given workbook only. Initially, a structure analysis involved row count, unique identifier, roles, pattern count, annotation, and benchmark status. Secondly, the given composite was computed based on the provided formula and EC, ER, CA, CP, and ET columns in the workbook; absolute differences were calculated. Lastly, the sensitivity analysis involved the computation of the score based on the given weights for each of the three configurations and 10,000 draws of the weights from two different Dirichlet schemes. The generator seed used was 20261027. Stability was measured by the Spearman rank correlation with respect to the given weights.</w:t>
      </w:r>
    </w:p>
    <w:p>
      <w:pPr/>
      <w:r>
        <w:t xml:space="preserve">In the sensitivity analysis, the local scheme draws weight vectors from a Dirichlet distribution whose concentration parameters equal 40 times the proposed weights (0.25, 0.25, 0.25, 0.15, 0.10), and the broad scheme draws from Dirichlet(1,1,1,1,1). The weight on the (1 − CP) term is perturbed together with the other four, and every draw sums to one. Both schemes use one NumPy default random generator seeded with 20261027: the 10,000 local draws are taken first, followed by the 10,000 broad draws. Each draw is compared by Spearman's ρ, using average ranks for ties, with the composite recomputed from the component columns under the proposed weights.</w:t>
      </w:r>
    </w:p>
    <w:p>
      <w:pPr/>
      <w:r>
        <w:t>The sensitivity analysis involves a mathematical analysis of the provisional synthetic component values. No controlled evidence-modification conditions were applied to the existing workbook, because no transformation script or per-case output table exists for them; the separate planted-defect check described next regenerates the components instead. No calls were made to LLM/API; no annotations were used, and no data of real employees were used.</w:t>
      </w:r>
    </w:p>
    <w:p>
      <w:pPr>
        <w:pStyle w:val="Heading3"/>
      </w:pPr>
      <w:r>
        <w:t>Planted-Defect Generator</w:t>
      </w:r>
    </w:p>
    <w:p>
      <w:pPr/>
      <w:r>
        <w:t>In addition to auditing the existing workbook, we regenerate the component values with a seeded generator (era_planted_defects_generator.py, seed 20261031) so that they follow the designed case patterns. Case identities, roles, evidence text, and benchmark scores are kept. The generator redraws the number of evidence items considered (hence EC), the illustrative AI rating (hence CA), and ER, ET, and CP, as uniform draws within pattern-specific ranges. Contradiction cases receive high CP (0.55 to 0.90). Missing cases receive low EC (20 to 50 percent of available evidence considered). Weak cases receive low ER (0.40 to 0.60) and a large rating gap to the benchmark (0.80 to 1.50 points), giving low CA. ai_human_agree_wrong cases receive a large AI-to-benchmark gap (1.20 to 2.00 points) while the manager rating is set within 0.10 of the AI rating. Mixed cases receive intermediate EC, ER, and CP, and aligned and strong cases receive high component values and small rating gaps. EC and CA keep the case-level definitions of the original workbook. The full rule table is stored in the Generation_Rules sheet of the regenerated workbook.</w:t>
      </w:r>
    </w:p>
    <w:p>
      <w:pPr/>
      <w:r>
        <w:t>Because the data are built to contain the defects, this check is circular: it can show that ERA and simple flags react to planted defects, not that ERA detects defects in real data. Two flags were fixed before any result was inspected, low coverage (EC below 0.70) and high contradiction (CP above 0.50), and are compared with a composite-only review rule (ERA below 0.70). For each planted defect we report recall, precision, false-positive rate, and the Mann-Whitney AUC of the composite, for the primary draw and for 200 replicate draws (seeds 20261032 to 20261231). The thresholds are illustrative and are not recommended defaults.</w:t>
      </w:r>
    </w:p>
    <w:p>
      <w:pPr>
        <w:pStyle w:val="Heading2"/>
      </w:pPr>
      <w:r>
        <w:t xml:space="preserve">Results</w:t>
      </w:r>
    </w:p>
    <w:p>
      <w:pPr>
        <w:pStyle w:val="Heading3"/>
      </w:pPr>
      <w:r>
        <w:t xml:space="preserve">Dataset and Formula Audit</w:t>
      </w:r>
    </w:p>
    <w:p>
      <w:pPr/>
      <w:r>
        <w:t xml:space="preserve">The structural audit reported 100 cases, with 100 unique IDs, no duplicate case IDs, and 10 roles with 10 cases each. All 100 benchmark records were still provisional. The annotation workbook included 500 criterion-level rows, none of which contained any of the four core rating/coding fields. The stored ERA composite score had a mean of 0.80874 and a range from 0.667 to 0.947; these are descriptions of the provided synthetic data, not performance results.</w:t>
      </w:r>
    </w:p>
    <w:tbl>
      <w:tblPr>
        <w:tblStyle w:val="TableGrid"/>
        <w:tblW w:w="0" w:type="auto"/>
        <w:tblLayout w:type="fixed"/>
        <w:tblLook w:val="04A0" w:firstRow="1" w:lastRow="0" w:firstColumn="0" w:lastColumn="0" w:noHBand="0" w:noVBand="1"/>
      </w:tblPr>
      <w:tblGrid>
        <w:gridCol w:w="3202"/>
        <w:gridCol w:w="2414"/>
        <w:gridCol w:w="3744"/>
      </w:tblGrid>
      <w:tr>
        <w:trPr>
          <w:tblHeader/>
        </w:trPr>
        <w:tc>
          <w:tcPr>
            <w:tcW w:w="3202" w:type="dxa"/>
            <w:shd w:val="clear" w:color="auto" w:fill="F2F2F2"/>
          </w:tcPr>
          <w:p>
            <w:pPr/>
            <w:r>
              <w:t xml:space="preserve">Audit item</w:t>
            </w:r>
          </w:p>
        </w:tc>
        <w:tc>
          <w:tcPr>
            <w:tcW w:w="2414" w:type="dxa"/>
            <w:shd w:val="clear" w:color="auto" w:fill="F2F2F2"/>
          </w:tcPr>
          <w:p>
            <w:pPr/>
            <w:r>
              <w:t xml:space="preserve">Result</w:t>
            </w:r>
          </w:p>
        </w:tc>
        <w:tc>
          <w:tcPr>
            <w:tcW w:w="3744" w:type="dxa"/>
            <w:shd w:val="clear" w:color="auto" w:fill="F2F2F2"/>
          </w:tcPr>
          <w:p>
            <w:pPr/>
            <w:r>
              <w:t xml:space="preserve">Interpretation</w:t>
            </w:r>
          </w:p>
        </w:tc>
      </w:tr>
      <w:tr>
        <w:tc>
          <w:tcPr>
            <w:tcW w:w="3202" w:type="dxa"/>
          </w:tcPr>
          <w:p>
            <w:pPr/>
            <w:r>
              <w:t xml:space="preserve">Synthetic cases / unique IDs</w:t>
            </w:r>
          </w:p>
        </w:tc>
        <w:tc>
          <w:tcPr>
            <w:tcW w:w="2414" w:type="dxa"/>
          </w:tcPr>
          <w:p>
            <w:pPr/>
            <w:r>
              <w:t xml:space="preserve">100 / 100</w:t>
            </w:r>
          </w:p>
        </w:tc>
        <w:tc>
          <w:tcPr>
            <w:tcW w:w="3744" w:type="dxa"/>
          </w:tcPr>
          <w:p>
            <w:pPr/>
            <w:r>
              <w:t xml:space="preserve">No duplicate case IDs found.</w:t>
            </w:r>
          </w:p>
        </w:tc>
      </w:tr>
      <w:tr>
        <w:tc>
          <w:tcPr>
            <w:tcW w:w="3202" w:type="dxa"/>
          </w:tcPr>
          <w:p>
            <w:pPr/>
            <w:r>
              <w:t xml:space="preserve">Roles</w:t>
            </w:r>
          </w:p>
        </w:tc>
        <w:tc>
          <w:tcPr>
            <w:tcW w:w="2414" w:type="dxa"/>
          </w:tcPr>
          <w:p>
            <w:pPr/>
            <w:r>
              <w:t xml:space="preserve">10; 10 cases per role</w:t>
            </w:r>
          </w:p>
        </w:tc>
        <w:tc>
          <w:tcPr>
            <w:tcW w:w="3744" w:type="dxa"/>
          </w:tcPr>
          <w:p>
            <w:pPr/>
            <w:r>
              <w:t xml:space="preserve">Balanced by construction.</w:t>
            </w:r>
          </w:p>
        </w:tc>
      </w:tr>
      <w:tr>
        <w:tc>
          <w:tcPr>
            <w:tcW w:w="3202" w:type="dxa"/>
          </w:tcPr>
          <w:p>
            <w:pPr/>
            <w:r>
              <w:t xml:space="preserve">Criterion annotation rows</w:t>
            </w:r>
          </w:p>
        </w:tc>
        <w:tc>
          <w:tcPr>
            <w:tcW w:w="2414" w:type="dxa"/>
          </w:tcPr>
          <w:p>
            <w:pPr/>
            <w:r>
              <w:t xml:space="preserve">500</w:t>
            </w:r>
          </w:p>
        </w:tc>
        <w:tc>
          <w:tcPr>
            <w:tcW w:w="3744" w:type="dxa"/>
          </w:tcPr>
          <w:p>
            <w:pPr/>
            <w:r>
              <w:t xml:space="preserve">Five criterion rows per case.</w:t>
            </w:r>
          </w:p>
        </w:tc>
      </w:tr>
      <w:tr>
        <w:tc>
          <w:tcPr>
            <w:tcW w:w="3202" w:type="dxa"/>
          </w:tcPr>
          <w:p>
            <w:pPr/>
            <w:r>
              <w:t xml:space="preserve">Rows with any core annotation field completed</w:t>
            </w:r>
          </w:p>
        </w:tc>
        <w:tc>
          <w:tcPr>
            <w:tcW w:w="2414" w:type="dxa"/>
          </w:tcPr>
          <w:p>
            <w:pPr/>
            <w:r>
              <w:t xml:space="preserve">0 of 500</w:t>
            </w:r>
          </w:p>
        </w:tc>
        <w:tc>
          <w:tcPr>
            <w:tcW w:w="3744" w:type="dxa"/>
          </w:tcPr>
          <w:p>
            <w:pPr/>
            <w:r>
              <w:t xml:space="preserve">No human annotations are present.</w:t>
            </w:r>
          </w:p>
        </w:tc>
      </w:tr>
      <w:tr>
        <w:tc>
          <w:tcPr>
            <w:tcW w:w="3202" w:type="dxa"/>
          </w:tcPr>
          <w:p>
            <w:pPr/>
            <w:r>
              <w:t xml:space="preserve">Provisional benchmark status</w:t>
            </w:r>
          </w:p>
        </w:tc>
        <w:tc>
          <w:tcPr>
            <w:tcW w:w="2414" w:type="dxa"/>
          </w:tcPr>
          <w:p>
            <w:pPr/>
            <w:r>
              <w:t xml:space="preserve">100 of 100 cases</w:t>
            </w:r>
          </w:p>
        </w:tc>
        <w:tc>
          <w:tcPr>
            <w:tcW w:w="3744" w:type="dxa"/>
          </w:tcPr>
          <w:p>
            <w:pPr/>
            <w:r>
              <w:t xml:space="preserve">Reference scores are not validated ground truth.</w:t>
            </w:r>
          </w:p>
        </w:tc>
      </w:tr>
      <w:tr>
        <w:tc>
          <w:tcPr>
            <w:tcW w:w="3202" w:type="dxa"/>
          </w:tcPr>
          <w:p>
            <w:pPr/>
            <w:r>
              <w:t xml:space="preserve">Mean absolute difference: stored vs. recomputed ERA</w:t>
            </w:r>
          </w:p>
        </w:tc>
        <w:tc>
          <w:tcPr>
            <w:tcW w:w="2414" w:type="dxa"/>
          </w:tcPr>
          <w:p>
            <w:pPr/>
            <w:r>
              <w:t xml:space="preserve">0.000265</w:t>
            </w:r>
          </w:p>
        </w:tc>
        <w:tc>
          <w:tcPr>
            <w:tcW w:w="3744" w:type="dxa"/>
          </w:tcPr>
          <w:p>
            <w:pPr/>
            <w:r>
              <w:t xml:space="preserve">Consistent with rounding in workbook.</w:t>
            </w:r>
          </w:p>
        </w:tc>
      </w:tr>
      <w:tr>
        <w:tc>
          <w:tcPr>
            <w:tcW w:w="3202" w:type="dxa"/>
          </w:tcPr>
          <w:p>
            <w:pPr/>
            <w:r>
              <w:t xml:space="preserve">Maximum absolute difference</w:t>
            </w:r>
          </w:p>
        </w:tc>
        <w:tc>
          <w:tcPr>
            <w:tcW w:w="2414" w:type="dxa"/>
          </w:tcPr>
          <w:p>
            <w:pPr/>
            <w:r>
              <w:t xml:space="preserve">0.000600</w:t>
            </w:r>
          </w:p>
        </w:tc>
        <w:tc>
          <w:tcPr>
            <w:tcW w:w="3744" w:type="dxa"/>
          </w:tcPr>
          <w:p>
            <w:pPr/>
            <w:r>
              <w:t xml:space="preserve">No row exceeded 0.001 tolerance.</w:t>
            </w:r>
          </w:p>
        </w:tc>
      </w:tr>
      <w:tr>
        <w:tc>
          <w:tcPr>
            <w:tcW w:w="3202" w:type="dxa"/>
          </w:tcPr>
          <w:p>
            <w:pPr/>
            <w:r>
              <w:t xml:space="preserve">Rows with difference &gt; 0.001</w:t>
            </w:r>
          </w:p>
        </w:tc>
        <w:tc>
          <w:tcPr>
            <w:tcW w:w="2414" w:type="dxa"/>
          </w:tcPr>
          <w:p>
            <w:pPr/>
            <w:r>
              <w:t xml:space="preserve">0</w:t>
            </w:r>
          </w:p>
        </w:tc>
        <w:tc>
          <w:tcPr>
            <w:tcW w:w="3744" w:type="dxa"/>
          </w:tcPr>
          <w:p>
            <w:pPr/>
            <w:r>
              <w:t xml:space="preserve">Arithmetic consistency check passed at stated tolerance.</w:t>
            </w:r>
          </w:p>
        </w:tc>
      </w:tr>
    </w:tbl>
    <w:p>
      <w:pPr/>
      <w:r>
        <w:t xml:space="preserve">The formula audit proves only one thing: the stored composite values are arithmetically consistent with the equation within the specified tolerance. It does not validate the component annotations, synthetic reference scores, weights, or the actual meaning of the score.</w:t>
      </w:r>
    </w:p>
    <w:p>
      <w:pPr/>
      <w:r>
        <w:t xml:space="preserve">The component columns and the stored composite are each rounded to three decimals, and the stored composite appears to have been computed from unrounded components. Rounding of the components can shift the recomputed composite by at most 0.0005 (the weights sum to one) and rounding of the composite by a further 0.0005, so differences up to 0.001 are expected. The observed maximum of 0.0006 lies within this bound, and 8 of the 100 rows differ by more than 0.0005 (one further row differs by exactly 0.0005).</w:t>
      </w:r>
    </w:p>
    <w:p>
      <w:pPr>
        <w:pStyle w:val="Heading3"/>
      </w:pPr>
      <w:r>
        <w:t xml:space="preserve">Exploratory Weight Sensitivity</w:t>
      </w:r>
    </w:p>
    <w:p>
      <w:pPr/>
      <w:r>
        <w:t xml:space="preserve">For the proposed weighting structure, the calculated mean for the composite based on the remaining component variables was 0.808754. The three named alternatives gave correlations of 0.9446 (equal weights), 0.9685 (evidence weighted), and 0.9552 (traceability weighted) with the proposed weighting scheme. For the 10,000 draws of the local Dirichlet analysis around the proposed weights, the median correlation was 0.9641 (5th–95th percentile range: 0.8872–0.9916), and 92.47% of the draws showed ρ ≥ 0.90. Under the general Dirichlet(1,1,1,1,1) perturbation, the median correlation was 0.7563 (5th–95th percentile range: 0.4797–0.9360).</w:t>
      </w:r>
    </w:p>
    <w:tbl>
      <w:tblPr>
        <w:tblStyle w:val="TableGrid"/>
        <w:tblW w:w="0" w:type="auto"/>
        <w:tblLayout w:type="fixed"/>
        <w:tblLook w:val="04A0" w:firstRow="1" w:lastRow="0" w:firstColumn="0" w:lastColumn="0" w:noHBand="0" w:noVBand="1"/>
      </w:tblPr>
      <w:tblGrid>
        <w:gridCol w:w="4539"/>
        <w:gridCol w:w="1952"/>
        <w:gridCol w:w="2869"/>
      </w:tblGrid>
      <w:tr>
        <w:trPr>
          <w:tblHeader/>
        </w:trPr>
        <w:tc>
          <w:tcPr>
            <w:tcW w:w="4539" w:type="dxa"/>
            <w:shd w:val="clear" w:color="auto" w:fill="F2F2F2"/>
          </w:tcPr>
          <w:p>
            <w:pPr/>
            <w:r>
              <w:t xml:space="preserve">Weight scheme</w:t>
            </w:r>
          </w:p>
        </w:tc>
        <w:tc>
          <w:tcPr>
            <w:tcW w:w="1952" w:type="dxa"/>
            <w:shd w:val="clear" w:color="auto" w:fill="F2F2F2"/>
          </w:tcPr>
          <w:p>
            <w:pPr/>
            <w:r>
              <w:t xml:space="preserve">Mean composite</w:t>
            </w:r>
          </w:p>
        </w:tc>
        <w:tc>
          <w:tcPr>
            <w:tcW w:w="2869" w:type="dxa"/>
            <w:shd w:val="clear" w:color="auto" w:fill="F2F2F2"/>
          </w:tcPr>
          <w:p>
            <w:pPr/>
            <w:r>
              <w:t xml:space="preserve">Spearman ρ vs. proposed</w:t>
            </w:r>
          </w:p>
        </w:tc>
      </w:tr>
      <w:tr>
        <w:tc>
          <w:tcPr>
            <w:tcW w:w="4539" w:type="dxa"/>
          </w:tcPr>
          <w:p>
            <w:pPr/>
            <w:r>
              <w:t xml:space="preserve">Proposed: 0.25, 0.25, 0.25, 0.15, 0.10</w:t>
            </w:r>
          </w:p>
        </w:tc>
        <w:tc>
          <w:tcPr>
            <w:tcW w:w="1952" w:type="dxa"/>
          </w:tcPr>
          <w:p>
            <w:pPr/>
            <w:r>
              <w:t xml:space="preserve">0.808754</w:t>
            </w:r>
          </w:p>
        </w:tc>
        <w:tc>
          <w:tcPr>
            <w:tcW w:w="2869" w:type="dxa"/>
          </w:tcPr>
          <w:p>
            <w:pPr/>
            <w:r>
              <w:t xml:space="preserve">1.0000</w:t>
            </w:r>
          </w:p>
        </w:tc>
      </w:tr>
      <w:tr>
        <w:tc>
          <w:tcPr>
            <w:tcW w:w="4539" w:type="dxa"/>
          </w:tcPr>
          <w:p>
            <w:pPr/>
            <w:r>
              <w:t xml:space="preserve">Equal: 0.20 each</w:t>
            </w:r>
          </w:p>
        </w:tc>
        <w:tc>
          <w:tcPr>
            <w:tcW w:w="1952" w:type="dxa"/>
          </w:tcPr>
          <w:p>
            <w:pPr/>
            <w:r>
              <w:t xml:space="preserve">0.805490</w:t>
            </w:r>
          </w:p>
        </w:tc>
        <w:tc>
          <w:tcPr>
            <w:tcW w:w="2869" w:type="dxa"/>
          </w:tcPr>
          <w:p>
            <w:pPr/>
            <w:r>
              <w:t xml:space="preserve">0.9446</w:t>
            </w:r>
          </w:p>
        </w:tc>
      </w:tr>
      <w:tr>
        <w:tc>
          <w:tcPr>
            <w:tcW w:w="4539" w:type="dxa"/>
          </w:tcPr>
          <w:p>
            <w:pPr/>
            <w:r>
              <w:t xml:space="preserve">Evidence-heavy: 0.30, 0.30, 0.15, 0.15, 0.10</w:t>
            </w:r>
          </w:p>
        </w:tc>
        <w:tc>
          <w:tcPr>
            <w:tcW w:w="1952" w:type="dxa"/>
          </w:tcPr>
          <w:p>
            <w:pPr/>
            <w:r>
              <w:t xml:space="preserve">0.801874</w:t>
            </w:r>
          </w:p>
        </w:tc>
        <w:tc>
          <w:tcPr>
            <w:tcW w:w="2869" w:type="dxa"/>
          </w:tcPr>
          <w:p>
            <w:pPr/>
            <w:r>
              <w:t xml:space="preserve">0.9685</w:t>
            </w:r>
          </w:p>
        </w:tc>
      </w:tr>
      <w:tr>
        <w:tc>
          <w:tcPr>
            <w:tcW w:w="4539" w:type="dxa"/>
          </w:tcPr>
          <w:p>
            <w:pPr/>
            <w:r>
              <w:t xml:space="preserve">Traceability-heavy: 0.20, 0.20, 0.20, 0.25, 0.15</w:t>
            </w:r>
          </w:p>
        </w:tc>
        <w:tc>
          <w:tcPr>
            <w:tcW w:w="1952" w:type="dxa"/>
          </w:tcPr>
          <w:p>
            <w:pPr/>
            <w:r>
              <w:t xml:space="preserve">0.805065</w:t>
            </w:r>
          </w:p>
        </w:tc>
        <w:tc>
          <w:tcPr>
            <w:tcW w:w="2869" w:type="dxa"/>
          </w:tcPr>
          <w:p>
            <w:pPr/>
            <w:r>
              <w:t xml:space="preserve">0.9552</w:t>
            </w:r>
          </w:p>
        </w:tc>
      </w:tr>
    </w:tbl>
    <w:p/>
    <w:tbl>
      <w:tblPr>
        <w:tblStyle w:val="TableGrid"/>
        <w:tblW w:w="0" w:type="auto"/>
        <w:tblLayout w:type="fixed"/>
        <w:tblLook w:val="04A0" w:firstRow="1" w:lastRow="0" w:firstColumn="0" w:lastColumn="0" w:noHBand="0" w:noVBand="1"/>
      </w:tblPr>
      <w:tblGrid>
        <w:gridCol w:w="2804"/>
        <w:gridCol w:w="915"/>
        <w:gridCol w:w="1372"/>
        <w:gridCol w:w="1207"/>
        <w:gridCol w:w="1417"/>
        <w:gridCol w:w="1643"/>
      </w:tblGrid>
      <w:tr>
        <w:trPr>
          <w:tblHeader/>
        </w:trPr>
        <w:tc>
          <w:tcPr>
            <w:tcW w:w="2804" w:type="dxa"/>
            <w:shd w:val="clear" w:color="auto" w:fill="F2F2F2"/>
          </w:tcPr>
          <w:p>
            <w:pPr/>
            <w:r>
              <w:t xml:space="preserve">Random-weight scheme</w:t>
            </w:r>
          </w:p>
        </w:tc>
        <w:tc>
          <w:tcPr>
            <w:tcW w:w="915" w:type="dxa"/>
            <w:shd w:val="clear" w:color="auto" w:fill="F2F2F2"/>
          </w:tcPr>
          <w:p>
            <w:pPr/>
            <w:r>
              <w:t xml:space="preserve">Draws</w:t>
            </w:r>
          </w:p>
        </w:tc>
        <w:tc>
          <w:tcPr>
            <w:tcW w:w="1372" w:type="dxa"/>
            <w:shd w:val="clear" w:color="auto" w:fill="F2F2F2"/>
          </w:tcPr>
          <w:p>
            <w:pPr/>
            <w:r>
              <w:t xml:space="preserve">5th percentile ρ</w:t>
            </w:r>
          </w:p>
        </w:tc>
        <w:tc>
          <w:tcPr>
            <w:tcW w:w="1207" w:type="dxa"/>
            <w:shd w:val="clear" w:color="auto" w:fill="F2F2F2"/>
          </w:tcPr>
          <w:p>
            <w:pPr/>
            <w:r>
              <w:t xml:space="preserve">Median ρ</w:t>
            </w:r>
          </w:p>
        </w:tc>
        <w:tc>
          <w:tcPr>
            <w:tcW w:w="1417" w:type="dxa"/>
            <w:shd w:val="clear" w:color="auto" w:fill="F2F2F2"/>
          </w:tcPr>
          <w:p>
            <w:pPr/>
            <w:r>
              <w:t xml:space="preserve">95th percentile ρ</w:t>
            </w:r>
          </w:p>
        </w:tc>
        <w:tc>
          <w:tcPr>
            <w:tcW w:w="1643" w:type="dxa"/>
            <w:shd w:val="clear" w:color="auto" w:fill="F2F2F2"/>
          </w:tcPr>
          <w:p>
            <w:pPr/>
            <w:r>
              <w:t xml:space="preserve">Share with ρ ≥ 0.90</w:t>
            </w:r>
          </w:p>
        </w:tc>
      </w:tr>
      <w:tr>
        <w:tc>
          <w:tcPr>
            <w:tcW w:w="2804" w:type="dxa"/>
          </w:tcPr>
          <w:p>
            <w:pPr/>
            <w:r>
              <w:t xml:space="preserve">Local Dirichlet</w:t>
            </w:r>
          </w:p>
        </w:tc>
        <w:tc>
          <w:tcPr>
            <w:tcW w:w="915" w:type="dxa"/>
          </w:tcPr>
          <w:p>
            <w:pPr/>
            <w:r>
              <w:t xml:space="preserve">10,000</w:t>
            </w:r>
          </w:p>
        </w:tc>
        <w:tc>
          <w:tcPr>
            <w:tcW w:w="1372" w:type="dxa"/>
          </w:tcPr>
          <w:p>
            <w:pPr/>
            <w:r>
              <w:t xml:space="preserve">0.8872</w:t>
            </w:r>
          </w:p>
        </w:tc>
        <w:tc>
          <w:tcPr>
            <w:tcW w:w="1207" w:type="dxa"/>
          </w:tcPr>
          <w:p>
            <w:pPr/>
            <w:r>
              <w:t xml:space="preserve">0.9641</w:t>
            </w:r>
          </w:p>
        </w:tc>
        <w:tc>
          <w:tcPr>
            <w:tcW w:w="1417" w:type="dxa"/>
          </w:tcPr>
          <w:p>
            <w:pPr/>
            <w:r>
              <w:t xml:space="preserve">0.9916</w:t>
            </w:r>
          </w:p>
        </w:tc>
        <w:tc>
          <w:tcPr>
            <w:tcW w:w="1643" w:type="dxa"/>
          </w:tcPr>
          <w:p>
            <w:pPr/>
            <w:r>
              <w:t xml:space="preserve">92.47%</w:t>
            </w:r>
          </w:p>
        </w:tc>
      </w:tr>
      <w:tr>
        <w:tc>
          <w:tcPr>
            <w:tcW w:w="2804" w:type="dxa"/>
          </w:tcPr>
          <w:p>
            <w:pPr/>
            <w:r>
              <w:t xml:space="preserve">Broad Dirichlet(1,1,1,1,1)</w:t>
            </w:r>
          </w:p>
        </w:tc>
        <w:tc>
          <w:tcPr>
            <w:tcW w:w="915" w:type="dxa"/>
          </w:tcPr>
          <w:p>
            <w:pPr/>
            <w:r>
              <w:t xml:space="preserve">10,000</w:t>
            </w:r>
          </w:p>
        </w:tc>
        <w:tc>
          <w:tcPr>
            <w:tcW w:w="1372" w:type="dxa"/>
          </w:tcPr>
          <w:p>
            <w:pPr/>
            <w:r>
              <w:t xml:space="preserve">0.4797</w:t>
            </w:r>
          </w:p>
        </w:tc>
        <w:tc>
          <w:tcPr>
            <w:tcW w:w="1207" w:type="dxa"/>
          </w:tcPr>
          <w:p>
            <w:pPr/>
            <w:r>
              <w:t xml:space="preserve">0.7563</w:t>
            </w:r>
          </w:p>
        </w:tc>
        <w:tc>
          <w:tcPr>
            <w:tcW w:w="1417" w:type="dxa"/>
          </w:tcPr>
          <w:p>
            <w:pPr/>
            <w:r>
              <w:t xml:space="preserve">0.9360</w:t>
            </w:r>
          </w:p>
        </w:tc>
        <w:tc>
          <w:tcPr>
            <w:tcW w:w="1643" w:type="dxa"/>
          </w:tcPr>
          <w:p>
            <w:pPr/>
            <w:r>
              <w:t xml:space="preserve">12.09%</w:t>
            </w:r>
          </w:p>
        </w:tc>
      </w:tr>
    </w:tbl>
    <w:p>
      <w:pPr/>
      <w:r>
        <w:t xml:space="preserve">The rankings based on these artificial examples proved to be more stable to local weight perturbations than those to wide. These ratios refer to analyst-chosen mathematical perturbations, not the probability of weights being right. The input is artificial and provisional, which means that there are no optimal weights or ranking stability/validity proven by this analysis.</w:t>
      </w:r>
    </w:p>
    <w:p>
      <w:pPr>
        <w:pStyle w:val="Heading3"/>
      </w:pPr>
      <w:r>
        <w:t xml:space="preserve">ERA by Designed Case Pattern</w:t>
      </w:r>
    </w:p>
    <w:p>
      <w:pPr/>
      <w:r>
        <w:t xml:space="preserve">The table below reports the stored composite by designed case pattern.</w:t>
      </w:r>
    </w:p>
    <w:tbl>
      <w:tblPr>
        <w:tblStyle w:val="TableGrid"/>
        <w:tblW w:w="0" w:type="auto"/>
        <w:tblLayout w:type="fixed"/>
        <w:tblLook w:val="04A0" w:firstRow="1" w:lastRow="0" w:firstColumn="0" w:lastColumn="0" w:noHBand="0" w:noVBand="1"/>
      </w:tblPr>
      <w:tblGrid>
        <w:gridCol w:w="3309"/>
        <w:gridCol w:w="1079"/>
        <w:gridCol w:w="1675"/>
        <w:gridCol w:w="1817"/>
        <w:gridCol w:w="1478"/>
      </w:tblGrid>
      <w:tr>
        <w:trPr>
          <w:tblHeader/>
        </w:trPr>
        <w:tc>
          <w:tcPr>
            <w:tcW w:w="3309" w:type="dxa"/>
            <w:shd w:val="clear" w:color="auto" w:fill="F2F2F2"/>
          </w:tcPr>
          <w:p>
            <w:pPr/>
            <w:r>
              <w:t xml:space="preserve">Case pattern</w:t>
            </w:r>
          </w:p>
        </w:tc>
        <w:tc>
          <w:tcPr>
            <w:tcW w:w="1079" w:type="dxa"/>
            <w:shd w:val="clear" w:color="auto" w:fill="F2F2F2"/>
          </w:tcPr>
          <w:p>
            <w:pPr/>
            <w:r>
              <w:t xml:space="preserve">Cases</w:t>
            </w:r>
          </w:p>
        </w:tc>
        <w:tc>
          <w:tcPr>
            <w:tcW w:w="1675" w:type="dxa"/>
            <w:shd w:val="clear" w:color="auto" w:fill="F2F2F2"/>
          </w:tcPr>
          <w:p>
            <w:pPr/>
            <w:r>
              <w:t xml:space="preserve">Mean ERA</w:t>
            </w:r>
          </w:p>
        </w:tc>
        <w:tc>
          <w:tcPr>
            <w:tcW w:w="1817" w:type="dxa"/>
            <w:shd w:val="clear" w:color="auto" w:fill="F2F2F2"/>
          </w:tcPr>
          <w:p>
            <w:pPr/>
            <w:r>
              <w:t xml:space="preserve">ERA range</w:t>
            </w:r>
          </w:p>
        </w:tc>
        <w:tc>
          <w:tcPr>
            <w:tcW w:w="1478" w:type="dxa"/>
            <w:shd w:val="clear" w:color="auto" w:fill="F2F2F2"/>
          </w:tcPr>
          <w:p>
            <w:pPr/>
            <w:r>
              <w:t xml:space="preserve">Mean CP</w:t>
            </w:r>
          </w:p>
        </w:tc>
      </w:tr>
      <w:tr>
        <w:tc>
          <w:tcPr>
            <w:tcW w:w="3309" w:type="dxa"/>
          </w:tcPr>
          <w:p>
            <w:pPr/>
            <w:r>
              <w:t xml:space="preserve">aligned</w:t>
            </w:r>
          </w:p>
        </w:tc>
        <w:tc>
          <w:tcPr>
            <w:tcW w:w="1079" w:type="dxa"/>
          </w:tcPr>
          <w:p>
            <w:pPr/>
            <w:r>
              <w:t xml:space="preserve">20</w:t>
            </w:r>
          </w:p>
        </w:tc>
        <w:tc>
          <w:tcPr>
            <w:tcW w:w="1675" w:type="dxa"/>
          </w:tcPr>
          <w:p>
            <w:pPr/>
            <w:r>
              <w:t xml:space="preserve">0.814</w:t>
            </w:r>
          </w:p>
        </w:tc>
        <w:tc>
          <w:tcPr>
            <w:tcW w:w="1817" w:type="dxa"/>
          </w:tcPr>
          <w:p>
            <w:pPr/>
            <w:r>
              <w:t xml:space="preserve">0.731–0.886</w:t>
            </w:r>
          </w:p>
        </w:tc>
        <w:tc>
          <w:tcPr>
            <w:tcW w:w="1478" w:type="dxa"/>
          </w:tcPr>
          <w:p>
            <w:pPr/>
            <w:r>
              <w:t xml:space="preserve">0.204</w:t>
            </w:r>
          </w:p>
        </w:tc>
      </w:tr>
      <w:tr>
        <w:tc>
          <w:tcPr>
            <w:tcW w:w="3309" w:type="dxa"/>
          </w:tcPr>
          <w:p>
            <w:pPr/>
            <w:r>
              <w:t xml:space="preserve">ai_human_agree_wrong</w:t>
            </w:r>
          </w:p>
        </w:tc>
        <w:tc>
          <w:tcPr>
            <w:tcW w:w="1079" w:type="dxa"/>
          </w:tcPr>
          <w:p>
            <w:pPr/>
            <w:r>
              <w:t xml:space="preserve">20</w:t>
            </w:r>
          </w:p>
        </w:tc>
        <w:tc>
          <w:tcPr>
            <w:tcW w:w="1675" w:type="dxa"/>
          </w:tcPr>
          <w:p>
            <w:pPr/>
            <w:r>
              <w:t xml:space="preserve">0.784</w:t>
            </w:r>
          </w:p>
        </w:tc>
        <w:tc>
          <w:tcPr>
            <w:tcW w:w="1817" w:type="dxa"/>
          </w:tcPr>
          <w:p>
            <w:pPr/>
            <w:r>
              <w:t xml:space="preserve">0.708–0.926</w:t>
            </w:r>
          </w:p>
        </w:tc>
        <w:tc>
          <w:tcPr>
            <w:tcW w:w="1478" w:type="dxa"/>
          </w:tcPr>
          <w:p>
            <w:pPr/>
            <w:r>
              <w:t xml:space="preserve">0.199</w:t>
            </w:r>
          </w:p>
        </w:tc>
      </w:tr>
      <w:tr>
        <w:tc>
          <w:tcPr>
            <w:tcW w:w="3309" w:type="dxa"/>
          </w:tcPr>
          <w:p>
            <w:pPr/>
            <w:r>
              <w:t xml:space="preserve">contradiction</w:t>
            </w:r>
          </w:p>
        </w:tc>
        <w:tc>
          <w:tcPr>
            <w:tcW w:w="1079" w:type="dxa"/>
          </w:tcPr>
          <w:p>
            <w:pPr/>
            <w:r>
              <w:t xml:space="preserve">15</w:t>
            </w:r>
          </w:p>
        </w:tc>
        <w:tc>
          <w:tcPr>
            <w:tcW w:w="1675" w:type="dxa"/>
          </w:tcPr>
          <w:p>
            <w:pPr/>
            <w:r>
              <w:t xml:space="preserve">0.805</w:t>
            </w:r>
          </w:p>
        </w:tc>
        <w:tc>
          <w:tcPr>
            <w:tcW w:w="1817" w:type="dxa"/>
          </w:tcPr>
          <w:p>
            <w:pPr/>
            <w:r>
              <w:t xml:space="preserve">0.667–0.889</w:t>
            </w:r>
          </w:p>
        </w:tc>
        <w:tc>
          <w:tcPr>
            <w:tcW w:w="1478" w:type="dxa"/>
          </w:tcPr>
          <w:p>
            <w:pPr/>
            <w:r>
              <w:t xml:space="preserve">0.218</w:t>
            </w:r>
          </w:p>
        </w:tc>
      </w:tr>
      <w:tr>
        <w:tc>
          <w:tcPr>
            <w:tcW w:w="3309" w:type="dxa"/>
          </w:tcPr>
          <w:p>
            <w:pPr/>
            <w:r>
              <w:t xml:space="preserve">strong</w:t>
            </w:r>
          </w:p>
        </w:tc>
        <w:tc>
          <w:tcPr>
            <w:tcW w:w="1079" w:type="dxa"/>
          </w:tcPr>
          <w:p>
            <w:pPr/>
            <w:r>
              <w:t xml:space="preserve">15</w:t>
            </w:r>
          </w:p>
        </w:tc>
        <w:tc>
          <w:tcPr>
            <w:tcW w:w="1675" w:type="dxa"/>
          </w:tcPr>
          <w:p>
            <w:pPr/>
            <w:r>
              <w:t xml:space="preserve">0.831</w:t>
            </w:r>
          </w:p>
        </w:tc>
        <w:tc>
          <w:tcPr>
            <w:tcW w:w="1817" w:type="dxa"/>
          </w:tcPr>
          <w:p>
            <w:pPr/>
            <w:r>
              <w:t xml:space="preserve">0.710–0.932</w:t>
            </w:r>
          </w:p>
        </w:tc>
        <w:tc>
          <w:tcPr>
            <w:tcW w:w="1478" w:type="dxa"/>
          </w:tcPr>
          <w:p>
            <w:pPr/>
            <w:r>
              <w:t xml:space="preserve">0.122</w:t>
            </w:r>
          </w:p>
        </w:tc>
      </w:tr>
      <w:tr>
        <w:tc>
          <w:tcPr>
            <w:tcW w:w="3309" w:type="dxa"/>
          </w:tcPr>
          <w:p>
            <w:pPr/>
            <w:r>
              <w:t xml:space="preserve">weak</w:t>
            </w:r>
          </w:p>
        </w:tc>
        <w:tc>
          <w:tcPr>
            <w:tcW w:w="1079" w:type="dxa"/>
          </w:tcPr>
          <w:p>
            <w:pPr/>
            <w:r>
              <w:t xml:space="preserve">15</w:t>
            </w:r>
          </w:p>
        </w:tc>
        <w:tc>
          <w:tcPr>
            <w:tcW w:w="1675" w:type="dxa"/>
          </w:tcPr>
          <w:p>
            <w:pPr/>
            <w:r>
              <w:t xml:space="preserve">0.801</w:t>
            </w:r>
          </w:p>
        </w:tc>
        <w:tc>
          <w:tcPr>
            <w:tcW w:w="1817" w:type="dxa"/>
          </w:tcPr>
          <w:p>
            <w:pPr/>
            <w:r>
              <w:t xml:space="preserve">0.721–0.947</w:t>
            </w:r>
          </w:p>
        </w:tc>
        <w:tc>
          <w:tcPr>
            <w:tcW w:w="1478" w:type="dxa"/>
          </w:tcPr>
          <w:p>
            <w:pPr/>
            <w:r>
              <w:t xml:space="preserve">0.296</w:t>
            </w:r>
          </w:p>
        </w:tc>
      </w:tr>
      <w:tr>
        <w:tc>
          <w:tcPr>
            <w:tcW w:w="3309" w:type="dxa"/>
          </w:tcPr>
          <w:p>
            <w:pPr/>
            <w:r>
              <w:t xml:space="preserve">mixed</w:t>
            </w:r>
          </w:p>
        </w:tc>
        <w:tc>
          <w:tcPr>
            <w:tcW w:w="1079" w:type="dxa"/>
          </w:tcPr>
          <w:p>
            <w:pPr/>
            <w:r>
              <w:t xml:space="preserve">10</w:t>
            </w:r>
          </w:p>
        </w:tc>
        <w:tc>
          <w:tcPr>
            <w:tcW w:w="1675" w:type="dxa"/>
          </w:tcPr>
          <w:p>
            <w:pPr/>
            <w:r>
              <w:t xml:space="preserve">0.810</w:t>
            </w:r>
          </w:p>
        </w:tc>
        <w:tc>
          <w:tcPr>
            <w:tcW w:w="1817" w:type="dxa"/>
          </w:tcPr>
          <w:p>
            <w:pPr/>
            <w:r>
              <w:t xml:space="preserve">0.731–0.862</w:t>
            </w:r>
          </w:p>
        </w:tc>
        <w:tc>
          <w:tcPr>
            <w:tcW w:w="1478" w:type="dxa"/>
          </w:tcPr>
          <w:p>
            <w:pPr/>
            <w:r>
              <w:t xml:space="preserve">0.199</w:t>
            </w:r>
          </w:p>
        </w:tc>
      </w:tr>
      <w:tr>
        <w:tc>
          <w:tcPr>
            <w:tcW w:w="3309" w:type="dxa"/>
          </w:tcPr>
          <w:p>
            <w:pPr/>
            <w:r>
              <w:t xml:space="preserve">missing</w:t>
            </w:r>
          </w:p>
        </w:tc>
        <w:tc>
          <w:tcPr>
            <w:tcW w:w="1079" w:type="dxa"/>
          </w:tcPr>
          <w:p>
            <w:pPr/>
            <w:r>
              <w:t xml:space="preserve">5</w:t>
            </w:r>
          </w:p>
        </w:tc>
        <w:tc>
          <w:tcPr>
            <w:tcW w:w="1675" w:type="dxa"/>
          </w:tcPr>
          <w:p>
            <w:pPr/>
            <w:r>
              <w:t xml:space="preserve">0.848</w:t>
            </w:r>
          </w:p>
        </w:tc>
        <w:tc>
          <w:tcPr>
            <w:tcW w:w="1817" w:type="dxa"/>
          </w:tcPr>
          <w:p>
            <w:pPr/>
            <w:r>
              <w:t xml:space="preserve">0.822–0.888</w:t>
            </w:r>
          </w:p>
        </w:tc>
        <w:tc>
          <w:tcPr>
            <w:tcW w:w="1478" w:type="dxa"/>
          </w:tcPr>
          <w:p>
            <w:pPr/>
            <w:r>
              <w:t xml:space="preserve">0.163</w:t>
            </w:r>
          </w:p>
        </w:tc>
      </w:tr>
    </w:tbl>
    <w:p>
      <w:pPr/>
      <w:r>
        <w:t>Mean ERA ranges only from 0.784 to 0.848 across the seven patterns, while the range within a single pattern, for example 0.667 to 0.889 for contradiction, spans most of that interval. The ai_human_agree_wrong cases have the lowest mean ERA, mainly through lower CA (0.774 compared with 0.859 for aligned), and they show the intended rating structure: the mean absolute difference between the illustrative AI and historical manager ratings is 0.05, while each differs from the benchmark by 0.90 on average. The contradiction pattern, however, averages 0.805, close to the overall mean of 0.809, and the missing pattern has the highest mean ERA (0.848) because its mean EC is 0.960. In this workbook, therefore, the composite does not separate the designed case patterns. The stored components were therefore not constructed to reflect the designed patterns, and we treat this workbook as a test bed for structure and arithmetic only; it says nothing about how ERA would behave on annotated data.</w:t>
      </w:r>
    </w:p>
    <w:p>
      <w:pPr>
        <w:pStyle w:val="Heading3"/>
      </w:pPr>
      <w:r>
        <w:t>Planted-Defect Sensitivity Check</w:t>
      </w:r>
    </w:p>
    <w:p>
      <w:pPr/>
      <w:r>
        <w:t>Because the stored components do not follow the designed patterns, we regenerated them with the planted-defect generator and repeated the comparison. This is a circular check: the separation reported below follows from how the data were built and is not evidence of validity. The table reports means by pattern for the primary draw.</w:t>
      </w:r>
    </w:p>
    <w:tbl>
      <w:tblPr>
        <w:tblStyle w:val="TableGrid"/>
        <w:tblW w:w="0" w:type="auto"/>
        <w:tblLayout w:type="fixed"/>
        <w:tblLook w:val="04A0" w:firstRow="1" w:lastRow="0" w:firstColumn="0" w:lastColumn="0" w:noHBand="0" w:noVBand="1"/>
      </w:tblPr>
      <w:tblGrid>
        <w:gridCol w:w="3309"/>
        <w:gridCol w:w="1079"/>
        <w:gridCol w:w="1675"/>
        <w:gridCol w:w="1817"/>
        <w:gridCol w:w="1478"/>
      </w:tblGrid>
      <w:tr>
        <w:trPr>
          <w:tblHeader/>
        </w:trPr>
        <w:tc>
          <w:tcPr>
            <w:tcW w:w="3309" w:type="dxa"/>
            <w:shd w:val="clear" w:color="auto" w:fill="F2F2F2"/>
          </w:tcPr>
          <w:p>
            <w:pPr/>
            <w:r>
              <w:t>Case pattern</w:t>
            </w:r>
          </w:p>
        </w:tc>
        <w:tc>
          <w:tcPr>
            <w:tcW w:w="1079" w:type="dxa"/>
            <w:shd w:val="clear" w:color="auto" w:fill="F2F2F2"/>
          </w:tcPr>
          <w:p>
            <w:pPr/>
            <w:r>
              <w:t>Mean EC</w:t>
            </w:r>
          </w:p>
        </w:tc>
        <w:tc>
          <w:tcPr>
            <w:tcW w:w="1675" w:type="dxa"/>
            <w:shd w:val="clear" w:color="auto" w:fill="F2F2F2"/>
          </w:tcPr>
          <w:p>
            <w:pPr/>
            <w:r>
              <w:t>Mean CP</w:t>
            </w:r>
          </w:p>
        </w:tc>
        <w:tc>
          <w:tcPr>
            <w:tcW w:w="1817" w:type="dxa"/>
            <w:shd w:val="clear" w:color="auto" w:fill="F2F2F2"/>
          </w:tcPr>
          <w:p>
            <w:pPr/>
            <w:r>
              <w:t>Mean ERA</w:t>
            </w:r>
          </w:p>
        </w:tc>
        <w:tc>
          <w:tcPr>
            <w:tcW w:w="1478" w:type="dxa"/>
            <w:shd w:val="clear" w:color="auto" w:fill="F2F2F2"/>
          </w:tcPr>
          <w:p>
            <w:pPr/>
            <w:r>
              <w:t>ERA range</w:t>
            </w:r>
          </w:p>
        </w:tc>
      </w:tr>
      <w:tr>
        <w:tc>
          <w:tcPr>
            <w:tcW w:w="3309" w:type="dxa"/>
          </w:tcPr>
          <w:p>
            <w:pPr/>
            <w:r>
              <w:t>aligned</w:t>
            </w:r>
          </w:p>
        </w:tc>
        <w:tc>
          <w:tcPr>
            <w:tcW w:w="1079" w:type="dxa"/>
          </w:tcPr>
          <w:p>
            <w:pPr/>
            <w:r>
              <w:t>0.910</w:t>
            </w:r>
          </w:p>
        </w:tc>
        <w:tc>
          <w:tcPr>
            <w:tcW w:w="1675" w:type="dxa"/>
          </w:tcPr>
          <w:p>
            <w:pPr/>
            <w:r>
              <w:t>0.072</w:t>
            </w:r>
          </w:p>
        </w:tc>
        <w:tc>
          <w:tcPr>
            <w:tcW w:w="1817" w:type="dxa"/>
          </w:tcPr>
          <w:p>
            <w:pPr/>
            <w:r>
              <w:t>0.871</w:t>
            </w:r>
          </w:p>
        </w:tc>
        <w:tc>
          <w:tcPr>
            <w:tcW w:w="1478" w:type="dxa"/>
          </w:tcPr>
          <w:p>
            <w:pPr/>
            <w:r>
              <w:t>0.834–0.910</w:t>
            </w:r>
          </w:p>
        </w:tc>
      </w:tr>
      <w:tr>
        <w:tc>
          <w:tcPr>
            <w:tcW w:w="3309" w:type="dxa"/>
          </w:tcPr>
          <w:p>
            <w:pPr/>
            <w:r>
              <w:t>ai_human_agree_wrong</w:t>
            </w:r>
          </w:p>
        </w:tc>
        <w:tc>
          <w:tcPr>
            <w:tcW w:w="1079" w:type="dxa"/>
          </w:tcPr>
          <w:p>
            <w:pPr/>
            <w:r>
              <w:t>0.895</w:t>
            </w:r>
          </w:p>
        </w:tc>
        <w:tc>
          <w:tcPr>
            <w:tcW w:w="1675" w:type="dxa"/>
          </w:tcPr>
          <w:p>
            <w:pPr/>
            <w:r>
              <w:t>0.081</w:t>
            </w:r>
          </w:p>
        </w:tc>
        <w:tc>
          <w:tcPr>
            <w:tcW w:w="1817" w:type="dxa"/>
          </w:tcPr>
          <w:p>
            <w:pPr/>
            <w:r>
              <w:t>0.771</w:t>
            </w:r>
          </w:p>
        </w:tc>
        <w:tc>
          <w:tcPr>
            <w:tcW w:w="1478" w:type="dxa"/>
          </w:tcPr>
          <w:p>
            <w:pPr/>
            <w:r>
              <w:t>0.702–0.837</w:t>
            </w:r>
          </w:p>
        </w:tc>
      </w:tr>
      <w:tr>
        <w:tc>
          <w:tcPr>
            <w:tcW w:w="3309" w:type="dxa"/>
          </w:tcPr>
          <w:p>
            <w:pPr/>
            <w:r>
              <w:t>contradiction</w:t>
            </w:r>
          </w:p>
        </w:tc>
        <w:tc>
          <w:tcPr>
            <w:tcW w:w="1079" w:type="dxa"/>
          </w:tcPr>
          <w:p>
            <w:pPr/>
            <w:r>
              <w:t>0.849</w:t>
            </w:r>
          </w:p>
        </w:tc>
        <w:tc>
          <w:tcPr>
            <w:tcW w:w="1675" w:type="dxa"/>
          </w:tcPr>
          <w:p>
            <w:pPr/>
            <w:r>
              <w:t>0.763</w:t>
            </w:r>
          </w:p>
        </w:tc>
        <w:tc>
          <w:tcPr>
            <w:tcW w:w="1817" w:type="dxa"/>
          </w:tcPr>
          <w:p>
            <w:pPr/>
            <w:r>
              <w:t>0.778</w:t>
            </w:r>
          </w:p>
        </w:tc>
        <w:tc>
          <w:tcPr>
            <w:tcW w:w="1478" w:type="dxa"/>
          </w:tcPr>
          <w:p>
            <w:pPr/>
            <w:r>
              <w:t>0.736–0.846</w:t>
            </w:r>
          </w:p>
        </w:tc>
      </w:tr>
      <w:tr>
        <w:tc>
          <w:tcPr>
            <w:tcW w:w="3309" w:type="dxa"/>
          </w:tcPr>
          <w:p>
            <w:pPr/>
            <w:r>
              <w:t>strong</w:t>
            </w:r>
          </w:p>
        </w:tc>
        <w:tc>
          <w:tcPr>
            <w:tcW w:w="1079" w:type="dxa"/>
          </w:tcPr>
          <w:p>
            <w:pPr/>
            <w:r>
              <w:t>0.942</w:t>
            </w:r>
          </w:p>
        </w:tc>
        <w:tc>
          <w:tcPr>
            <w:tcW w:w="1675" w:type="dxa"/>
          </w:tcPr>
          <w:p>
            <w:pPr/>
            <w:r>
              <w:t>0.046</w:t>
            </w:r>
          </w:p>
        </w:tc>
        <w:tc>
          <w:tcPr>
            <w:tcW w:w="1817" w:type="dxa"/>
          </w:tcPr>
          <w:p>
            <w:pPr/>
            <w:r>
              <w:t>0.935</w:t>
            </w:r>
          </w:p>
        </w:tc>
        <w:tc>
          <w:tcPr>
            <w:tcW w:w="1478" w:type="dxa"/>
          </w:tcPr>
          <w:p>
            <w:pPr/>
            <w:r>
              <w:t>0.874–0.973</w:t>
            </w:r>
          </w:p>
        </w:tc>
      </w:tr>
      <w:tr>
        <w:tc>
          <w:tcPr>
            <w:tcW w:w="3309" w:type="dxa"/>
          </w:tcPr>
          <w:p>
            <w:pPr/>
            <w:r>
              <w:t>weak</w:t>
            </w:r>
          </w:p>
        </w:tc>
        <w:tc>
          <w:tcPr>
            <w:tcW w:w="1079" w:type="dxa"/>
          </w:tcPr>
          <w:p>
            <w:pPr/>
            <w:r>
              <w:t>0.887</w:t>
            </w:r>
          </w:p>
        </w:tc>
        <w:tc>
          <w:tcPr>
            <w:tcW w:w="1675" w:type="dxa"/>
          </w:tcPr>
          <w:p>
            <w:pPr/>
            <w:r>
              <w:t>0.121</w:t>
            </w:r>
          </w:p>
        </w:tc>
        <w:tc>
          <w:tcPr>
            <w:tcW w:w="1817" w:type="dxa"/>
          </w:tcPr>
          <w:p>
            <w:pPr/>
            <w:r>
              <w:t>0.724</w:t>
            </w:r>
          </w:p>
        </w:tc>
        <w:tc>
          <w:tcPr>
            <w:tcW w:w="1478" w:type="dxa"/>
          </w:tcPr>
          <w:p>
            <w:pPr/>
            <w:r>
              <w:t>0.663–0.763</w:t>
            </w:r>
          </w:p>
        </w:tc>
      </w:tr>
      <w:tr>
        <w:tc>
          <w:tcPr>
            <w:tcW w:w="3309" w:type="dxa"/>
          </w:tcPr>
          <w:p>
            <w:pPr/>
            <w:r>
              <w:t>mixed</w:t>
            </w:r>
          </w:p>
        </w:tc>
        <w:tc>
          <w:tcPr>
            <w:tcW w:w="1079" w:type="dxa"/>
          </w:tcPr>
          <w:p>
            <w:pPr/>
            <w:r>
              <w:t>0.687</w:t>
            </w:r>
          </w:p>
        </w:tc>
        <w:tc>
          <w:tcPr>
            <w:tcW w:w="1675" w:type="dxa"/>
          </w:tcPr>
          <w:p>
            <w:pPr/>
            <w:r>
              <w:t>0.320</w:t>
            </w:r>
          </w:p>
        </w:tc>
        <w:tc>
          <w:tcPr>
            <w:tcW w:w="1817" w:type="dxa"/>
          </w:tcPr>
          <w:p>
            <w:pPr/>
            <w:r>
              <w:t>0.706</w:t>
            </w:r>
          </w:p>
        </w:tc>
        <w:tc>
          <w:tcPr>
            <w:tcW w:w="1478" w:type="dxa"/>
          </w:tcPr>
          <w:p>
            <w:pPr/>
            <w:r>
              <w:t>0.660–0.752</w:t>
            </w:r>
          </w:p>
        </w:tc>
      </w:tr>
      <w:tr>
        <w:tc>
          <w:tcPr>
            <w:tcW w:w="3309" w:type="dxa"/>
          </w:tcPr>
          <w:p>
            <w:pPr/>
            <w:r>
              <w:t>missing</w:t>
            </w:r>
          </w:p>
        </w:tc>
        <w:tc>
          <w:tcPr>
            <w:tcW w:w="1079" w:type="dxa"/>
          </w:tcPr>
          <w:p>
            <w:pPr/>
            <w:r>
              <w:t>0.247</w:t>
            </w:r>
          </w:p>
        </w:tc>
        <w:tc>
          <w:tcPr>
            <w:tcW w:w="1675" w:type="dxa"/>
          </w:tcPr>
          <w:p>
            <w:pPr/>
            <w:r>
              <w:t>0.064</w:t>
            </w:r>
          </w:p>
        </w:tc>
        <w:tc>
          <w:tcPr>
            <w:tcW w:w="1817" w:type="dxa"/>
          </w:tcPr>
          <w:p>
            <w:pPr/>
            <w:r>
              <w:t>0.686</w:t>
            </w:r>
          </w:p>
        </w:tc>
        <w:tc>
          <w:tcPr>
            <w:tcW w:w="1478" w:type="dxa"/>
          </w:tcPr>
          <w:p>
            <w:pPr/>
            <w:r>
              <w:t>0.653–0.751</w:t>
            </w:r>
          </w:p>
        </w:tc>
      </w:tr>
    </w:tbl>
    <w:p>
      <w:pPr/>
      <w:r>
        <w:t>The composite and the flags behave differently for the two defects that the composite weights lightly or dilutes. For planted contradictions the composite scored cases much like non-contradiction cases (AUC 0.54 in the primary draw; median 0.50, 5th to 95th percentile 0.45 to 0.55 over 200 replicates), because a fully contradicted case loses at most 0.10 and its other components are intact. The review rule ERA below 0.70 caught none of the 15, whereas the CP flag caught all 15 with no false positives. For planted missing evidence the composite performed better (AUC 0.92; replicate median 0.90, 0.80 to 0.96), but the EC flag had higher recall (1.00 versus 0.60) at lower precision, because planted mixed cases also fall below 0.70 coverage. Planted weak and ai_human_agree_wrong cases were separated from aligned and strong cases by the composite (AUC 1.00 and 0.999; replicate medians 1.00 and 0.99). In the ai_human_agree_wrong cases the mean AI-to-manager gap was 0.05 while the mean gap to the benchmark was 1.66, so agreement between AI and manager coexists with low CA, as designed.</w:t>
      </w:r>
    </w:p>
    <w:tbl>
      <w:tblPr>
        <w:tblStyle w:val="TableGrid"/>
        <w:tblW w:w="0" w:type="auto"/>
        <w:tblLayout w:type="fixed"/>
        <w:tblLook w:val="04A0" w:firstRow="1" w:lastRow="0" w:firstColumn="0" w:lastColumn="0" w:noHBand="0" w:noVBand="1"/>
      </w:tblPr>
      <w:tblGrid>
        <w:gridCol w:w="3309"/>
        <w:gridCol w:w="1079"/>
        <w:gridCol w:w="1675"/>
        <w:gridCol w:w="1817"/>
        <w:gridCol w:w="1478"/>
      </w:tblGrid>
      <w:tr>
        <w:trPr>
          <w:tblHeader/>
        </w:trPr>
        <w:tc>
          <w:tcPr>
            <w:tcW w:w="3309" w:type="dxa"/>
            <w:shd w:val="clear" w:color="auto" w:fill="F2F2F2"/>
          </w:tcPr>
          <w:p>
            <w:pPr/>
            <w:r>
              <w:t>Planted defect (n)</w:t>
            </w:r>
          </w:p>
        </w:tc>
        <w:tc>
          <w:tcPr>
            <w:tcW w:w="1079" w:type="dxa"/>
            <w:shd w:val="clear" w:color="auto" w:fill="F2F2F2"/>
          </w:tcPr>
          <w:p>
            <w:pPr/>
            <w:r>
              <w:t>Rule</w:t>
            </w:r>
          </w:p>
        </w:tc>
        <w:tc>
          <w:tcPr>
            <w:tcW w:w="1675" w:type="dxa"/>
            <w:shd w:val="clear" w:color="auto" w:fill="F2F2F2"/>
          </w:tcPr>
          <w:p>
            <w:pPr/>
            <w:r>
              <w:t>Recall</w:t>
            </w:r>
          </w:p>
        </w:tc>
        <w:tc>
          <w:tcPr>
            <w:tcW w:w="1817" w:type="dxa"/>
            <w:shd w:val="clear" w:color="auto" w:fill="F2F2F2"/>
          </w:tcPr>
          <w:p>
            <w:pPr/>
            <w:r>
              <w:t>False-positive rate</w:t>
            </w:r>
          </w:p>
        </w:tc>
        <w:tc>
          <w:tcPr>
            <w:tcW w:w="1478" w:type="dxa"/>
            <w:shd w:val="clear" w:color="auto" w:fill="F2F2F2"/>
          </w:tcPr>
          <w:p>
            <w:pPr/>
            <w:r>
              <w:t>Precision</w:t>
            </w:r>
          </w:p>
        </w:tc>
      </w:tr>
      <w:tr>
        <w:tc>
          <w:tcPr>
            <w:tcW w:w="3309" w:type="dxa"/>
          </w:tcPr>
          <w:p>
            <w:pPr/>
            <w:r>
              <w:t>contradiction (15)</w:t>
            </w:r>
          </w:p>
        </w:tc>
        <w:tc>
          <w:tcPr>
            <w:tcW w:w="1079" w:type="dxa"/>
          </w:tcPr>
          <w:p>
            <w:pPr/>
            <w:r>
              <w:t>CP &gt; 0.50 flag</w:t>
            </w:r>
          </w:p>
        </w:tc>
        <w:tc>
          <w:tcPr>
            <w:tcW w:w="1675" w:type="dxa"/>
          </w:tcPr>
          <w:p>
            <w:pPr/>
            <w:r>
              <w:t>1.00</w:t>
            </w:r>
          </w:p>
        </w:tc>
        <w:tc>
          <w:tcPr>
            <w:tcW w:w="1817" w:type="dxa"/>
          </w:tcPr>
          <w:p>
            <w:pPr/>
            <w:r>
              <w:t>0.000</w:t>
            </w:r>
          </w:p>
        </w:tc>
        <w:tc>
          <w:tcPr>
            <w:tcW w:w="1478" w:type="dxa"/>
          </w:tcPr>
          <w:p>
            <w:pPr/>
            <w:r>
              <w:t>1.00</w:t>
            </w:r>
          </w:p>
        </w:tc>
      </w:tr>
      <w:tr>
        <w:tc>
          <w:tcPr>
            <w:tcW w:w="3309" w:type="dxa"/>
          </w:tcPr>
          <w:p>
            <w:pPr/>
            <w:r>
              <w:t>contradiction (15)</w:t>
            </w:r>
          </w:p>
        </w:tc>
        <w:tc>
          <w:tcPr>
            <w:tcW w:w="1079" w:type="dxa"/>
          </w:tcPr>
          <w:p>
            <w:pPr/>
            <w:r>
              <w:t>ERA &lt; 0.70</w:t>
            </w:r>
          </w:p>
        </w:tc>
        <w:tc>
          <w:tcPr>
            <w:tcW w:w="1675" w:type="dxa"/>
          </w:tcPr>
          <w:p>
            <w:pPr/>
            <w:r>
              <w:t>0.00</w:t>
            </w:r>
          </w:p>
        </w:tc>
        <w:tc>
          <w:tcPr>
            <w:tcW w:w="1817" w:type="dxa"/>
          </w:tcPr>
          <w:p>
            <w:pPr/>
            <w:r>
              <w:t>0.106</w:t>
            </w:r>
          </w:p>
        </w:tc>
        <w:tc>
          <w:tcPr>
            <w:tcW w:w="1478" w:type="dxa"/>
          </w:tcPr>
          <w:p>
            <w:pPr/>
            <w:r>
              <w:t>0.00</w:t>
            </w:r>
          </w:p>
        </w:tc>
      </w:tr>
      <w:tr>
        <w:tc>
          <w:tcPr>
            <w:tcW w:w="3309" w:type="dxa"/>
          </w:tcPr>
          <w:p>
            <w:pPr/>
            <w:r>
              <w:t>missing (5)</w:t>
            </w:r>
          </w:p>
        </w:tc>
        <w:tc>
          <w:tcPr>
            <w:tcW w:w="1079" w:type="dxa"/>
          </w:tcPr>
          <w:p>
            <w:pPr/>
            <w:r>
              <w:t>EC &lt; 0.70 flag</w:t>
            </w:r>
          </w:p>
        </w:tc>
        <w:tc>
          <w:tcPr>
            <w:tcW w:w="1675" w:type="dxa"/>
          </w:tcPr>
          <w:p>
            <w:pPr/>
            <w:r>
              <w:t>1.00</w:t>
            </w:r>
          </w:p>
        </w:tc>
        <w:tc>
          <w:tcPr>
            <w:tcW w:w="1817" w:type="dxa"/>
          </w:tcPr>
          <w:p>
            <w:pPr/>
            <w:r>
              <w:t>0.074</w:t>
            </w:r>
          </w:p>
        </w:tc>
        <w:tc>
          <w:tcPr>
            <w:tcW w:w="1478" w:type="dxa"/>
          </w:tcPr>
          <w:p>
            <w:pPr/>
            <w:r>
              <w:t>0.42</w:t>
            </w:r>
          </w:p>
        </w:tc>
      </w:tr>
      <w:tr>
        <w:tc>
          <w:tcPr>
            <w:tcW w:w="3309" w:type="dxa"/>
          </w:tcPr>
          <w:p>
            <w:pPr/>
            <w:r>
              <w:t>missing (5)</w:t>
            </w:r>
          </w:p>
        </w:tc>
        <w:tc>
          <w:tcPr>
            <w:tcW w:w="1079" w:type="dxa"/>
          </w:tcPr>
          <w:p>
            <w:pPr/>
            <w:r>
              <w:t>ERA &lt; 0.70</w:t>
            </w:r>
          </w:p>
        </w:tc>
        <w:tc>
          <w:tcPr>
            <w:tcW w:w="1675" w:type="dxa"/>
          </w:tcPr>
          <w:p>
            <w:pPr/>
            <w:r>
              <w:t>0.60</w:t>
            </w:r>
          </w:p>
        </w:tc>
        <w:tc>
          <w:tcPr>
            <w:tcW w:w="1817" w:type="dxa"/>
          </w:tcPr>
          <w:p>
            <w:pPr/>
            <w:r>
              <w:t>0.063</w:t>
            </w:r>
          </w:p>
        </w:tc>
        <w:tc>
          <w:tcPr>
            <w:tcW w:w="1478" w:type="dxa"/>
          </w:tcPr>
          <w:p>
            <w:pPr/>
            <w:r>
              <w:t>0.33</w:t>
            </w:r>
          </w:p>
        </w:tc>
      </w:tr>
    </w:tbl>
    <w:p>
      <w:pPr/>
      <w:r>
        <w:t>These outcomes follow from the generator rules and the 0.10 contradiction weight and could be predicted from the formula; their value is as a check that the pipeline and flags behave as intended. The practical implication is that contradiction and missing evidence should be reported as flags next to ERA rather than inferred from the composite. The thresholds were fixed in advance, are not tuned, and would need calibration on annotated data.</w:t>
      </w:r>
    </w:p>
    <w:p>
      <w:pPr>
        <w:pStyle w:val="Heading2"/>
      </w:pPr>
      <w:r>
        <w:t xml:space="preserve">Discussion</w:t>
      </w:r>
    </w:p>
    <w:p>
      <w:pPr>
        <w:pStyle w:val="Heading3"/>
      </w:pPr>
      <w:r>
        <w:t xml:space="preserve">What the Current Analysis Proves</w:t>
      </w:r>
    </w:p>
    <w:p>
      <w:pPr/>
      <w:r>
        <w:t>The available data prove four restricted findings. First, the ERA equation is explicit and calculable using the provided normalized component fields. Second, the workbook has a balanced structure for ten named roles, but 500 rows of annotations are not filled and reference status is still provisional; its stored components do not reflect the designed case patterns, so it serves only as a test bed for structure and arithmetic. Third, the case ranking calculated from the synthetic components is robust to local weight perturbation but not robust to wide perturbation. Fourth, in a planted-defect check on regenerated components, the composite separated planted low-relevance, low-agreement, and rating-gap cases from aligned and strong cases but did not separate planted contradictions, which a simple CP flag detected; this describes how the formula behaves under a construction chosen by the authors, not behaviour on real data. These findings are reproducible through the workbook and scripts in the reproducibility package.</w:t>
      </w:r>
    </w:p>
    <w:p>
      <w:pPr>
        <w:pStyle w:val="Heading3"/>
      </w:pPr>
      <w:r>
        <w:t xml:space="preserve">What It Does Not Prove</w:t>
      </w:r>
    </w:p>
    <w:p>
      <w:pPr/>
      <w:r>
        <w:t>The analysis does not prove the following facts. First, ERA finds correct ratings for the employee performance, an AI algorithm creates the illustrative ratings, and the human raters agree with the benchmark. Second, the illustrative_ai_rating field in the workbook is not supported by a model identifier, a model prompt, a run log, or raw model output, so it can only be considered an illustrative synthetic field but not a reproducible result of an AI algorithm. Third, the synthetic reference scores are not independent human ground truth. Fourth, there is no result for the inter-rater reliability, explanation faithfulness, fairness, reviewer usefulness, and organizational deployment. Fifth, the planted-defect results do not show that ERA detects contradiction, missing evidence, or inflated agreement in real data, because the defects were generated by rules chosen by the authors and the check is circular.</w:t>
      </w:r>
    </w:p>
    <w:p>
      <w:pPr>
        <w:pStyle w:val="Heading3"/>
      </w:pPr>
      <w:r>
        <w:t xml:space="preserve">Implications for Design of HRMS</w:t>
      </w:r>
    </w:p>
    <w:p>
      <w:pPr/>
      <w:r>
        <w:t>The concept of ERA should be seen as a candidate audit layer, where coverage, relevance, agreement, contradiction, and traceability become explicit. In an HRMS, visibility of the component level can assist the auditor to explain why the composite score is high or low, but the score should never hide an unexplained component and an important contradiction. The system should display the component profile and the corresponding evidence, offer the option of abstention when the evidence is insufficient, and keep the contest path. This is a design implication, not a claim that such benefits have been shown. The planted-defect check supports one concrete design choice: because the 0.10 contradiction weight lets a fully contradicted case lose at most 0.10, an HRMS should report contradiction and low-coverage flags (for example CP above a threshold and EC below a threshold) next to ERA and should not rely on the composite to surface them. Thresholds would need calibration on annotated data. Gating the composite, that is capping ERA when a flag fires, is an alternative that is not evaluated here.</w:t>
      </w:r>
    </w:p>
    <w:p>
      <w:pPr>
        <w:pStyle w:val="Heading3"/>
      </w:pPr>
      <w:r>
        <w:t xml:space="preserve">Research Questions</w:t>
      </w:r>
    </w:p>
    <w:p>
      <w:pPr/>
      <w:r>
        <w:t>RQ1 (operationalization) is answered at the level of specification and arithmetic-audit. RQ2 (the reaction of the system to controlled modifications of the evidence) is addressed only by the circular planted-defect check on regenerated synthetic components: the composite and flags react as the generator rules and weights imply, which is not evidence of detection performance on real data. RQ3 (incremental benefit over simple baselines) remains open because of lack of an independent outcome. RQ4 (sensitivity to weights) is answered only by means of a mathematical sensitivity analysis of synthetic components. RQ5 (reliability, usefulness, fairness, and external validity) remains beyond the evidence at hand. These boundaries are part of the output, not a request that the current paper be supplemented with invented data.</w:t>
      </w:r>
    </w:p>
    <w:p>
      <w:pPr>
        <w:pStyle w:val="Heading2"/>
      </w:pPr>
      <w:r>
        <w:t xml:space="preserve">Validity, Ethics, and Limitations</w:t>
      </w:r>
    </w:p>
    <w:p>
      <w:pPr/>
      <w:r>
        <w:t xml:space="preserve">Validity of construct has not been established: components have not been tested by expert committee or independently observed outcomes. Validity of criterion has not been established because reference scores are artificial and preliminary. Evidence for an intervention effect cannot be demonstrated without reproducible condition transformations and outcomes. External validity is unknown since there are no genuine employee records and organizations involved in the experiment. Only reproducibility of formula audit and weight sensitivity analysis can be verified; the reliability of human annotation has not been estimated.</w:t>
      </w:r>
    </w:p>
    <w:p>
      <w:pPr/>
      <w:r>
        <w:t>The 100 artificial cases based on 10 professions have frequency distribution of patterns pre-designed, not estimated. All 500 core annotation entries are empty. Rating-like strings were limited to a maximum of 5 (for example, 11/5 became 5/5) in the quality-corrected workbook, in 49 corrections across 37 cases; its correction log contains changes and raw strings. It increases scale consistency but not content validity. The illustrated rating field does not have documented source of model used; sensitivity depends on selected distributions and artificial inputs. The component values of the original workbook were not generated to reflect its designed case patterns, so its stored composite does not separate them. The regenerated components follow the patterns by construction, so the planted-defect check is circular, relies on analyst-chosen ranges and thresholds, and says nothing about real-data prevalence, noise, or detection performance.</w:t>
      </w:r>
    </w:p>
    <w:p>
      <w:pPr/>
      <w:r>
        <w:t xml:space="preserve">There were no employee records, personally identifying information, data of human subjects, or any LLM/API calls with real data in the current computational audit. It is not claimed here that any institution ethics approval or exemption has been attained. Should there be any further research conducted in future with human subjects or actual employees' data, it will be subjected to necessary institutional and legal requirements for review, minimization of data, controls of access, storage and governance. ERA should not automatically decide on employment status.</w:t>
      </w:r>
    </w:p>
    <w:p>
      <w:pPr>
        <w:pStyle w:val="Heading2"/>
      </w:pPr>
      <w:r>
        <w:t xml:space="preserve">Conclusion</w:t>
      </w:r>
    </w:p>
    <w:p>
      <w:pPr/>
      <w:r>
        <w:t>In this paper, Evidence-Rating Alignment (ERA) was introduced as a proposed measurement layer to audit employee-performance ratings on the presence of criterion-relevant evidence. Five normalized components, coverage, relevance, criterion agreement, traceability, and contradiction penalty, were introduced and ways for their inclusion in an auditable HRMS workflow were outlined. An audit of the current 100-case synthetic workbook demonstrated 100 unique cases in 10 roles, 500 uncompleted criterion-level annotation rows, provisional benchmark status of all cases, and storage of composite values matching the equation up to a maximum absolute deviation of 0.0006. An exploratory sensitivity analysis revealed more rank stability for local rather than broad weight perturbations of the synthetic values. Because the stored components of that workbook do not reflect its designed patterns, the workbook is treated as a test bed for structure and arithmetic only. A seeded planted-defect check on regenerated components showed that the composite reacts to planted low relevance, low agreement, and rating gaps but not to planted contradictions, which threshold flags detected; this check is circular and is not validation.</w:t>
      </w:r>
    </w:p>
    <w:p>
      <w:pPr/>
      <w:r>
        <w:t xml:space="preserve">The contribution of the paper is framework specification and computational audit, not a validation of any employee performance measurement instrument. No human or LLM results are reported, and no real-world validity, fairness, and decision improvement effect are implied. This paper is complete in this context: it reports what the current artifacts can do and what they cannot do. ERA remains a research prototype and should never be used as a score for employment decisions.</w:t>
      </w:r>
    </w:p>
    <w:p>
      <w:pPr>
        <w:pStyle w:val="Heading2"/>
      </w:pPr>
      <w:r>
        <w:t xml:space="preserve">Statement of Reproducibility</w:t>
      </w:r>
    </w:p>
    <w:p>
      <w:pPr/>
      <w:r>
        <w:t>This analysis employs the available QC adjusted workbook, the ERA formula provided in the framework section, and a seed fixed script that does structural checks, calculates the composite, tests four specified weight settings, and samples 10,000 weight vectors for each of two sensitivity settings. The machine readable audit files and the script are included in the reproducibility package provided (era_reproducibility_audit.py, ERA_reproducibility_audit_summary.json, ERA_weight_sensitivity_named.csv, ERA_weight_sensitivity_monte_carlo.csv, era_planted_defects_generator.py, planted_defects_summary.json, ERA_Pilot_Dataset_100_Cases_Planted_Components.xlsx, and ERA_Pilot_Dataset_100_Cases_QC_Corrected.xlsx) available at https://github.com/diveshsinghcode/research. All calculations are based on artificial data only. The planted-defect results are regenerated with: python era_planted_defects_generator.py ERA_Pilot_Dataset_100_Cases_QC_Corrected.xlsx --seed 20261031 (200 replicate draws).</w:t>
      </w:r>
    </w:p>
    <w:p>
      <w:pPr>
        <w:pStyle w:val="Heading2"/>
      </w:pPr>
      <w:r>
        <w:t xml:space="preserve">References</w:t>
      </w:r>
    </w:p>
    <w:p>
      <w:pPr>
        <w:pStyle w:val="ListParagraph"/>
        <w:numPr>
          <w:ilvl w:val="0"/>
          <w:numId w:val="2"/>
        </w:numPr>
      </w:pPr>
      <w:r>
        <w:t xml:space="preserve">A. Bujold et al., "Responsible artificial intelligence in human resources management: A review of the empirical literature," AI and Ethics, vol. 4, pp. 1185–1200, 2024, doi: 10.1007/s43681-023-00325-1.</w:t>
      </w:r>
    </w:p>
    <w:p>
      <w:pPr>
        <w:pStyle w:val="ListParagraph"/>
        <w:numPr>
          <w:ilvl w:val="0"/>
          <w:numId w:val="2"/>
        </w:numPr>
      </w:pPr>
      <w:r>
        <w:t xml:space="preserve">A. Varma, C. Dawkins, and K. Chaudhuri, "Artificial intelligence and people management: A critical assessment through the ethical lens," Human Resource Management Review, vol. 33, no. 1, 100923, 2023, doi: 10.1016/j.hrmr.2022.100923.</w:t>
      </w:r>
    </w:p>
    <w:p>
      <w:pPr>
        <w:pStyle w:val="ListParagraph"/>
        <w:numPr>
          <w:ilvl w:val="0"/>
          <w:numId w:val="2"/>
        </w:numPr>
      </w:pPr>
      <w:r>
        <w:t xml:space="preserve">T. Miller, "Explanation in artificial intelligence: Insights from the social sciences," Artificial Intelligence, vol. 267, pp. 1–38, 2019, doi: 10.1016/j.artint.2018.07.007.</w:t>
      </w:r>
    </w:p>
    <w:p>
      <w:pPr>
        <w:pStyle w:val="ListParagraph"/>
        <w:numPr>
          <w:ilvl w:val="0"/>
          <w:numId w:val="2"/>
        </w:numPr>
      </w:pPr>
      <w:r>
        <w:t xml:space="preserve">M. T. Ribeiro, S. Singh, and C. Guestrin, "Why should I trust you? Explaining the predictions of any classifier," in Proc. KDD, 2016, pp. 1135–1144, doi: 10.1145/2939672.2939778.</w:t>
      </w:r>
    </w:p>
    <w:p>
      <w:pPr>
        <w:pStyle w:val="ListParagraph"/>
        <w:numPr>
          <w:ilvl w:val="0"/>
          <w:numId w:val="2"/>
        </w:numPr>
      </w:pPr>
      <w:r>
        <w:t xml:space="preserve">A. Köchling and M. C. Wehner, "Discriminated by an algorithm: A systematic review of discrimination and fairness by algorithmic decision-making in HR recruitment and development," Business Research, vol. 13, pp. 795–848, 2020, doi: 10.1007/s40685-020-00134-w.</w:t>
      </w:r>
    </w:p>
    <w:p>
      <w:pPr>
        <w:pStyle w:val="ListParagraph"/>
        <w:numPr>
          <w:ilvl w:val="0"/>
          <w:numId w:val="2"/>
        </w:numPr>
      </w:pPr>
      <w:r>
        <w:t xml:space="preserve">D. T. Newman, N. J. Fast, and D. J. Harmon, "When eliminating bias isn't fair: Algorithmic reductionism and procedural justice in human resource decisions," Organizational Behavior and Human Decision Processes, vol. 160, pp. 149–167, 2020, doi: 10.1016/j.obhdp.2020.03.008.</w:t>
      </w:r>
    </w:p>
    <w:p>
      <w:pPr>
        <w:pStyle w:val="ListParagraph"/>
        <w:numPr>
          <w:ilvl w:val="0"/>
          <w:numId w:val="2"/>
        </w:numPr>
      </w:pPr>
      <w:r>
        <w:t xml:space="preserve">J. Qin, Y. Jia, X. Luo, Q. V. Liao, and Z. Huang, "Perceived fairness of human managers compared with artificial intelligence in employee performance evaluation," Journal of Management Information Systems, vol. 40, no. 4, pp. 1039–1070, 2023, doi: 10.1080/07421222.2023.2267316.</w:t>
      </w:r>
    </w:p>
    <w:p>
      <w:pPr>
        <w:pStyle w:val="ListParagraph"/>
        <w:numPr>
          <w:ilvl w:val="0"/>
          <w:numId w:val="2"/>
        </w:numPr>
      </w:pPr>
      <w:r>
        <w:t xml:space="preserve">K. C. Kellogg, M. A. Valentine, and A. Christin, "Algorithms at work: The new contested terrain of control," Academy of Management Annals, vol. 14, no. 1, pp. 366–410, 2020, doi: 10.5465/annals.2018.0174.</w:t>
      </w:r>
    </w:p>
    <w:p>
      <w:pPr>
        <w:pStyle w:val="ListParagraph"/>
        <w:numPr>
          <w:ilvl w:val="0"/>
          <w:numId w:val="2"/>
        </w:numPr>
      </w:pPr>
      <w:r>
        <w:t xml:space="preserve">A. Keegan and J. Meijerink, "Algorithmic management in organizations? From edge case to center stage," Annual Review of Organizational Psychology and Organizational Behavior, vol. 12, pp. 395–422, 2025, doi: 10.1146/annurev-orgpsych-110622-070928.</w:t>
      </w:r>
    </w:p>
    <w:p>
      <w:pPr>
        <w:pStyle w:val="ListParagraph"/>
        <w:numPr>
          <w:ilvl w:val="0"/>
          <w:numId w:val="2"/>
        </w:numPr>
      </w:pPr>
      <w:r>
        <w:t xml:space="preserve">N. Li, H. Zhou, and M. Xu, "From text to insight: Leveraging large language models for performance evaluation in management," Personnel Psychology, vol. 79, no. 2, pp. 251–267, 2026, doi: 10.1111/peps.70020.</w:t>
      </w:r>
    </w:p>
    <w:p>
      <w:pPr>
        <w:pStyle w:val="ListParagraph"/>
        <w:numPr>
          <w:ilvl w:val="0"/>
          <w:numId w:val="2"/>
        </w:numPr>
      </w:pPr>
      <w:r>
        <w:t xml:space="preserve">P. Tambe, P. Cappelli, and V. Yakubovich, "Artificial intelligence in human resources management: Challenges and a path forward," California Management Review, vol. 61, no. 4, pp. 15–42, 2019, doi: 10.1177/0008125619867910.</w:t>
      </w:r>
    </w:p>
    <w:p>
      <w:pPr>
        <w:pStyle w:val="ListParagraph"/>
        <w:numPr>
          <w:ilvl w:val="0"/>
          <w:numId w:val="2"/>
        </w:numPr>
      </w:pPr>
      <w:r>
        <w:t xml:space="preserve">A. Malik, P. Budhwar, and B. A. Kazmi, "Artificial intelligence (AI)-assisted HRM: Towards an extended strategic framework," Human Resource Management Review, vol. 33, no. 1, 100940, 2023, doi: 10.1016/j.hrmr.2022.100940.</w:t>
      </w:r>
    </w:p>
    <w:p>
      <w:pPr>
        <w:pStyle w:val="ListParagraph"/>
        <w:numPr>
          <w:ilvl w:val="0"/>
          <w:numId w:val="2"/>
        </w:numPr>
      </w:pPr>
      <w:r>
        <w:t xml:space="preserve">N. Noponen et al., "Taylorism on steroids or enabling autonomy? A systematic review of algorithmic management," Management Review Quarterly, vol. 74, pp. 1695–1721, 2024, doi: 10.1007/s11301-023-00345-5.</w:t>
      </w:r>
    </w:p>
    <w:p>
      <w:pPr>
        <w:pStyle w:val="ListParagraph"/>
        <w:numPr>
          <w:ilvl w:val="0"/>
          <w:numId w:val="2"/>
        </w:numPr>
      </w:pPr>
      <w:r>
        <w:t xml:space="preserve">S. Bankins, P. Formosa, Y. Griep, and D. Richards, "AI decision making with dignity? Contrasting workers' justice perceptions of human and AI decision making in a human resource management context," Information Systems Frontiers, vol. 24, pp. 857–875, 2022, doi: 10.1007/s10796-021-10223-8.</w:t>
      </w:r>
    </w:p>
    <w:p>
      <w:pPr>
        <w:pStyle w:val="ListParagraph"/>
        <w:numPr>
          <w:ilvl w:val="0"/>
          <w:numId w:val="2"/>
        </w:numPr>
      </w:pPr>
      <w:r>
        <w:t xml:space="preserve">A. Shulner-Tal et al., "Who made that decision and why? Users' perceptions of human versus AI decision-making and the power of explainable AI," International Journal of Human–Computer Interaction, 2024, doi: 10.1080/10447318.2024.2348843.</w:t>
      </w:r>
    </w:p>
    <w:p>
      <w:pPr>
        <w:pStyle w:val="ListParagraph"/>
        <w:numPr>
          <w:ilvl w:val="0"/>
          <w:numId w:val="2"/>
        </w:numPr>
      </w:pPr>
      <w:r>
        <w:t xml:space="preserve">X. Xu, Y. Chen, and J. Dong, "Shaping the fairness journey: The roles of AI literacy, explanation, and interpersonal interaction in AI interviews," International Journal of Human-Computer Studies, vol. 205, 103629, 2025, doi: 10.1016/j.ijhcs.2025.103629.</w:t>
      </w:r>
    </w:p>
    <w:p>
      <w:pPr>
        <w:pStyle w:val="ListParagraph"/>
        <w:numPr>
          <w:ilvl w:val="0"/>
          <w:numId w:val="2"/>
        </w:numPr>
      </w:pPr>
      <w:r>
        <w:t xml:space="preserve">S. Amershi et al., "Guidelines for human-AI interaction," in Proc. CHI, 2019, doi: 10.1145/3290605.3300233.</w:t>
      </w:r>
    </w:p>
    <w:p>
      <w:pPr>
        <w:pStyle w:val="ListParagraph"/>
        <w:numPr>
          <w:ilvl w:val="0"/>
          <w:numId w:val="2"/>
        </w:numPr>
      </w:pPr>
      <w:r>
        <w:t xml:space="preserve">N. Bennett and C. L. Martin, "AI as a talent management tool: An organizational justice perspective," Business Horizons, vol. 69, no. 2, pp. 241–252, 2026, doi: 10.1016/j.bushor.2025.03.005.</w:t>
      </w:r>
    </w:p>
    <w:p>
      <w:pPr>
        <w:pStyle w:val="ListParagraph"/>
        <w:numPr>
          <w:ilvl w:val="0"/>
          <w:numId w:val="2"/>
        </w:numPr>
      </w:pPr>
      <w:r>
        <w:t xml:space="preserve">M. J. Page et al., "The PRISMA 2020 statement: an updated guideline for reporting systematic reviews," BMJ, vol. 372, n71, 2021, doi: 10.1136/bmj.n71.</w:t>
      </w:r>
    </w:p>
    <w:p>
      <w:pPr>
        <w:pStyle w:val="ListParagraph"/>
        <w:numPr>
          <w:ilvl w:val="0"/>
          <w:numId w:val="2"/>
        </w:numPr>
      </w:pPr>
      <w:r>
        <w:t xml:space="preserve">I. Kekez, L. Lauwaert, and N. Begičić Rēdep, "Is artificial intelligence (AI) research biased and conceptually vague? A systematic review of research on bias and discrimination in the context of using AI in human resource management," Technology in Society, vol. 81, 102818, 2025, doi: 10.1016/j.techsoc.2025.102818.</w:t>
      </w:r>
    </w:p>
    <w:p>
      <w:pPr>
        <w:pStyle w:val="ListParagraph"/>
        <w:numPr>
          <w:ilvl w:val="0"/>
          <w:numId w:val="2"/>
        </w:numPr>
      </w:pPr>
      <w:r>
        <w:t xml:space="preserve">OECD/European Union/European Commission Joint Research Centre, Handbook on Constructing Composite Indicators: Methodology and User Guide. Paris: OECD Publishing, 2008, doi: 10.1787/9789264043466-en.</w:t>
      </w:r>
    </w:p>
    <w:p>
      <w:pPr>
        <w:pStyle w:val="ListParagraph"/>
        <w:numPr>
          <w:ilvl w:val="0"/>
          <w:numId w:val="2"/>
        </w:numPr>
      </w:pPr>
      <w:r>
        <w:t xml:space="preserve">W. Becker, M. Saisana, P. Paruolo, and I. Vandecasteele, "Weights and importance in composite indicators: Closing the gap," Ecological Indicators, vol. 80, pp. 12–22, 2017, doi: 10.1016/j.ecolind.2017.03.056.</w:t>
      </w:r>
    </w:p>
    <w:p>
      <w:pPr>
        <w:pStyle w:val="ListParagraph"/>
        <w:numPr>
          <w:ilvl w:val="0"/>
          <w:numId w:val="2"/>
        </w:numPr>
      </w:pPr>
      <w:r>
        <w:t xml:space="preserve">R. F. Naoum, T. Szakadáti, and G. Balogh, "Artificial Intelligence (AI) in human resource management (HRM): a systematic review of its dual impact on diversity, equity, and inclusion (DEI)," Management Review Quarterly, published online 8 January 2026, doi: 10.1007/s11301-025-00580-y.</w:t>
      </w:r>
    </w:p>
    <w:p>
      <w:pPr>
        <w:pStyle w:val="ListParagraph"/>
        <w:numPr>
          <w:ilvl w:val="0"/>
          <w:numId w:val="3"/>
        </w:numPr>
      </w:pPr>
      <w:r>
        <w:t xml:space="preserve">I. D. Raji et al., "Closing the AI accountability gap: Defining an end-to-end framework for internal algorithmic auditing," in Proc. FAT*, 2020, pp. 33–44, doi: 10.1145/3351095.3372873.</w:t>
      </w:r>
    </w:p>
    <w:p>
      <w:pPr>
        <w:pStyle w:val="ListParagraph"/>
        <w:numPr>
          <w:ilvl w:val="0"/>
          <w:numId w:val="3"/>
        </w:numPr>
      </w:pPr>
      <w:r>
        <w:t xml:space="preserve">H. Rashkin et al., "Measuring attribution in natural language generation models," Computational Linguistics, vol. 49, no. 4, pp. 777–840, 2023, doi: 10.1162/coli_a_00486.</w:t>
      </w:r>
    </w:p>
    <w:p>
      <w:pPr>
        <w:pStyle w:val="ListParagraph"/>
        <w:numPr>
          <w:ilvl w:val="0"/>
          <w:numId w:val="3"/>
        </w:numPr>
      </w:pPr>
      <w:r>
        <w:t xml:space="preserve">S. Min et al., "FActScore: Fine-grained atomic evaluation of factual precision in long form text generation," in Proc. EMNLP, 2023, pp. 12076–12100, doi: 10.18653/v1/2023.emnlp-main.741.</w:t>
      </w:r>
    </w:p>
    <w:p>
      <w:pPr>
        <w:pStyle w:val="ListParagraph"/>
        <w:numPr>
          <w:ilvl w:val="0"/>
          <w:numId w:val="3"/>
        </w:numPr>
      </w:pPr>
      <w:r>
        <w:t xml:space="preserve">European Union, Regulation (EU) 2024/1689 (Artificial Intelligence Act), Annex III, Official Journal of the European Union, L, 12 July 2024.</w:t>
      </w:r>
    </w:p>
    <w:p>
      <w:pPr>
        <w:pStyle w:val="ListParagraph"/>
        <w:numPr>
          <w:ilvl w:val="0"/>
          <w:numId w:val="3"/>
        </w:numPr>
      </w:pPr>
      <w:r>
        <w:t xml:space="preserve">European Union, Regulation (EU) 2016/679 (General Data Protection Regulation), Art. 22, Official Journal of the European Union, L 119, 4 May 2016.</w:t>
      </w:r>
    </w:p>
    <w:p>
      <w:pPr>
        <w:pStyle w:val="ListParagraph"/>
        <w:numPr>
          <w:ilvl w:val="0"/>
          <w:numId w:val="3"/>
        </w:numPr>
      </w:pPr>
      <w:r>
        <w:t xml:space="preserve">E. L. Thorndike, "A constant error in psychological ratings," Journal of Applied Psychology, vol. 4, no. 1, pp. 25–29, 1920, doi: 10.1037/h0071663.</w:t>
      </w:r>
    </w:p>
    <w:p>
      <w:pPr>
        <w:pStyle w:val="ListParagraph"/>
        <w:numPr>
          <w:ilvl w:val="0"/>
          <w:numId w:val="3"/>
        </w:numPr>
      </w:pPr>
      <w:r>
        <w:t xml:space="preserve">P. C. Smith and L. M. Kendall, "Retranslation of expectations: An approach to the construction of unambiguous anchors for rating scales," Journal of Applied Psychology, vol. 47, no. 2, pp. 149–155, 1963.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24"/>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Evidence–Rating Alignment for HRMS Performance Evaluation</dc:title>
  <dc:description>Claude Docs node/abfd0792-ce9d@51 docx-w7</dc:description>
  <cp:revision>51</cp:revision>
</cp:coreProperties>
</file>