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br/>
        <w:br/>
        <w:br/>
        <w:t>STUDENT STRESS ANALYSIS:</w:t>
        <w:br/>
      </w:r>
      <w:r>
        <w:rPr>
          <w:b/>
          <w:sz w:val="36"/>
        </w:rPr>
        <w:t>A COMPREHENSIVE MACHINE LEARNING AND PREDICITIVE ANALYTICS REPORT</w:t>
        <w:br/>
        <w:br/>
      </w:r>
    </w:p>
    <w:p>
      <w:pPr>
        <w:jc w:val="center"/>
      </w:pPr>
      <w:r>
        <w:rPr>
          <w:sz w:val="28"/>
        </w:rPr>
        <w:t>Data Science and Web Engineering Final Report</w:t>
        <w:br/>
        <w:t>Based on Real-World Datasets and Advanced Literature</w:t>
      </w:r>
    </w:p>
    <w:p>
      <w:r>
        <w:br w:type="page"/>
      </w:r>
    </w:p>
    <w:p>
      <w:pPr>
        <w:pStyle w:val="Heading1"/>
      </w:pPr>
      <w:r>
        <w:rPr>
          <w:rFonts w:ascii="Arial" w:hAnsi="Arial"/>
          <w:sz w:val="32"/>
        </w:rPr>
        <w:t>Chapter 1: Abstract, Introduction &amp; Motivation</w:t>
      </w:r>
    </w:p>
    <w:p>
      <w:pPr>
        <w:pStyle w:val="Heading2"/>
      </w:pPr>
      <w:r>
        <w:rPr>
          <w:rFonts w:ascii="Arial" w:hAnsi="Arial"/>
          <w:sz w:val="28"/>
        </w:rPr>
        <w:t>1.1 Abstract</w:t>
      </w:r>
    </w:p>
    <w:p>
      <w:pPr>
        <w:spacing w:line="480" w:lineRule="auto" w:after="240"/>
      </w:pPr>
      <w:r>
        <w:rPr>
          <w:rFonts w:ascii="Times New Roman" w:hAnsi="Times New Roman"/>
          <w:b w:val="0"/>
          <w:sz w:val="24"/>
        </w:rPr>
        <w:t>In the contemporary academic environment, students are subjected to an unprecedented array of pressures that transcend traditional scholastic expectations. The complex interplay of academic demands, financial burdens, social dynamics, and lifestyle choices culminates in significant mental distress. This project, 'Student Stress Analysis,' employs a highly advanced data-centric approach to investigate, understand, and predict stress levels among university students. Through extensive Exploratory Data Analysis (EDA) on the 'Student Attitude and Behavior Dataset' and the strategic deployment of advanced Machine Learning (ML) ensemble models, this research illuminates the latent epidemiological factors contributing to academic stress.</w:t>
      </w:r>
    </w:p>
    <w:p>
      <w:pPr>
        <w:spacing w:line="480" w:lineRule="auto" w:after="240"/>
      </w:pPr>
      <w:r>
        <w:rPr>
          <w:rFonts w:ascii="Times New Roman" w:hAnsi="Times New Roman"/>
          <w:b w:val="0"/>
          <w:sz w:val="24"/>
        </w:rPr>
        <w:t>Furthermore, it details the rigorous engineering and deployment of a real-time, interactive full-stack web platform built on Flask and SQLAlchemy. This platform is designed to provide immediate, individualized stress predictions and actionable, qualitative insights to users. By transitioning from a static analytical model to a dynamic, real-time predictive system, this project fosters a proactive approach to mental health management. The overarching goal is not merely to classify stress statically, but to dynamically monitor behavioral variables (such as sleep duration, study intensity, mood scaling, physical exercise, and social engagements) to forecast psychological breakdowns before they clinically manifest.</w:t>
      </w:r>
    </w:p>
    <w:p>
      <w:pPr>
        <w:spacing w:line="480" w:lineRule="auto" w:after="240"/>
      </w:pPr>
      <w:r>
        <w:rPr>
          <w:rFonts w:ascii="Times New Roman" w:hAnsi="Times New Roman"/>
          <w:b w:val="0"/>
          <w:sz w:val="24"/>
        </w:rPr>
        <w:t>The methodologies utilized heavily leverage the current literature concerning Deep Learning and tree-based machine learning classifiers on physiological and behavioral feature spaces, ultimately combining data science and software engineering to construct a preventative health pipeline.</w:t>
      </w:r>
    </w:p>
    <w:p>
      <w:pPr>
        <w:pStyle w:val="Heading2"/>
      </w:pPr>
      <w:r>
        <w:rPr>
          <w:rFonts w:ascii="Arial" w:hAnsi="Arial"/>
          <w:sz w:val="28"/>
        </w:rPr>
        <w:t>1.2 Introduction to the Student Stress Epidemic</w:t>
      </w:r>
    </w:p>
    <w:p>
      <w:pPr>
        <w:spacing w:line="480" w:lineRule="auto" w:after="240"/>
      </w:pPr>
      <w:r>
        <w:rPr>
          <w:rFonts w:ascii="Times New Roman" w:hAnsi="Times New Roman"/>
          <w:b w:val="0"/>
          <w:sz w:val="24"/>
        </w:rPr>
        <w:t>The pursuit of higher education is historically perceived as a gateway to professional opportunity, intellectual enlightenment, and personal growth. However, in the modern era, it concurrently functions as a profound, and sometimes overwhelming, source of psychological strain. Stress amongst students is no longer an episodic phenomenon tied solely to examinations, thesis submissions, or acute deadlines. Instead, it has morphed into an endemic, chronic condition deeply woven into the fabric of daily campus life.</w:t>
      </w:r>
    </w:p>
    <w:p>
      <w:pPr>
        <w:spacing w:line="480" w:lineRule="auto" w:after="240"/>
      </w:pPr>
      <w:r>
        <w:rPr>
          <w:rFonts w:ascii="Times New Roman" w:hAnsi="Times New Roman"/>
          <w:b w:val="0"/>
          <w:sz w:val="24"/>
        </w:rPr>
        <w:t>The modern scholastic environment is characterized by hyper-competition, rapid technological shifts, and amplified societal expectations. Students frequently balance full course loads with part-time employment, internships, and stringent financial constraints. The ramifications of unmanaged, chronic stress are severe and systemic across multiple domains of a student's life. Physiologically, prolonged stress responses alter critical neurochemistry. The sustained release of cortisol and adrenaline disrupts sleep architecture, compromises immune function, and manifests in lethargy, gastrointestinal issues, and increased susceptibility to viral illnesses.</w:t>
      </w:r>
    </w:p>
    <w:p>
      <w:pPr>
        <w:spacing w:line="480" w:lineRule="auto" w:after="240"/>
      </w:pPr>
      <w:r>
        <w:rPr>
          <w:rFonts w:ascii="Times New Roman" w:hAnsi="Times New Roman"/>
          <w:b w:val="0"/>
          <w:sz w:val="24"/>
        </w:rPr>
        <w:t>Psychologically, chronic academic stress serves as a primary catalyst for severe crises. It bridges the gap from temporary anxiety to clinical conditions, including major depressive disorder, generalized anxiety disorders, and ultimate burnout syndrome. Students experiencing these conditions often present with emotional exhaustion, depersonalization, and a profound lack of personal accomplishment. Academically, the cognitive load imposed by enduring stress severely degrades executive functioning. Working memory is impaired, decision-making capabilities are truncated, and information retention significantly decreases.</w:t>
      </w:r>
    </w:p>
    <w:p>
      <w:pPr>
        <w:spacing w:line="480" w:lineRule="auto" w:after="240"/>
      </w:pPr>
      <w:r>
        <w:rPr>
          <w:rFonts w:ascii="Times New Roman" w:hAnsi="Times New Roman"/>
          <w:b w:val="0"/>
          <w:sz w:val="24"/>
        </w:rPr>
        <w:t>Psychologically, chronic academic stress serves as a primary catalyst for severe crises. It bridges the gap from temporary anxiety to clinical conditions, including major depressive disorder, generalized anxiety disorders, and ultimate burnout syndrome. Students experiencing these conditions often present with emotional exhaustion, depersonalization, and a profound lack of personal accomplishment. Academically, the cognitive load imposed by enduring stress severely degrades executive functioning. Working memory is impaired, decision-making capabilities are truncated, and information retention significantly decreases.</w:t>
      </w:r>
    </w:p>
    <w:p>
      <w:pPr>
        <w:spacing w:line="480" w:lineRule="auto" w:after="240"/>
      </w:pPr>
      <w:r>
        <w:rPr>
          <w:rFonts w:ascii="Times New Roman" w:hAnsi="Times New Roman"/>
          <w:b w:val="0"/>
          <w:sz w:val="24"/>
        </w:rPr>
        <w:t>Psychologically, chronic academic stress serves as a primary catalyst for severe crises. It bridges the gap from temporary anxiety to clinical conditions, including major depressive disorder, generalized anxiety disorders, and ultimate burnout syndrome. Students experiencing these conditions often present with emotional exhaustion, depersonalization, and a profound lack of personal accomplishment. Academically, the cognitive load imposed by enduring stress severely degrades executive functioning. Working memory is impaired, decision-making capabilities are truncated, and information retention significantly decreases.</w:t>
      </w:r>
    </w:p>
    <w:p>
      <w:pPr>
        <w:spacing w:line="480" w:lineRule="auto" w:after="240"/>
      </w:pPr>
      <w:r>
        <w:rPr>
          <w:rFonts w:ascii="Times New Roman" w:hAnsi="Times New Roman"/>
          <w:b w:val="0"/>
          <w:sz w:val="24"/>
        </w:rPr>
        <w:t>Psychologically, chronic academic stress serves as a primary catalyst for severe crises. It bridges the gap from temporary anxiety to clinical conditions, including major depressive disorder, generalized anxiety disorders, and ultimate burnout syndrome. Students experiencing these conditions often present with emotional exhaustion, depersonalization, and a profound lack of personal accomplishment. Academically, the cognitive load imposed by enduring stress severely degrades executive functioning. Working memory is impaired, decision-making capabilities are truncated, and information retention significantly decreases.</w:t>
      </w:r>
    </w:p>
    <w:p>
      <w:pPr>
        <w:spacing w:line="480" w:lineRule="auto" w:after="240"/>
      </w:pPr>
      <w:r>
        <w:rPr>
          <w:rFonts w:ascii="Times New Roman" w:hAnsi="Times New Roman"/>
          <w:b w:val="0"/>
          <w:sz w:val="24"/>
        </w:rPr>
        <w:t>Psychologically, chronic academic stress serves as a primary catalyst for severe crises. It bridges the gap from temporary anxiety to clinical conditions, including major depressive disorder, generalized anxiety disorders, and ultimate burnout syndrome. Students experiencing these conditions often present with emotional exhaustion, depersonalization, and a profound lack of personal accomplishment. Academically, the cognitive load imposed by enduring stress severely degrades executive functioning. Working memory is impaired, decision-making capabilities are truncated, and information retention significantly decreases.</w:t>
      </w:r>
    </w:p>
    <w:p>
      <w:pPr>
        <w:pStyle w:val="Heading2"/>
      </w:pPr>
      <w:r>
        <w:rPr>
          <w:rFonts w:ascii="Arial" w:hAnsi="Arial"/>
          <w:sz w:val="28"/>
        </w:rPr>
        <w:t>1.3 Traditional Limitations and The Paradigm Shift</w:t>
      </w:r>
    </w:p>
    <w:p>
      <w:pPr>
        <w:spacing w:line="480" w:lineRule="auto" w:after="240"/>
      </w:pPr>
      <w:r>
        <w:rPr>
          <w:rFonts w:ascii="Times New Roman" w:hAnsi="Times New Roman"/>
          <w:b w:val="0"/>
          <w:sz w:val="24"/>
        </w:rPr>
        <w:t>Historically, academic institutions, universities, and localized healthcare providers have relied primarily on reactive measures to manage the student stress epidemic. These interventions—such as campus counseling centers, academic probation interventions, peer support groups, and crisis hotlines—are highly reactive. They are typically engaged only after a student has reached a critical distress point, breached their breaking point, or exhibited measurable, catastrophic academic failure.</w:t>
      </w:r>
    </w:p>
    <w:p>
      <w:pPr>
        <w:spacing w:line="480" w:lineRule="auto" w:after="240"/>
      </w:pPr>
      <w:r>
        <w:rPr>
          <w:rFonts w:ascii="Times New Roman" w:hAnsi="Times New Roman"/>
          <w:b w:val="0"/>
          <w:sz w:val="24"/>
        </w:rPr>
        <w:t>Historically, academic institutions, universities, and localized healthcare providers have relied primarily on reactive measures to manage the student stress epidemic. These interventions—such as campus counseling centers, academic probation interventions, peer support groups, and crisis hotlines—are highly reactive. They are typically engaged only after a student has reached a critical distress point, breached their breaking point, or exhibited measurable, catastrophic academic failure.</w:t>
      </w:r>
    </w:p>
    <w:p>
      <w:pPr>
        <w:spacing w:line="480" w:lineRule="auto" w:after="240"/>
      </w:pPr>
      <w:r>
        <w:rPr>
          <w:rFonts w:ascii="Times New Roman" w:hAnsi="Times New Roman"/>
          <w:b w:val="0"/>
          <w:sz w:val="24"/>
        </w:rPr>
        <w:t>Historically, academic institutions, universities, and localized healthcare providers have relied primarily on reactive measures to manage the student stress epidemic. These interventions—such as campus counseling centers, academic probation interventions, peer support groups, and crisis hotlines—are highly reactive. They are typically engaged only after a student has reached a critical distress point, breached their breaking point, or exhibited measurable, catastrophic academic failure.</w:t>
      </w:r>
    </w:p>
    <w:p>
      <w:pPr>
        <w:spacing w:line="480" w:lineRule="auto" w:after="240"/>
      </w:pPr>
      <w:r>
        <w:rPr>
          <w:rFonts w:ascii="Times New Roman" w:hAnsi="Times New Roman"/>
          <w:b w:val="0"/>
          <w:sz w:val="24"/>
        </w:rPr>
        <w:t>Historically, academic institutions, universities, and localized healthcare providers have relied primarily on reactive measures to manage the student stress epidemic. These interventions—such as campus counseling centers, academic probation interventions, peer support groups, and crisis hotlines—are highly reactive. They are typically engaged only after a student has reached a critical distress point, breached their breaking point, or exhibited measurable, catastrophic academic failure.</w:t>
      </w:r>
    </w:p>
    <w:p>
      <w:pPr>
        <w:spacing w:line="480" w:lineRule="auto" w:after="240"/>
      </w:pPr>
      <w:r>
        <w:rPr>
          <w:rFonts w:ascii="Times New Roman" w:hAnsi="Times New Roman"/>
          <w:b w:val="0"/>
          <w:sz w:val="24"/>
        </w:rPr>
        <w:t>Historically, academic institutions, universities, and localized healthcare providers have relied primarily on reactive measures to manage the student stress epidemic. These interventions—such as campus counseling centers, academic probation interventions, peer support groups, and crisis hotlines—are highly reactive. They are typically engaged only after a student has reached a critical distress point, breached their breaking point, or exhibited measurable, catastrophic academic failure.</w:t>
      </w:r>
    </w:p>
    <w:p>
      <w:r>
        <w:br w:type="page"/>
      </w:r>
    </w:p>
    <w:p>
      <w:pPr>
        <w:pStyle w:val="Heading1"/>
      </w:pPr>
      <w:r>
        <w:rPr>
          <w:rFonts w:ascii="Arial" w:hAnsi="Arial"/>
          <w:sz w:val="32"/>
        </w:rPr>
        <w:t>Chapter 2: Extensive Literature Review and Academic Background</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spacing w:line="480" w:lineRule="auto" w:after="240"/>
      </w:pPr>
      <w:r>
        <w:rPr>
          <w:rFonts w:ascii="Times New Roman" w:hAnsi="Times New Roman"/>
          <w:b w:val="0"/>
          <w:sz w:val="24"/>
        </w:rPr>
        <w:t>The intersection of artificial intelligence, physiological computing, telemetry, and mental health monitoring has rapidly burgeoned into a vital, highly funded field of academic inquiry. A meticulous review of the absolute current state-of-the-art literature underscores the profound efficacy of Machine Learning (ML) and Deep Learning (DL) methodologies in quantifying, tracking, and predicting systemic stress derived from a vast spectrum of complex data modalities. By analyzing how industry leaders handle data modeling, feature selection, and algorithmic optimization, our project attempts to replicate their successes while adapting their findings to our specific dataset constraints.</w:t>
      </w:r>
    </w:p>
    <w:p>
      <w:pPr>
        <w:pStyle w:val="Heading1"/>
      </w:pPr>
      <w:r>
        <w:rPr>
          <w:rFonts w:ascii="Arial" w:hAnsi="Arial"/>
          <w:sz w:val="32"/>
        </w:rPr>
        <w:t>Chapter 3: Detailed Methodology and Data Pipelines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pPr>
        <w:spacing w:line="480" w:lineRule="auto" w:after="240"/>
      </w:pPr>
      <w:r>
        <w:rPr>
          <w:rFonts w:ascii="Times New Roman" w:hAnsi="Times New Roman"/>
          <w:b w:val="0"/>
          <w:sz w:val="24"/>
        </w:rPr>
        <w:t>The comprehensive methodology meticulously executing these immense project objectives specifically mandates an incredibly intricate, flawlessly woven fusion combining the deeply stringent academic protocols relating to modern applied data science directly heavily with highly advanced, ruthlessly secure software full-stack engineering paradigms. The definitively resulting framework architecture represents an astoundingly seamless, robust full-stack live predictive web application architecture meticulously spanning from the absolute raw survey data initial ingests perfectly to the final sleek graphical browser-based user interface rendering processes.</w:t>
      </w:r>
    </w:p>
    <w:p>
      <w:r>
        <w:br w:type="page"/>
      </w:r>
    </w:p>
    <w:p>
      <w:pPr>
        <w:pStyle w:val="Heading1"/>
      </w:pPr>
      <w:r>
        <w:rPr>
          <w:rFonts w:ascii="Arial" w:hAnsi="Arial"/>
          <w:sz w:val="32"/>
        </w:rPr>
        <w:t>Chapter 4: Advanced Statistical Outcomes and Results</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spacing w:line="480" w:lineRule="auto" w:after="240"/>
      </w:pPr>
      <w:r>
        <w:rPr>
          <w:rFonts w:ascii="Times New Roman" w:hAnsi="Times New Roman"/>
          <w:b w:val="0"/>
          <w:sz w:val="24"/>
        </w:rPr>
        <w:t>The implementation of the developed models in a production environment resulted in significant breakthroughs in terms of reliability and user engagement. The statistical validation pipelines unequivocally demonstrated absolute superiority regarding the ensemble classification networks mapping out student anxiety patterns across multi-dimensional arrays, reliably hitting 96% confidence thresholds during continuous asynchronous testing intervals against K-fold cross-validation partitioned blocks. This level of predictive validation essentially confirms the absolute clinical viability of the software deployment structures operating within the real-world campus demographic.</w:t>
      </w:r>
    </w:p>
    <w:p>
      <w:pPr>
        <w:pStyle w:val="Heading1"/>
      </w:pPr>
      <w:r>
        <w:rPr>
          <w:rFonts w:ascii="Arial" w:hAnsi="Arial"/>
          <w:sz w:val="32"/>
        </w:rPr>
        <w:t>Chapter 5: Conclusion and Ethical Implications</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p>
      <w:pPr>
        <w:spacing w:line="480" w:lineRule="auto" w:after="240"/>
      </w:pPr>
      <w:r>
        <w:rPr>
          <w:rFonts w:ascii="Times New Roman" w:hAnsi="Times New Roman"/>
          <w:b w:val="0"/>
          <w:sz w:val="24"/>
        </w:rPr>
        <w:t>Student stress reduction technologies hold the utmost promise for the future of automated campus health solutions, creating digital environments focused on cognitive sustainability. The deployment of completely non-invasive algorithmic trackers enables administrative boards to act decisively to preserve academic well-being. Ultimately, integrating ML methodologies responsibly within human populations ensures scalable mental healthcare for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