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67A" w:rsidRDefault="00197192">
      <w:pPr>
        <w:rPr>
          <w:sz w:val="28"/>
        </w:rPr>
      </w:pPr>
      <w:r w:rsidRPr="00197192">
        <w:rPr>
          <w:sz w:val="28"/>
        </w:rPr>
        <w:t>Location particles-</w:t>
      </w:r>
    </w:p>
    <w:p w:rsidR="00197192" w:rsidRDefault="00197192">
      <w:r>
        <w:t xml:space="preserve">Hi guys, in this video I’ll be going over further the differences in the meanings of he, </w:t>
      </w:r>
      <w:proofErr w:type="spellStart"/>
      <w:proofErr w:type="gramStart"/>
      <w:r>
        <w:t>ni</w:t>
      </w:r>
      <w:proofErr w:type="spellEnd"/>
      <w:proofErr w:type="gramEnd"/>
      <w:r>
        <w:t xml:space="preserve"> and de when it comes to describing locations.</w:t>
      </w:r>
      <w:r w:rsidR="00D01286">
        <w:t xml:space="preserve"> As well as</w:t>
      </w:r>
      <w:r w:rsidR="002D3911">
        <w:t xml:space="preserve"> further details on the use of the particle no.</w:t>
      </w:r>
    </w:p>
    <w:p w:rsidR="00197192" w:rsidRDefault="00197192" w:rsidP="00197192">
      <w:pPr>
        <w:pStyle w:val="ListParagraph"/>
        <w:numPr>
          <w:ilvl w:val="0"/>
          <w:numId w:val="1"/>
        </w:numPr>
      </w:pPr>
      <w:r>
        <w:t>The definition for how each is used is</w:t>
      </w:r>
    </w:p>
    <w:p w:rsidR="00197192" w:rsidRDefault="00197192" w:rsidP="00197192">
      <w:pPr>
        <w:pStyle w:val="ListParagraph"/>
        <w:numPr>
          <w:ilvl w:val="0"/>
          <w:numId w:val="1"/>
        </w:numPr>
      </w:pPr>
      <w:r>
        <w:t>he marks a destination</w:t>
      </w:r>
    </w:p>
    <w:p w:rsidR="00197192" w:rsidRDefault="00197192" w:rsidP="00197192">
      <w:pPr>
        <w:pStyle w:val="ListParagraph"/>
        <w:numPr>
          <w:ilvl w:val="1"/>
          <w:numId w:val="1"/>
        </w:numPr>
      </w:pPr>
      <w:r>
        <w:t>I went to school</w:t>
      </w:r>
    </w:p>
    <w:p w:rsidR="00197192" w:rsidRDefault="00197192" w:rsidP="00197192">
      <w:pPr>
        <w:pStyle w:val="ListParagraph"/>
        <w:numPr>
          <w:ilvl w:val="0"/>
          <w:numId w:val="1"/>
        </w:numPr>
      </w:pPr>
      <w:proofErr w:type="spellStart"/>
      <w:r>
        <w:t>ni</w:t>
      </w:r>
      <w:proofErr w:type="spellEnd"/>
      <w:r>
        <w:t xml:space="preserve"> marks the location where something is present or the destination</w:t>
      </w:r>
    </w:p>
    <w:p w:rsidR="00197192" w:rsidRDefault="00197192" w:rsidP="00197192">
      <w:pPr>
        <w:pStyle w:val="ListParagraph"/>
        <w:numPr>
          <w:ilvl w:val="1"/>
          <w:numId w:val="1"/>
        </w:numPr>
      </w:pPr>
      <w:r>
        <w:t>My mum is at home</w:t>
      </w:r>
    </w:p>
    <w:p w:rsidR="00197192" w:rsidRDefault="00197192" w:rsidP="00197192">
      <w:pPr>
        <w:pStyle w:val="ListParagraph"/>
        <w:numPr>
          <w:ilvl w:val="1"/>
          <w:numId w:val="1"/>
        </w:numPr>
      </w:pPr>
      <w:r>
        <w:t>I returned home</w:t>
      </w:r>
    </w:p>
    <w:p w:rsidR="00197192" w:rsidRDefault="00197192" w:rsidP="00197192">
      <w:pPr>
        <w:pStyle w:val="ListParagraph"/>
        <w:numPr>
          <w:ilvl w:val="0"/>
          <w:numId w:val="1"/>
        </w:numPr>
      </w:pPr>
      <w:r>
        <w:t>de marks the location where within which an activity takes place or the domain where a statement holds true</w:t>
      </w:r>
    </w:p>
    <w:p w:rsidR="00197192" w:rsidRDefault="00197192" w:rsidP="00197192">
      <w:pPr>
        <w:pStyle w:val="ListParagraph"/>
        <w:numPr>
          <w:ilvl w:val="1"/>
          <w:numId w:val="1"/>
        </w:numPr>
      </w:pPr>
      <w:r>
        <w:t>There are books at school</w:t>
      </w:r>
    </w:p>
    <w:p w:rsidR="00197192" w:rsidRDefault="00197192" w:rsidP="00197192">
      <w:pPr>
        <w:pStyle w:val="ListParagraph"/>
        <w:numPr>
          <w:ilvl w:val="1"/>
          <w:numId w:val="1"/>
        </w:numPr>
      </w:pPr>
      <w:r>
        <w:t>I study at school</w:t>
      </w:r>
    </w:p>
    <w:p w:rsidR="00197192" w:rsidRDefault="00197192" w:rsidP="00197192">
      <w:pPr>
        <w:pStyle w:val="ListParagraph"/>
        <w:numPr>
          <w:ilvl w:val="0"/>
          <w:numId w:val="1"/>
        </w:numPr>
      </w:pPr>
      <w:r>
        <w:t>This can be described more abstractly like this:</w:t>
      </w:r>
    </w:p>
    <w:p w:rsidR="00197192" w:rsidRDefault="00197192" w:rsidP="00197192">
      <w:pPr>
        <w:pStyle w:val="ListParagraph"/>
        <w:numPr>
          <w:ilvl w:val="0"/>
          <w:numId w:val="1"/>
        </w:numPr>
        <w:rPr>
          <w:rStyle w:val="innercontentcontainer"/>
        </w:rPr>
      </w:pPr>
      <w:r>
        <w:t xml:space="preserve">As you can see de, possibly the most confusing doesn’t mean </w:t>
      </w:r>
      <w:r w:rsidR="003922BF">
        <w:rPr>
          <w:rStyle w:val="innercontentcontainer"/>
        </w:rPr>
        <w:t>you’re</w:t>
      </w:r>
      <w:r>
        <w:rPr>
          <w:rStyle w:val="innercontentcontainer"/>
        </w:rPr>
        <w:t xml:space="preserve"> going there or anything, just something occurs there, it’s a statement</w:t>
      </w:r>
    </w:p>
    <w:p w:rsidR="00CF77B8" w:rsidRDefault="00CF77B8" w:rsidP="00197192">
      <w:pPr>
        <w:pStyle w:val="ListParagraph"/>
        <w:numPr>
          <w:ilvl w:val="0"/>
          <w:numId w:val="1"/>
        </w:numPr>
        <w:rPr>
          <w:rStyle w:val="innercontentcontainer"/>
        </w:rPr>
      </w:pPr>
      <w:r>
        <w:rPr>
          <w:rStyle w:val="innercontentcontainer"/>
        </w:rPr>
        <w:t>Kara – from</w:t>
      </w:r>
      <w:r w:rsidR="00316CFD">
        <w:rPr>
          <w:rStyle w:val="innercontentcontainer"/>
        </w:rPr>
        <w:t xml:space="preserve"> or as mentions in an earlier video marks the inception of a source </w:t>
      </w:r>
    </w:p>
    <w:p w:rsidR="00CF77B8" w:rsidRDefault="00CF77B8" w:rsidP="00CF77B8">
      <w:pPr>
        <w:pStyle w:val="ListParagraph"/>
        <w:numPr>
          <w:ilvl w:val="1"/>
          <w:numId w:val="1"/>
        </w:numPr>
        <w:rPr>
          <w:rStyle w:val="innercontentcontainer"/>
        </w:rPr>
      </w:pPr>
      <w:r>
        <w:rPr>
          <w:rStyle w:val="innercontentcontainer"/>
        </w:rPr>
        <w:t>[We came from Hiroshima]</w:t>
      </w:r>
    </w:p>
    <w:p w:rsidR="00CF77B8" w:rsidRDefault="00CF77B8" w:rsidP="00197192">
      <w:pPr>
        <w:pStyle w:val="ListParagraph"/>
        <w:numPr>
          <w:ilvl w:val="0"/>
          <w:numId w:val="1"/>
        </w:numPr>
        <w:rPr>
          <w:rStyle w:val="innercontentcontainer"/>
        </w:rPr>
      </w:pPr>
      <w:r>
        <w:rPr>
          <w:rStyle w:val="innercontentcontainer"/>
        </w:rPr>
        <w:t>Made – until</w:t>
      </w:r>
    </w:p>
    <w:p w:rsidR="00316CFD" w:rsidRDefault="00CF77B8" w:rsidP="00316CFD">
      <w:pPr>
        <w:pStyle w:val="ListParagraph"/>
        <w:numPr>
          <w:ilvl w:val="1"/>
          <w:numId w:val="1"/>
        </w:numPr>
        <w:rPr>
          <w:rStyle w:val="innercontentcontainer"/>
        </w:rPr>
      </w:pPr>
      <w:r>
        <w:rPr>
          <w:rStyle w:val="innercontentcontainer"/>
        </w:rPr>
        <w:t>[How many stations to Shibuya?]</w:t>
      </w:r>
    </w:p>
    <w:p w:rsidR="00316CFD" w:rsidRDefault="00316CFD" w:rsidP="00316CFD">
      <w:pPr>
        <w:pStyle w:val="ListParagraph"/>
        <w:numPr>
          <w:ilvl w:val="0"/>
          <w:numId w:val="1"/>
        </w:numPr>
        <w:rPr>
          <w:rStyle w:val="innercontentcontainer"/>
        </w:rPr>
      </w:pPr>
      <w:r>
        <w:rPr>
          <w:rStyle w:val="innercontentcontainer"/>
        </w:rPr>
        <w:t>Or marks the endpoint of an event which we learnt in another video</w:t>
      </w:r>
    </w:p>
    <w:p w:rsidR="00316CFD" w:rsidRDefault="00316CFD" w:rsidP="00316CFD">
      <w:pPr>
        <w:pStyle w:val="ListParagraph"/>
        <w:numPr>
          <w:ilvl w:val="0"/>
          <w:numId w:val="1"/>
        </w:numPr>
        <w:rPr>
          <w:rStyle w:val="innercontentcontainer"/>
        </w:rPr>
      </w:pPr>
      <w:r>
        <w:rPr>
          <w:rStyle w:val="innercontentcontainer"/>
        </w:rPr>
        <w:t xml:space="preserve">If you haven’t seen it or need a refresher go to the video titled </w:t>
      </w:r>
      <w:proofErr w:type="spellStart"/>
      <w:r>
        <w:rPr>
          <w:rStyle w:val="innercontentcontainer"/>
        </w:rPr>
        <w:t>tk</w:t>
      </w:r>
      <w:proofErr w:type="spellEnd"/>
      <w:r>
        <w:rPr>
          <w:rStyle w:val="innercontentcontainer"/>
        </w:rPr>
        <w:t xml:space="preserve"> in week </w:t>
      </w:r>
      <w:proofErr w:type="spellStart"/>
      <w:r>
        <w:rPr>
          <w:rStyle w:val="innercontentcontainer"/>
        </w:rPr>
        <w:t>tk</w:t>
      </w:r>
      <w:proofErr w:type="spellEnd"/>
    </w:p>
    <w:p w:rsidR="00596513" w:rsidRDefault="00596513" w:rsidP="00316CFD">
      <w:pPr>
        <w:pStyle w:val="ListParagraph"/>
        <w:numPr>
          <w:ilvl w:val="0"/>
          <w:numId w:val="1"/>
        </w:numPr>
        <w:rPr>
          <w:rStyle w:val="innercontentcontainer"/>
        </w:rPr>
      </w:pPr>
      <w:r>
        <w:rPr>
          <w:rStyle w:val="innercontentcontainer"/>
        </w:rPr>
        <w:t>Also something I didn’t mention in the particles in communication video as it was beginning to go beyond its premise as an overview, was a further explanation on the particle no</w:t>
      </w:r>
    </w:p>
    <w:p w:rsidR="00596513" w:rsidRDefault="00596513" w:rsidP="00316CFD">
      <w:pPr>
        <w:pStyle w:val="ListParagraph"/>
        <w:numPr>
          <w:ilvl w:val="0"/>
          <w:numId w:val="1"/>
        </w:numPr>
        <w:rPr>
          <w:rStyle w:val="innercontentcontainer"/>
        </w:rPr>
      </w:pPr>
      <w:r>
        <w:rPr>
          <w:rStyle w:val="innercontentcontainer"/>
        </w:rPr>
        <w:t>We can say something is the left of the left of something</w:t>
      </w:r>
    </w:p>
    <w:p w:rsidR="00596513" w:rsidRDefault="00596513" w:rsidP="00316CFD">
      <w:pPr>
        <w:pStyle w:val="ListParagraph"/>
        <w:numPr>
          <w:ilvl w:val="0"/>
          <w:numId w:val="1"/>
        </w:numPr>
        <w:rPr>
          <w:rStyle w:val="innercontentcontainer"/>
        </w:rPr>
      </w:pPr>
      <w:r>
        <w:rPr>
          <w:rStyle w:val="innercontentcontainer"/>
        </w:rPr>
        <w:t>[Who is the person on the left of the left of Mr Yamada]</w:t>
      </w:r>
    </w:p>
    <w:p w:rsidR="00596513" w:rsidRDefault="00596513" w:rsidP="00316CFD">
      <w:pPr>
        <w:pStyle w:val="ListParagraph"/>
        <w:numPr>
          <w:ilvl w:val="0"/>
          <w:numId w:val="1"/>
        </w:numPr>
        <w:rPr>
          <w:rStyle w:val="innercontentcontainer"/>
        </w:rPr>
      </w:pPr>
      <w:r>
        <w:rPr>
          <w:rStyle w:val="innercontentcontainer"/>
        </w:rPr>
        <w:t>We can also describe the position of things as we’re moving past them</w:t>
      </w:r>
    </w:p>
    <w:p w:rsidR="00596513" w:rsidRDefault="00596513" w:rsidP="00316CFD">
      <w:pPr>
        <w:pStyle w:val="ListParagraph"/>
        <w:numPr>
          <w:ilvl w:val="0"/>
          <w:numId w:val="1"/>
        </w:numPr>
        <w:rPr>
          <w:rStyle w:val="innercontentcontainer"/>
        </w:rPr>
      </w:pPr>
      <w:r>
        <w:rPr>
          <w:rStyle w:val="innercontentcontainer"/>
        </w:rPr>
        <w:t>[Before the bank]</w:t>
      </w:r>
    </w:p>
    <w:p w:rsidR="00596513" w:rsidRDefault="00596513" w:rsidP="00316CFD">
      <w:pPr>
        <w:pStyle w:val="ListParagraph"/>
        <w:numPr>
          <w:ilvl w:val="0"/>
          <w:numId w:val="1"/>
        </w:numPr>
        <w:rPr>
          <w:rStyle w:val="innercontentcontainer"/>
        </w:rPr>
      </w:pPr>
      <w:r>
        <w:rPr>
          <w:rStyle w:val="innercontentcontainer"/>
        </w:rPr>
        <w:t>[Past the bank]</w:t>
      </w:r>
    </w:p>
    <w:p w:rsidR="00596513" w:rsidRDefault="00596513" w:rsidP="00316CFD">
      <w:pPr>
        <w:pStyle w:val="ListParagraph"/>
        <w:numPr>
          <w:ilvl w:val="0"/>
          <w:numId w:val="1"/>
        </w:numPr>
        <w:rPr>
          <w:rStyle w:val="innercontentcontainer"/>
        </w:rPr>
      </w:pPr>
      <w:r>
        <w:rPr>
          <w:rStyle w:val="innercontentcontainer"/>
        </w:rPr>
        <w:t>Or use the word ‘</w:t>
      </w:r>
      <w:proofErr w:type="spellStart"/>
      <w:r>
        <w:rPr>
          <w:rStyle w:val="innercontentcontainer"/>
        </w:rPr>
        <w:t>aida</w:t>
      </w:r>
      <w:proofErr w:type="spellEnd"/>
      <w:r>
        <w:rPr>
          <w:rStyle w:val="innercontentcontainer"/>
        </w:rPr>
        <w:t>’ to say something is between two objects</w:t>
      </w:r>
    </w:p>
    <w:p w:rsidR="00596513" w:rsidRDefault="00596513" w:rsidP="00316CFD">
      <w:pPr>
        <w:pStyle w:val="ListParagraph"/>
        <w:numPr>
          <w:ilvl w:val="0"/>
          <w:numId w:val="1"/>
        </w:numPr>
        <w:rPr>
          <w:rStyle w:val="innercontentcontainer"/>
        </w:rPr>
      </w:pPr>
      <w:r>
        <w:rPr>
          <w:rStyle w:val="innercontentcontainer"/>
        </w:rPr>
        <w:t>[The book is in between the flowers and the cake]</w:t>
      </w:r>
    </w:p>
    <w:p w:rsidR="00316CFD" w:rsidRPr="001E7468" w:rsidRDefault="00316CFD" w:rsidP="00E6154F">
      <w:r>
        <w:t xml:space="preserve">And that’s a short explanation on the differences in the location particles of he, </w:t>
      </w:r>
      <w:proofErr w:type="spellStart"/>
      <w:proofErr w:type="gramStart"/>
      <w:r>
        <w:t>ni</w:t>
      </w:r>
      <w:proofErr w:type="spellEnd"/>
      <w:proofErr w:type="gramEnd"/>
      <w:r>
        <w:t xml:space="preserve"> and de.</w:t>
      </w:r>
      <w:r w:rsidR="00C347BE">
        <w:t xml:space="preserve"> As well as further details on the particle no.</w:t>
      </w:r>
      <w:bookmarkStart w:id="0" w:name="_GoBack"/>
      <w:bookmarkEnd w:id="0"/>
      <w:r>
        <w:t xml:space="preserve"> If you have any questions post it down below or sent me an email to my email address which you can find on the homepage of this course. Okay thanks guys.</w:t>
      </w:r>
    </w:p>
    <w:p w:rsidR="00316CFD" w:rsidRPr="00197192" w:rsidRDefault="00316CFD" w:rsidP="00316CFD"/>
    <w:sectPr w:rsidR="00316CFD" w:rsidRPr="00197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A28A6"/>
    <w:multiLevelType w:val="hybridMultilevel"/>
    <w:tmpl w:val="37F293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45A"/>
    <w:rsid w:val="00197192"/>
    <w:rsid w:val="0025467A"/>
    <w:rsid w:val="002D3911"/>
    <w:rsid w:val="00316CFD"/>
    <w:rsid w:val="00382916"/>
    <w:rsid w:val="003922BF"/>
    <w:rsid w:val="00596513"/>
    <w:rsid w:val="0066645A"/>
    <w:rsid w:val="00C347BE"/>
    <w:rsid w:val="00CF77B8"/>
    <w:rsid w:val="00D01286"/>
    <w:rsid w:val="00E6154F"/>
    <w:rsid w:val="00FD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916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192"/>
    <w:pPr>
      <w:ind w:left="720"/>
      <w:contextualSpacing/>
    </w:pPr>
  </w:style>
  <w:style w:type="character" w:customStyle="1" w:styleId="innercontentcontainer">
    <w:name w:val="innercontentcontainer"/>
    <w:basedOn w:val="DefaultParagraphFont"/>
    <w:rsid w:val="001971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916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192"/>
    <w:pPr>
      <w:ind w:left="720"/>
      <w:contextualSpacing/>
    </w:pPr>
  </w:style>
  <w:style w:type="character" w:customStyle="1" w:styleId="innercontentcontainer">
    <w:name w:val="innercontentcontainer"/>
    <w:basedOn w:val="DefaultParagraphFont"/>
    <w:rsid w:val="00197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274</Words>
  <Characters>1565</Characters>
  <Application>Microsoft Office Word</Application>
  <DocSecurity>0</DocSecurity>
  <Lines>13</Lines>
  <Paragraphs>3</Paragraphs>
  <ScaleCrop>false</ScaleCrop>
  <Company>HP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</dc:creator>
  <cp:keywords/>
  <dc:description/>
  <cp:lastModifiedBy>Divi</cp:lastModifiedBy>
  <cp:revision>10</cp:revision>
  <dcterms:created xsi:type="dcterms:W3CDTF">2020-09-03T17:59:00Z</dcterms:created>
  <dcterms:modified xsi:type="dcterms:W3CDTF">2020-09-03T18:18:00Z</dcterms:modified>
</cp:coreProperties>
</file>