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B46" w:rsidRPr="00612B46" w:rsidRDefault="00612B46" w:rsidP="00612B46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 xml:space="preserve">// Check the use of </w:t>
      </w:r>
      <w:r w:rsidRPr="00612B46">
        <w:rPr>
          <w:rFonts w:eastAsia="MS Mincho" w:cs="Arial"/>
          <w:szCs w:val="24"/>
        </w:rPr>
        <w:t xml:space="preserve">とか　</w:t>
      </w:r>
      <w:r w:rsidRPr="00612B46">
        <w:rPr>
          <w:rFonts w:eastAsia="Times New Roman" w:cs="Arial"/>
          <w:szCs w:val="24"/>
        </w:rPr>
        <w:t>if it means close to 'and/or' or is only used to inexhaustibly list examples (a dog and/or cat for instance)</w:t>
      </w:r>
    </w:p>
    <w:p w:rsidR="00612B46" w:rsidRPr="00612B46" w:rsidRDefault="00612B46" w:rsidP="00612B46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Hey guys. In this video we’ll be going over the ways we can list items in </w:t>
      </w:r>
      <w:r w:rsidR="00DA157F">
        <w:rPr>
          <w:rFonts w:eastAsia="Times New Roman" w:cs="Arial"/>
          <w:szCs w:val="24"/>
        </w:rPr>
        <w:t>Japanese</w:t>
      </w:r>
      <w:r>
        <w:rPr>
          <w:rFonts w:eastAsia="Times New Roman" w:cs="Arial"/>
          <w:szCs w:val="24"/>
        </w:rPr>
        <w:t>. So a</w:t>
      </w:r>
      <w:r w:rsidRPr="00612B46">
        <w:rPr>
          <w:rFonts w:eastAsia="Times New Roman" w:cs="Arial"/>
          <w:szCs w:val="24"/>
        </w:rPr>
        <w:t xml:space="preserve">s you may remember from our particles video, we touched briefly on how to list items with </w:t>
      </w:r>
      <w:r w:rsidRPr="00612B46">
        <w:rPr>
          <w:rFonts w:eastAsia="MS Mincho" w:cs="Arial"/>
          <w:szCs w:val="24"/>
        </w:rPr>
        <w:t xml:space="preserve">と　</w:t>
      </w:r>
      <w:r w:rsidRPr="00612B46">
        <w:rPr>
          <w:rFonts w:eastAsia="Times New Roman" w:cs="Arial"/>
          <w:szCs w:val="24"/>
        </w:rPr>
        <w:t xml:space="preserve">and </w:t>
      </w:r>
      <w:r w:rsidRPr="00612B46">
        <w:rPr>
          <w:rFonts w:eastAsia="MS Mincho" w:cs="Arial"/>
          <w:szCs w:val="24"/>
        </w:rPr>
        <w:t>や</w:t>
      </w:r>
      <w:r w:rsidR="00420846">
        <w:rPr>
          <w:rFonts w:eastAsia="MS Mincho" w:cs="Arial"/>
          <w:szCs w:val="24"/>
        </w:rPr>
        <w:t>.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As a quick refresher we use [to] when we intend to exhaustively, ie list everything their is, exhaustively list off the items: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[This sandwich has ham and cheese]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And we use [ya] to inexhaustively list off items: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[This sandwich has ham, cheese etc.]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We also have 1 or 2 other particles, depending on how you look at it to help us to describe lists: [ka] and [toka]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[ka] means 'or':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[You can eat the big sandwich or the small sandwich]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[toka] which is a combination of the particle [to] and [or] is equivalent to saying and/or in English: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[You can eat the big sandwich and/or the small sandwich]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What's beautiful with these particles is that you can easily continue to add more items to the list: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[I went to the beach, the cinema and the bar]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Or mix the particles [ka] or [toka] with either [to] or [ya]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[You can buy new clothes and shoes or a new game]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[We'll go to Brazil, America and/or Canada this year]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However unlike the English equivalents, we can only use these particles to connect nouns or noun phrases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We can't use them to connect verbs, adjectives or sentences together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To do that we need to conjugate the adjective or verb appropriately which we'll see more in another video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One last thing to note however is that how we list our options can also affect how formal we sound, basically if we only list one thing in response to a question like: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[What did you do today?}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Or: [Where did you go on holidays?]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Your response will sound more formal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Sometimes to prevent this, people may list more things they did or use [ya] or [toka] to make the list seem inexhaustive instead of exhaustive even if they listed all they did</w:t>
      </w:r>
    </w:p>
    <w:p w:rsidR="00612B46" w:rsidRPr="00612B46" w:rsidRDefault="00612B46" w:rsidP="00612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612B46">
        <w:rPr>
          <w:rFonts w:eastAsia="Times New Roman" w:cs="Arial"/>
          <w:szCs w:val="24"/>
        </w:rPr>
        <w:t>Basically the more things you list the more you'll 'soften the edge', reduce the formality, of your response</w:t>
      </w:r>
    </w:p>
    <w:p w:rsidR="0025467A" w:rsidRDefault="00596637">
      <w:r>
        <w:t>And that’s how we list items in Japanese. Thanks guys.</w:t>
      </w:r>
      <w:bookmarkStart w:id="0" w:name="_GoBack"/>
      <w:bookmarkEnd w:id="0"/>
    </w:p>
    <w:sectPr w:rsidR="0025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A2E3E"/>
    <w:multiLevelType w:val="multilevel"/>
    <w:tmpl w:val="758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B7"/>
    <w:rsid w:val="001369B7"/>
    <w:rsid w:val="0025467A"/>
    <w:rsid w:val="00382916"/>
    <w:rsid w:val="00420846"/>
    <w:rsid w:val="00596637"/>
    <w:rsid w:val="00612B46"/>
    <w:rsid w:val="00DA157F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612B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61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1796</Characters>
  <Application>Microsoft Office Word</Application>
  <DocSecurity>0</DocSecurity>
  <Lines>14</Lines>
  <Paragraphs>4</Paragraphs>
  <ScaleCrop>false</ScaleCrop>
  <Company>HP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5</cp:revision>
  <dcterms:created xsi:type="dcterms:W3CDTF">2020-09-14T15:51:00Z</dcterms:created>
  <dcterms:modified xsi:type="dcterms:W3CDTF">2020-09-14T15:54:00Z</dcterms:modified>
</cp:coreProperties>
</file>