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92.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92</w:t>
            </w:r>
          </w:p>
        </w:tc>
        <w:tc>
          <w:tcPr>
            <w:tcW w:w="7743" w:type="dxa"/>
          </w:tcPr>
          <w:p>
            <w:pPr/>
            <w:r>
              <w:t xml:space="preserve">Link Finder finds bootlegs, remixes and edits whose Bandcamp title is worded differently from your row: "bootleg" outside the brackets, or the original artist repeated in them, as in "Oblivion bootleg (by Astor Piazzolla as performed by Miguel Fajardo)".</w:t>
            </w:r>
          </w:p>
        </w:tc>
      </w:tr>
      <w:tr>
        <w:tc>
          <w:tcPr>
            <w:tcW w:w="1616" w:type="dxa"/>
          </w:tcPr>
          <w:p>
            <w:pPr/>
            <w:r>
              <w:t xml:space="preserve">91</w:t>
            </w:r>
          </w:p>
        </w:tc>
        <w:tc>
          <w:tcPr>
            <w:tcW w:w="7743" w:type="dxa"/>
          </w:tcPr>
          <w:p>
            <w:pPr/>
            <w:r>
              <w:t xml:space="preserve">Tracked Artists toolbar: small icons on the buttons, a blue Find missing links button, and the Look on choice and an open Import follows or Workspaces panel shown in blue, with an arrow that points up while the panel is open.</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node/91f55003-1f20@198 docx-w7</dc:description>
  <cp:revision>198</cp:revision>
</cp:coreProperties>
</file>